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pPr>
      <w:r>
        <w:rPr>
          <w:rFonts w:ascii="Times New Roman" w:hAnsi="Times New Roman"/>
          <w:b w:val="1"/>
          <w:bCs w:val="1"/>
          <w:sz w:val="28"/>
          <w:szCs w:val="28"/>
          <w:rtl w:val="0"/>
          <w:lang w:val="en-US"/>
        </w:rPr>
        <w:t>AccountingAgents: A Multi-Agent LLM Framework for Accounting Firm Automation</w:t>
      </w:r>
    </w:p>
    <w:p>
      <w:pPr>
        <w:pStyle w:val="Body A"/>
        <w:rPr>
          <w:lang w:val="de-DE"/>
        </w:rPr>
      </w:pPr>
      <w:r>
        <w:rPr>
          <w:rFonts w:ascii="Times New Roman" w:hAnsi="Times New Roman"/>
          <w:b w:val="1"/>
          <w:bCs w:val="1"/>
          <w:rtl w:val="0"/>
          <w:lang w:val="de-DE"/>
        </w:rPr>
        <w:t>Paul Desrochers</w:t>
      </w:r>
    </w:p>
    <w:p>
      <w:pPr>
        <w:pStyle w:val="Body A"/>
      </w:pPr>
      <w:r>
        <w:rPr>
          <w:rFonts w:ascii="Times New Roman" w:hAnsi="Times New Roman"/>
          <w:outline w:val="0"/>
          <w:color w:val="444444"/>
          <w:sz w:val="18"/>
          <w:szCs w:val="18"/>
          <w:u w:color="444444"/>
          <w:rtl w:val="0"/>
          <w:lang w:val="en-US"/>
          <w14:textFill>
            <w14:solidFill>
              <w14:srgbClr w14:val="444444"/>
            </w14:solidFill>
          </w14:textFill>
        </w:rPr>
        <w:t xml:space="preserve">Independent Researcher </w:t>
      </w:r>
      <w:r>
        <w:rPr>
          <w:rFonts w:ascii="Times New Roman" w:hAnsi="Times New Roman" w:hint="default"/>
          <w:outline w:val="0"/>
          <w:color w:val="444444"/>
          <w:sz w:val="18"/>
          <w:szCs w:val="18"/>
          <w:u w:color="444444"/>
          <w:rtl w:val="0"/>
          <w:lang w:val="de-DE"/>
          <w14:textFill>
            <w14:solidFill>
              <w14:srgbClr w14:val="444444"/>
            </w14:solidFill>
          </w14:textFill>
        </w:rPr>
        <w:t xml:space="preserve">· </w:t>
      </w:r>
      <w:r>
        <w:rPr>
          <w:rFonts w:ascii="Times New Roman" w:hAnsi="Times New Roman"/>
          <w:outline w:val="0"/>
          <w:color w:val="444444"/>
          <w:sz w:val="18"/>
          <w:szCs w:val="18"/>
          <w:u w:color="444444"/>
          <w:rtl w:val="0"/>
          <w:lang w:val="es-ES_tradnl"/>
          <w14:textFill>
            <w14:solidFill>
              <w14:srgbClr w14:val="444444"/>
            </w14:solidFill>
          </w14:textFill>
        </w:rPr>
        <w:t xml:space="preserve">Quebec, Canada </w:t>
      </w:r>
      <w:r>
        <w:rPr>
          <w:rFonts w:ascii="Times New Roman" w:hAnsi="Times New Roman" w:hint="default"/>
          <w:outline w:val="0"/>
          <w:color w:val="444444"/>
          <w:sz w:val="18"/>
          <w:szCs w:val="18"/>
          <w:u w:color="444444"/>
          <w:rtl w:val="0"/>
          <w:lang w:val="de-DE"/>
          <w14:textFill>
            <w14:solidFill>
              <w14:srgbClr w14:val="444444"/>
            </w14:solidFill>
          </w14:textFill>
        </w:rPr>
        <w:t xml:space="preserve">· </w:t>
      </w:r>
      <w:r>
        <w:rPr>
          <w:rFonts w:ascii="Times New Roman" w:hAnsi="Times New Roman"/>
          <w:outline w:val="0"/>
          <w:color w:val="444444"/>
          <w:sz w:val="18"/>
          <w:szCs w:val="18"/>
          <w:u w:color="444444"/>
          <w:rtl w:val="0"/>
          <w:lang w:val="en-US"/>
          <w14:textFill>
            <w14:solidFill>
              <w14:srgbClr w14:val="444444"/>
            </w14:solidFill>
          </w14:textFill>
        </w:rPr>
        <w:t>pdesrochers.ai.research@gmail.com</w:t>
      </w:r>
    </w:p>
    <w:p>
      <w:pPr>
        <w:pStyle w:val="Body A"/>
      </w:pPr>
      <w:r>
        <w:rPr>
          <w:rFonts w:ascii="Times New Roman" w:hAnsi="Times New Roman"/>
          <w:outline w:val="0"/>
          <w:color w:val="666666"/>
          <w:sz w:val="18"/>
          <w:szCs w:val="18"/>
          <w:u w:color="666666"/>
          <w:rtl w:val="0"/>
          <w:lang w:val="en-US"/>
          <w14:textFill>
            <w14:solidFill>
              <w14:srgbClr w14:val="666666"/>
            </w14:solidFill>
          </w14:textFill>
        </w:rPr>
        <w:t xml:space="preserve">Preprint </w:t>
      </w:r>
      <w:r>
        <w:rPr>
          <w:rFonts w:ascii="Times New Roman" w:hAnsi="Times New Roman" w:hint="default"/>
          <w:outline w:val="0"/>
          <w:color w:val="666666"/>
          <w:sz w:val="18"/>
          <w:szCs w:val="18"/>
          <w:u w:color="666666"/>
          <w:rtl w:val="0"/>
          <w:lang w:val="de-DE"/>
          <w14:textFill>
            <w14:solidFill>
              <w14:srgbClr w14:val="666666"/>
            </w14:solidFill>
          </w14:textFill>
        </w:rPr>
        <w:t xml:space="preserve">· </w:t>
      </w:r>
      <w:r>
        <w:rPr>
          <w:rFonts w:ascii="Times New Roman" w:hAnsi="Times New Roman"/>
          <w:outline w:val="0"/>
          <w:color w:val="666666"/>
          <w:sz w:val="18"/>
          <w:szCs w:val="18"/>
          <w:u w:color="666666"/>
          <w:rtl w:val="0"/>
          <w:lang w:val="it-IT"/>
          <w14:textFill>
            <w14:solidFill>
              <w14:srgbClr w14:val="666666"/>
            </w14:solidFill>
          </w14:textFill>
        </w:rPr>
        <w:t>April 2026</w:t>
      </w:r>
    </w:p>
    <w:p>
      <w:pPr>
        <w:pStyle w:val="Body A"/>
        <w:rPr>
          <w:lang w:val="de-DE"/>
        </w:rPr>
      </w:pPr>
      <w:r>
        <w:rPr>
          <w:rFonts w:ascii="Times New Roman" w:hAnsi="Times New Roman"/>
          <w:b w:val="1"/>
          <w:bCs w:val="1"/>
          <w:sz w:val="20"/>
          <w:szCs w:val="20"/>
          <w:rtl w:val="0"/>
          <w:lang w:val="de-DE"/>
        </w:rPr>
        <w:t>Abstract</w:t>
      </w:r>
    </w:p>
    <w:p>
      <w:pPr>
        <w:pStyle w:val="Body A"/>
      </w:pPr>
      <w:r>
        <w:rPr>
          <w:rFonts w:ascii="Times New Roman" w:hAnsi="Times New Roman"/>
          <w:sz w:val="20"/>
          <w:szCs w:val="20"/>
          <w:rtl w:val="0"/>
          <w:lang w:val="en-US"/>
        </w:rPr>
        <w:t xml:space="preserve">We present AccountingAgents, a novel multi-agent Large Language Model (LLM) framework inspired by the organizational structure of professional accounting firms. Drawing a direct parallel to TradingAgents [1] in financial trading, AccountingAgents defines specialized agent roles </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Ingestion, Reconciliation, Reporting, Compliance, Accounts Receivable (AR), Accounts Payable (AP), and Onboarding </w:t>
      </w:r>
      <w:r>
        <w:rPr>
          <w:rFonts w:ascii="Times New Roman" w:hAnsi="Times New Roman" w:hint="default"/>
          <w:sz w:val="20"/>
          <w:szCs w:val="20"/>
          <w:rtl w:val="0"/>
          <w:lang w:val="en-US"/>
        </w:rPr>
        <w:t xml:space="preserve">— </w:t>
      </w:r>
      <w:r>
        <w:rPr>
          <w:rFonts w:ascii="Times New Roman" w:hAnsi="Times New Roman"/>
          <w:sz w:val="20"/>
          <w:szCs w:val="20"/>
          <w:rtl w:val="0"/>
          <w:lang w:val="en-US"/>
        </w:rPr>
        <w:t xml:space="preserve">coordinated by a central Supervisor via a structured SharedState. Unlike existing commercial solutions (Intuit Assist, Pilot AI) that operate as closed, monolithic systems, our framework is open, composable, and MCP-native, </w:t>
      </w:r>
      <w:r>
        <w:rPr>
          <w:rFonts w:ascii="Times New Roman" w:hAnsi="Times New Roman"/>
          <w:sz w:val="20"/>
          <w:szCs w:val="20"/>
          <w:rtl w:val="0"/>
          <w:lang w:val="fr-FR"/>
        </w:rPr>
        <w:t>l</w:t>
      </w:r>
      <w:r>
        <w:rPr>
          <w:rFonts w:ascii="Times New Roman" w:hAnsi="Times New Roman"/>
          <w:sz w:val="20"/>
          <w:szCs w:val="20"/>
          <w:rtl w:val="0"/>
          <w:lang w:val="en-US"/>
        </w:rPr>
        <w:t xml:space="preserve">everaging official Model Context Protocol servers (e.g., QuickBooks Online MCP, Google Workspace MCP) as representative integrations. A key contribution is the design of an asynchronous Human-in-the-Loop (HITL) mechanism that suspends agent threads via LangGraph's interrupt() primitive, notifies the supervising accountant by </w:t>
      </w:r>
      <w:r>
        <w:rPr>
          <w:rFonts w:ascii="Times New Roman" w:hAnsi="Times New Roman"/>
          <w:sz w:val="20"/>
          <w:szCs w:val="20"/>
          <w:rtl w:val="0"/>
          <w:lang w:val="fr-FR"/>
        </w:rPr>
        <w:t>any instant messaging mechanism (eg Gmail, Slack, etc)</w:t>
      </w:r>
      <w:r>
        <w:rPr>
          <w:rFonts w:ascii="Times New Roman" w:hAnsi="Times New Roman"/>
          <w:sz w:val="20"/>
          <w:szCs w:val="20"/>
          <w:rtl w:val="0"/>
          <w:lang w:val="en-US"/>
        </w:rPr>
        <w:t xml:space="preserve">, and resumes execution upon webhook-delivered approval </w:t>
      </w:r>
      <w:r>
        <w:rPr>
          <w:rFonts w:ascii="Times New Roman" w:hAnsi="Times New Roman" w:hint="default"/>
          <w:sz w:val="20"/>
          <w:szCs w:val="20"/>
          <w:rtl w:val="0"/>
          <w:lang w:val="en-US"/>
        </w:rPr>
        <w:t xml:space="preserve">— </w:t>
      </w:r>
      <w:r>
        <w:rPr>
          <w:rFonts w:ascii="Times New Roman" w:hAnsi="Times New Roman"/>
          <w:sz w:val="20"/>
          <w:szCs w:val="20"/>
          <w:rtl w:val="0"/>
          <w:lang w:val="en-US"/>
        </w:rPr>
        <w:t>enabling mobile, real-world oversight without a dedicated console. The framework targets small-to-medium accounting firms underserved by enterprise solutions.</w:t>
      </w:r>
    </w:p>
    <w:p>
      <w:pPr>
        <w:pStyle w:val="Body A"/>
      </w:pPr>
      <w:r>
        <w:rPr>
          <w:rFonts w:ascii="Times New Roman" w:hAnsi="Times New Roman"/>
          <w:b w:val="1"/>
          <w:bCs w:val="1"/>
          <w:sz w:val="18"/>
          <w:szCs w:val="18"/>
          <w:rtl w:val="0"/>
          <w:lang w:val="en-US"/>
        </w:rPr>
        <w:t xml:space="preserve">Keywords: </w:t>
      </w:r>
      <w:r>
        <w:rPr>
          <w:rFonts w:ascii="Times New Roman" w:hAnsi="Times New Roman"/>
          <w:sz w:val="18"/>
          <w:szCs w:val="18"/>
          <w:rtl w:val="0"/>
          <w:lang w:val="en-US"/>
        </w:rPr>
        <w:t xml:space="preserve">multi-agent systems </w:t>
      </w:r>
      <w:r>
        <w:rPr>
          <w:rFonts w:ascii="Times New Roman" w:hAnsi="Times New Roman" w:hint="default"/>
          <w:sz w:val="18"/>
          <w:szCs w:val="18"/>
          <w:rtl w:val="0"/>
          <w:lang w:val="de-DE"/>
        </w:rPr>
        <w:t xml:space="preserve">· </w:t>
      </w:r>
      <w:r>
        <w:rPr>
          <w:rFonts w:ascii="Times New Roman" w:hAnsi="Times New Roman"/>
          <w:sz w:val="18"/>
          <w:szCs w:val="18"/>
          <w:rtl w:val="0"/>
          <w:lang w:val="da-DK"/>
        </w:rPr>
        <w:t xml:space="preserve">LLM </w:t>
      </w:r>
      <w:r>
        <w:rPr>
          <w:rFonts w:ascii="Times New Roman" w:hAnsi="Times New Roman" w:hint="default"/>
          <w:sz w:val="18"/>
          <w:szCs w:val="18"/>
          <w:rtl w:val="0"/>
          <w:lang w:val="de-DE"/>
        </w:rPr>
        <w:t xml:space="preserve">· </w:t>
      </w:r>
      <w:r>
        <w:rPr>
          <w:rFonts w:ascii="Times New Roman" w:hAnsi="Times New Roman"/>
          <w:sz w:val="18"/>
          <w:szCs w:val="18"/>
          <w:rtl w:val="0"/>
          <w:lang w:val="en-US"/>
        </w:rPr>
        <w:t xml:space="preserve">accounting automation </w:t>
      </w:r>
      <w:r>
        <w:rPr>
          <w:rFonts w:ascii="Times New Roman" w:hAnsi="Times New Roman" w:hint="default"/>
          <w:sz w:val="18"/>
          <w:szCs w:val="18"/>
          <w:rtl w:val="0"/>
          <w:lang w:val="de-DE"/>
        </w:rPr>
        <w:t xml:space="preserve">· </w:t>
      </w:r>
      <w:r>
        <w:rPr>
          <w:rFonts w:ascii="Times New Roman" w:hAnsi="Times New Roman"/>
          <w:sz w:val="18"/>
          <w:szCs w:val="18"/>
          <w:rtl w:val="0"/>
          <w:lang w:val="en-US"/>
        </w:rPr>
        <w:t xml:space="preserve">human-in-the-loop </w:t>
      </w:r>
      <w:r>
        <w:rPr>
          <w:rFonts w:ascii="Times New Roman" w:hAnsi="Times New Roman" w:hint="default"/>
          <w:sz w:val="18"/>
          <w:szCs w:val="18"/>
          <w:rtl w:val="0"/>
          <w:lang w:val="de-DE"/>
        </w:rPr>
        <w:t xml:space="preserve">· </w:t>
      </w:r>
      <w:r>
        <w:rPr>
          <w:rFonts w:ascii="Times New Roman" w:hAnsi="Times New Roman"/>
          <w:sz w:val="18"/>
          <w:szCs w:val="18"/>
          <w:rtl w:val="0"/>
          <w:lang w:val="pt-PT"/>
        </w:rPr>
        <w:t xml:space="preserve">MCP </w:t>
      </w:r>
      <w:r>
        <w:rPr>
          <w:rFonts w:ascii="Times New Roman" w:hAnsi="Times New Roman" w:hint="default"/>
          <w:sz w:val="18"/>
          <w:szCs w:val="18"/>
          <w:rtl w:val="0"/>
          <w:lang w:val="de-DE"/>
        </w:rPr>
        <w:t xml:space="preserve">· </w:t>
      </w:r>
      <w:r>
        <w:rPr>
          <w:rFonts w:ascii="Times New Roman" w:hAnsi="Times New Roman"/>
          <w:sz w:val="18"/>
          <w:szCs w:val="18"/>
          <w:rtl w:val="0"/>
          <w:lang w:val="fr-FR"/>
        </w:rPr>
        <w:t xml:space="preserve">LangGraph </w:t>
      </w:r>
      <w:r>
        <w:rPr>
          <w:rFonts w:ascii="Times New Roman" w:hAnsi="Times New Roman" w:hint="default"/>
          <w:sz w:val="18"/>
          <w:szCs w:val="18"/>
          <w:rtl w:val="0"/>
          <w:lang w:val="de-DE"/>
        </w:rPr>
        <w:t xml:space="preserve">· </w:t>
      </w:r>
      <w:r>
        <w:rPr>
          <w:rFonts w:ascii="Times New Roman" w:hAnsi="Times New Roman"/>
          <w:sz w:val="18"/>
          <w:szCs w:val="18"/>
          <w:rtl w:val="0"/>
          <w:lang w:val="en-US"/>
        </w:rPr>
        <w:t>QuickBooks Online</w:t>
      </w:r>
    </w:p>
    <w:p>
      <w:pPr>
        <w:pStyle w:val="Body A"/>
      </w:pPr>
    </w:p>
    <w:p>
      <w:pPr>
        <w:pStyle w:val="Heading"/>
        <w:spacing w:before="240"/>
      </w:pPr>
      <w:r>
        <w:rPr>
          <w:rtl w:val="0"/>
          <w:lang w:val="fr-FR"/>
        </w:rPr>
        <w:t>1. Introduction</w:t>
      </w:r>
    </w:p>
    <w:p>
      <w:pPr>
        <w:pStyle w:val="Heading"/>
        <w:spacing w:before="240"/>
      </w:pPr>
      <w:r>
        <w:rPr>
          <w:b w:val="0"/>
          <w:bCs w:val="0"/>
          <w:outline w:val="0"/>
          <w:color w:val="000000"/>
          <w:sz w:val="20"/>
          <w:szCs w:val="20"/>
          <w:u w:color="000000"/>
          <w:rtl w:val="0"/>
          <w:lang w:val="en-US"/>
          <w14:textFill>
            <w14:solidFill>
              <w14:srgbClr w14:val="000000"/>
            </w14:solidFill>
          </w14:textFill>
        </w:rPr>
        <w:t xml:space="preserve">Autonomous agents powered by Large Language Models (LLMs) have demonstrated transformative potential across domains requiring complex, multi-step reasoning and tool use. In finance, the TradingAgents framework </w:t>
      </w:r>
      <w:r>
        <w:rPr>
          <w:b w:val="0"/>
          <w:bCs w:val="0"/>
          <w:outline w:val="0"/>
          <w:color w:val="000000"/>
          <w:sz w:val="16"/>
          <w:szCs w:val="16"/>
          <w:u w:color="000000"/>
          <w:vertAlign w:val="superscript"/>
          <w:rtl w:val="0"/>
          <w:lang w:val="pt-PT"/>
          <w14:textFill>
            <w14:solidFill>
              <w14:srgbClr w14:val="000000"/>
            </w14:solidFill>
          </w14:textFill>
        </w:rPr>
        <w:t>[1]</w:t>
      </w:r>
      <w:r>
        <w:rPr>
          <w:b w:val="0"/>
          <w:bCs w:val="0"/>
          <w:outline w:val="0"/>
          <w:color w:val="000000"/>
          <w:sz w:val="20"/>
          <w:szCs w:val="20"/>
          <w:u w:color="000000"/>
          <w:rtl w:val="0"/>
          <w:lang w:val="en-US"/>
          <w14:textFill>
            <w14:solidFill>
              <w14:srgbClr w14:val="000000"/>
            </w14:solidFill>
          </w14:textFill>
        </w:rPr>
        <w:t xml:space="preserve"> established a compelling paradigm: modelling the multi-agent decision process of a professional trading firm, with specialized roles for analysts, researchers, traders, and risk managers communicating through structured state rather than unstructured natural language. This design addresses two fundamental limitations of prior systems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the absence of realistic organizational modelling, and the "telephone effect" of context corruption across long natural language histories.</w:t>
      </w:r>
    </w:p>
    <w:p>
      <w:pPr>
        <w:pStyle w:val="Heading"/>
        <w:spacing w:before="240"/>
      </w:pPr>
      <w:r>
        <w:rPr>
          <w:b w:val="0"/>
          <w:bCs w:val="0"/>
          <w:outline w:val="0"/>
          <w:color w:val="000000"/>
          <w:sz w:val="20"/>
          <w:szCs w:val="20"/>
          <w:u w:color="000000"/>
          <w:rtl w:val="0"/>
          <w:lang w:val="en-US"/>
          <w14:textFill>
            <w14:solidFill>
              <w14:srgbClr w14:val="000000"/>
            </w14:solidFill>
          </w14:textFill>
        </w:rPr>
        <w:t xml:space="preserve">We observe that the accounting profession presents an analogous opportunity. A typical accounting firm processes hundreds of documents weekly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invoices, bank statements, tax filings, client correspondence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executing workflows that are highly structured, role-based, and subject to strict regulatory constraints. Despite a booming market for AI-assisted accounting (projected at $96.69B by 2033 </w:t>
      </w:r>
      <w:r>
        <w:rPr>
          <w:b w:val="0"/>
          <w:bCs w:val="0"/>
          <w:outline w:val="0"/>
          <w:color w:val="000000"/>
          <w:sz w:val="16"/>
          <w:szCs w:val="16"/>
          <w:u w:color="000000"/>
          <w:vertAlign w:val="superscript"/>
          <w:rtl w:val="0"/>
          <w:lang w:val="pt-PT"/>
          <w14:textFill>
            <w14:solidFill>
              <w14:srgbClr w14:val="000000"/>
            </w14:solidFill>
          </w14:textFill>
        </w:rPr>
        <w:t>[2]</w:t>
      </w:r>
      <w:r>
        <w:rPr>
          <w:b w:val="0"/>
          <w:bCs w:val="0"/>
          <w:outline w:val="0"/>
          <w:color w:val="000000"/>
          <w:sz w:val="20"/>
          <w:szCs w:val="20"/>
          <w:u w:color="000000"/>
          <w:rtl w:val="0"/>
          <w:lang w:val="en-US"/>
          <w14:textFill>
            <w14:solidFill>
              <w14:srgbClr w14:val="000000"/>
            </w14:solidFill>
          </w14:textFill>
        </w:rPr>
        <w:t xml:space="preserve">), existing solutions are either monolithic commercial products with vendor lock-in, or isolated single-agent tools that address narrow tasks without organizational coherence. The breadth of AI technologies applicable to Finance and Accounting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including multi-agent systems, reinforcement learning, graph neural networks, and neuro-symbolic AI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has been extensively surveyed by Ramachandran [11], confirming both the maturity of the underlying technologies and the scale of the automation opportunity. AccountingAgents addresses this opportunity through a concrete, opinionated framework targeting the specific organizational structure and operational constraints of small-to-medium accounting firms.</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Beyond automation capability, deployment in regulated environments demands that every agent action be traceable and attributable. Barrak </w:t>
      </w:r>
      <w:r>
        <w:rPr>
          <w:b w:val="0"/>
          <w:bCs w:val="0"/>
          <w:outline w:val="0"/>
          <w:color w:val="000000"/>
          <w:sz w:val="16"/>
          <w:szCs w:val="16"/>
          <w:u w:color="000000"/>
          <w:vertAlign w:val="superscript"/>
          <w:rtl w:val="0"/>
          <w:lang w:val="en-US"/>
          <w14:textFill>
            <w14:solidFill>
              <w14:srgbClr w14:val="000000"/>
            </w14:solidFill>
          </w14:textFill>
        </w:rPr>
        <w:t>[12]</w:t>
      </w:r>
      <w:r>
        <w:rPr>
          <w:b w:val="0"/>
          <w:bCs w:val="0"/>
          <w:outline w:val="0"/>
          <w:color w:val="000000"/>
          <w:sz w:val="20"/>
          <w:szCs w:val="20"/>
          <w:u w:color="000000"/>
          <w:rtl w:val="0"/>
          <w:lang w:val="en-US"/>
          <w14:textFill>
            <w14:solidFill>
              <w14:srgbClr w14:val="000000"/>
            </w14:solidFill>
          </w14:textFill>
        </w:rPr>
        <w:t xml:space="preserve"> demonstrates empirically that structured handoffs between role-specialized agents prevent silent error propagation and improve system reliability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a finding directly applicable to accounting workflows where errors carry fiduciary and legal consequences. AccountingAgents addresses this requirement by design, through a SharedState architecture that makes every agent delta auditable and a HITL escalation model that ensures human authorization of high-stakes actions.</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This paper introduces </w:t>
      </w:r>
      <w:r>
        <w:rPr>
          <w:outline w:val="0"/>
          <w:color w:val="000000"/>
          <w:sz w:val="20"/>
          <w:szCs w:val="20"/>
          <w:u w:color="000000"/>
          <w:rtl w:val="0"/>
          <w:lang w:val="en-US"/>
          <w14:textFill>
            <w14:solidFill>
              <w14:srgbClr w14:val="000000"/>
            </w14:solidFill>
          </w14:textFill>
        </w:rPr>
        <w:t>AccountingAgents</w:t>
      </w:r>
      <w:r>
        <w:rPr>
          <w:b w:val="0"/>
          <w:bCs w:val="0"/>
          <w:outline w:val="0"/>
          <w:color w:val="000000"/>
          <w:sz w:val="20"/>
          <w:szCs w:val="20"/>
          <w:u w:color="000000"/>
          <w:rtl w:val="0"/>
          <w:lang w:val="en-US"/>
          <w14:textFill>
            <w14:solidFill>
              <w14:srgbClr w14:val="000000"/>
            </w14:solidFill>
          </w14:textFill>
        </w:rPr>
        <w:t>, a multi-agent LLM framework that replicates the collaborative structure of a professional accounting firm. Our primary contributions are: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 role-specialized multi-agent architecture mirroring real accounting firm workflows built on LangGraph StateGraph with a structured SharedState;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Native integration with official MCP servers (QuickBooks Online, Gmail, Google Drive, Google Calendar) eliminating fragile custom API wrappers;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An asynchronous Human-in-the-Loop (HITL) mechanism using LangGraph interrupt(), any MCP-compatible messaging channel, and a lightweight webhook endpoint enabling mobile approval without a dedicated console;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 four-level HITL escalation model calibrated to accounting risk profiles (automated, notify, approve, transfer);</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Open-source positioning serving small-to-medium firms underserved by enterprise solutions.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Empirically validated through an offline benchmark suite of 65 test cases across three agents (Ingestion, Reconciliation, AP), achieving 72.3% overall accuracy in keyword-only mode.</w:t>
      </w:r>
    </w:p>
    <w:p>
      <w:pPr>
        <w:pStyle w:val="List Paragraph"/>
        <w:spacing w:after="80"/>
      </w:pPr>
    </w:p>
    <w:p>
      <w:pPr>
        <w:pStyle w:val="Heading"/>
        <w:spacing w:before="240"/>
        <w:rPr>
          <w:lang w:val="en-US"/>
        </w:rPr>
      </w:pPr>
      <w:r>
        <w:rPr>
          <w:rtl w:val="0"/>
          <w:lang w:val="en-US"/>
        </w:rPr>
        <w:t>2. Related Work</w:t>
      </w:r>
    </w:p>
    <w:p>
      <w:pPr>
        <w:pStyle w:val="Heading 2"/>
        <w:spacing w:before="240" w:after="120"/>
      </w:pPr>
      <w:r>
        <w:rPr>
          <w:rtl w:val="0"/>
          <w:lang w:val="en-US"/>
        </w:rPr>
        <w:t>2.1 Multi-Agent LLM Frameworks in Finance</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TradingAgents </w:t>
      </w:r>
      <w:r>
        <w:rPr>
          <w:b w:val="0"/>
          <w:bCs w:val="0"/>
          <w:outline w:val="0"/>
          <w:color w:val="000000"/>
          <w:sz w:val="16"/>
          <w:szCs w:val="16"/>
          <w:u w:color="000000"/>
          <w:vertAlign w:val="superscript"/>
          <w:rtl w:val="0"/>
          <w:lang w:val="pt-PT"/>
          <w14:textFill>
            <w14:solidFill>
              <w14:srgbClr w14:val="000000"/>
            </w14:solidFill>
          </w14:textFill>
        </w:rPr>
        <w:t>[1]</w:t>
      </w:r>
      <w:r>
        <w:rPr>
          <w:b w:val="0"/>
          <w:bCs w:val="0"/>
          <w:outline w:val="0"/>
          <w:color w:val="000000"/>
          <w:sz w:val="20"/>
          <w:szCs w:val="20"/>
          <w:u w:color="000000"/>
          <w:rtl w:val="0"/>
          <w:lang w:val="en-US"/>
          <w14:textFill>
            <w14:solidFill>
              <w14:srgbClr w14:val="000000"/>
            </w14:solidFill>
          </w14:textFill>
        </w:rPr>
        <w:t xml:space="preserve"> proposes a stock trading framework with five specialized teams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Analysts, Researchers (Bull/Bear debaters), Traders, Risk Managers, and a Fund Manager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communicating via structured outputs. This design yields measurable improvements in Sharpe ratio and maximum drawdown over single-agent baselines. FinDebate </w:t>
      </w:r>
      <w:r>
        <w:rPr>
          <w:b w:val="0"/>
          <w:bCs w:val="0"/>
          <w:outline w:val="0"/>
          <w:color w:val="000000"/>
          <w:sz w:val="16"/>
          <w:szCs w:val="16"/>
          <w:u w:color="000000"/>
          <w:vertAlign w:val="superscript"/>
          <w:rtl w:val="0"/>
          <w:lang w:val="pt-PT"/>
          <w14:textFill>
            <w14:solidFill>
              <w14:srgbClr w14:val="000000"/>
            </w14:solidFill>
          </w14:textFill>
        </w:rPr>
        <w:t>[3]</w:t>
      </w:r>
      <w:r>
        <w:rPr>
          <w:b w:val="0"/>
          <w:bCs w:val="0"/>
          <w:outline w:val="0"/>
          <w:color w:val="000000"/>
          <w:sz w:val="20"/>
          <w:szCs w:val="20"/>
          <w:u w:color="000000"/>
          <w:rtl w:val="0"/>
          <w:lang w:val="en-US"/>
          <w14:textFill>
            <w14:solidFill>
              <w14:srgbClr w14:val="000000"/>
            </w14:solidFill>
          </w14:textFill>
        </w:rPr>
        <w:t xml:space="preserve"> extends debate-driven reasoning to financial analysis reports. A recent arXiv benchmark </w:t>
      </w:r>
      <w:r>
        <w:rPr>
          <w:b w:val="0"/>
          <w:bCs w:val="0"/>
          <w:outline w:val="0"/>
          <w:color w:val="000000"/>
          <w:sz w:val="16"/>
          <w:szCs w:val="16"/>
          <w:u w:color="000000"/>
          <w:vertAlign w:val="superscript"/>
          <w:rtl w:val="0"/>
          <w:lang w:val="pt-PT"/>
          <w14:textFill>
            <w14:solidFill>
              <w14:srgbClr w14:val="000000"/>
            </w14:solidFill>
          </w14:textFill>
        </w:rPr>
        <w:t>[4]</w:t>
      </w:r>
      <w:r>
        <w:rPr>
          <w:b w:val="0"/>
          <w:bCs w:val="0"/>
          <w:outline w:val="0"/>
          <w:color w:val="000000"/>
          <w:sz w:val="20"/>
          <w:szCs w:val="20"/>
          <w:u w:color="000000"/>
          <w:rtl w:val="0"/>
          <w:lang w:val="en-US"/>
          <w14:textFill>
            <w14:solidFill>
              <w14:srgbClr w14:val="000000"/>
            </w14:solidFill>
          </w14:textFill>
        </w:rPr>
        <w:t xml:space="preserve"> evaluates four multi-agent orchestration architectures (sequential pipeline, parallel fan-out, hierarchical supervisor-worker, reflexive self-correcting) on 10,000 SEC filings, finding hierarchical architectures occupy the most favorable cost-accuracy Pareto frontier (F1 0.921 at 1.4x cost). AccountingAgents adopts a hierarchical supervisor-worker architecture, consistent with these findings.</w:t>
      </w:r>
    </w:p>
    <w:p>
      <w:pPr>
        <w:pStyle w:val="Heading 2"/>
        <w:spacing w:before="240" w:after="120"/>
      </w:pPr>
      <w:r>
        <w:rPr>
          <w:rtl w:val="0"/>
          <w:lang w:val="en-US"/>
        </w:rPr>
        <w:t>2.2 AI in Accounting</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Commercial solutions such as Intuit Assist </w:t>
      </w:r>
      <w:r>
        <w:rPr>
          <w:b w:val="0"/>
          <w:bCs w:val="0"/>
          <w:outline w:val="0"/>
          <w:color w:val="000000"/>
          <w:sz w:val="16"/>
          <w:szCs w:val="16"/>
          <w:u w:color="000000"/>
          <w:vertAlign w:val="superscript"/>
          <w:rtl w:val="0"/>
          <w:lang w:val="pt-PT"/>
          <w14:textFill>
            <w14:solidFill>
              <w14:srgbClr w14:val="000000"/>
            </w14:solidFill>
          </w14:textFill>
        </w:rPr>
        <w:t>[5]</w:t>
      </w:r>
      <w:r>
        <w:rPr>
          <w:b w:val="0"/>
          <w:bCs w:val="0"/>
          <w:outline w:val="0"/>
          <w:color w:val="000000"/>
          <w:sz w:val="20"/>
          <w:szCs w:val="20"/>
          <w:u w:color="000000"/>
          <w:rtl w:val="0"/>
          <w:lang w:val="en-US"/>
          <w14:textFill>
            <w14:solidFill>
              <w14:srgbClr w14:val="000000"/>
            </w14:solidFill>
          </w14:textFill>
        </w:rPr>
        <w:t xml:space="preserve">, Pilot AI </w:t>
      </w:r>
      <w:r>
        <w:rPr>
          <w:b w:val="0"/>
          <w:bCs w:val="0"/>
          <w:outline w:val="0"/>
          <w:color w:val="000000"/>
          <w:sz w:val="16"/>
          <w:szCs w:val="16"/>
          <w:u w:color="000000"/>
          <w:vertAlign w:val="superscript"/>
          <w:rtl w:val="0"/>
          <w:lang w:val="pt-PT"/>
          <w14:textFill>
            <w14:solidFill>
              <w14:srgbClr w14:val="000000"/>
            </w14:solidFill>
          </w14:textFill>
        </w:rPr>
        <w:t>[6]</w:t>
      </w:r>
      <w:r>
        <w:rPr>
          <w:b w:val="0"/>
          <w:bCs w:val="0"/>
          <w:outline w:val="0"/>
          <w:color w:val="000000"/>
          <w:sz w:val="20"/>
          <w:szCs w:val="20"/>
          <w:u w:color="000000"/>
          <w:rtl w:val="0"/>
          <w:lang w:val="en-US"/>
          <w14:textFill>
            <w14:solidFill>
              <w14:srgbClr w14:val="000000"/>
            </w14:solidFill>
          </w14:textFill>
        </w:rPr>
        <w:t xml:space="preserve">, Docyt, and FloQast provide AI-assisted bookkeeping within closed ecosystems. Intuit reports that its AI reduces reconciliation time by ~3x and that 74% of customers post transactions faster </w:t>
      </w:r>
      <w:r>
        <w:rPr>
          <w:b w:val="0"/>
          <w:bCs w:val="0"/>
          <w:outline w:val="0"/>
          <w:color w:val="000000"/>
          <w:sz w:val="16"/>
          <w:szCs w:val="16"/>
          <w:u w:color="000000"/>
          <w:vertAlign w:val="superscript"/>
          <w:rtl w:val="0"/>
          <w:lang w:val="pt-PT"/>
          <w14:textFill>
            <w14:solidFill>
              <w14:srgbClr w14:val="000000"/>
            </w14:solidFill>
          </w14:textFill>
        </w:rPr>
        <w:t>[5]</w:t>
      </w:r>
      <w:r>
        <w:rPr>
          <w:b w:val="0"/>
          <w:bCs w:val="0"/>
          <w:outline w:val="0"/>
          <w:color w:val="000000"/>
          <w:sz w:val="20"/>
          <w:szCs w:val="20"/>
          <w:u w:color="000000"/>
          <w:rtl w:val="0"/>
          <w:lang w:val="en-US"/>
          <w14:textFill>
            <w14:solidFill>
              <w14:srgbClr w14:val="000000"/>
            </w14:solidFill>
          </w14:textFill>
        </w:rPr>
        <w:t>. However, these systems are opaque, expensive for small firms, and tightly coupled to the vendor’s own regulatory interpretations — leaving no room for jurisdiction-specific customization or third-party extensibility</w:t>
      </w:r>
      <w:r>
        <w:rPr>
          <w:b w:val="0"/>
          <w:bCs w:val="0"/>
          <w:outline w:val="0"/>
          <w:color w:val="000000"/>
          <w:sz w:val="20"/>
          <w:szCs w:val="20"/>
          <w:u w:color="000000"/>
          <w:rtl w:val="0"/>
          <w:lang w:val="en-US"/>
          <w14:textFill>
            <w14:solidFill>
              <w14:srgbClr w14:val="000000"/>
            </w14:solidFill>
          </w14:textFill>
        </w:rPr>
        <w:t xml:space="preserve">. On the open-source side, panaversity/accounts_ai </w:t>
      </w:r>
      <w:r>
        <w:rPr>
          <w:b w:val="0"/>
          <w:bCs w:val="0"/>
          <w:outline w:val="0"/>
          <w:color w:val="000000"/>
          <w:sz w:val="16"/>
          <w:szCs w:val="16"/>
          <w:u w:color="000000"/>
          <w:vertAlign w:val="superscript"/>
          <w:rtl w:val="0"/>
          <w:lang w:val="pt-PT"/>
          <w14:textFill>
            <w14:solidFill>
              <w14:srgbClr w14:val="000000"/>
            </w14:solidFill>
          </w14:textFill>
        </w:rPr>
        <w:t>[7]</w:t>
      </w:r>
      <w:r>
        <w:rPr>
          <w:b w:val="0"/>
          <w:bCs w:val="0"/>
          <w:outline w:val="0"/>
          <w:color w:val="000000"/>
          <w:sz w:val="20"/>
          <w:szCs w:val="20"/>
          <w:u w:color="000000"/>
          <w:rtl w:val="0"/>
          <w:lang w:val="en-US"/>
          <w14:textFill>
            <w14:solidFill>
              <w14:srgbClr w14:val="000000"/>
            </w14:solidFill>
          </w14:textFill>
        </w:rPr>
        <w:t xml:space="preserve"> proposes an AI accounting co-pilot but remains at the architectural design stage without experimental validation. To our knowledge, no published academic work proposes a complete multi-agent LLM framework modelled on accounting firm organizational structure.</w:t>
      </w:r>
    </w:p>
    <w:p>
      <w:pPr>
        <w:pStyle w:val="Heading 2"/>
        <w:spacing w:before="240" w:after="120"/>
      </w:pPr>
      <w:r>
        <w:rPr>
          <w:rtl w:val="0"/>
          <w:lang w:val="en-US"/>
        </w:rPr>
        <w:t>2.3 Human-in-the-Loop in Agentic Systems</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HITL mechanisms in agentic systems have been studied in the context of code generation (AlphaGPT </w:t>
      </w:r>
      <w:r>
        <w:rPr>
          <w:b w:val="0"/>
          <w:bCs w:val="0"/>
          <w:outline w:val="0"/>
          <w:color w:val="000000"/>
          <w:sz w:val="16"/>
          <w:szCs w:val="16"/>
          <w:u w:color="000000"/>
          <w:vertAlign w:val="superscript"/>
          <w:rtl w:val="0"/>
          <w:lang w:val="pt-PT"/>
          <w14:textFill>
            <w14:solidFill>
              <w14:srgbClr w14:val="000000"/>
            </w14:solidFill>
          </w14:textFill>
        </w:rPr>
        <w:t>[8]</w:t>
      </w:r>
      <w:r>
        <w:rPr>
          <w:b w:val="0"/>
          <w:bCs w:val="0"/>
          <w:outline w:val="0"/>
          <w:color w:val="000000"/>
          <w:sz w:val="20"/>
          <w:szCs w:val="20"/>
          <w:u w:color="000000"/>
          <w:rtl w:val="0"/>
          <w:lang w:val="en-US"/>
          <w14:textFill>
            <w14:solidFill>
              <w14:srgbClr w14:val="000000"/>
            </w14:solidFill>
          </w14:textFill>
        </w:rPr>
        <w:t xml:space="preserve">) and general task automation. LangGraph's interrupt() primitive </w:t>
      </w:r>
      <w:r>
        <w:rPr>
          <w:b w:val="0"/>
          <w:bCs w:val="0"/>
          <w:outline w:val="0"/>
          <w:color w:val="000000"/>
          <w:sz w:val="16"/>
          <w:szCs w:val="16"/>
          <w:u w:color="000000"/>
          <w:vertAlign w:val="superscript"/>
          <w:rtl w:val="0"/>
          <w:lang w:val="pt-PT"/>
          <w14:textFill>
            <w14:solidFill>
              <w14:srgbClr w14:val="000000"/>
            </w14:solidFill>
          </w14:textFill>
        </w:rPr>
        <w:t>[9]</w:t>
      </w:r>
      <w:r>
        <w:rPr>
          <w:b w:val="0"/>
          <w:bCs w:val="0"/>
          <w:outline w:val="0"/>
          <w:color w:val="000000"/>
          <w:sz w:val="20"/>
          <w:szCs w:val="20"/>
          <w:u w:color="000000"/>
          <w:rtl w:val="0"/>
          <w:lang w:val="en-US"/>
          <w14:textFill>
            <w14:solidFill>
              <w14:srgbClr w14:val="000000"/>
            </w14:solidFill>
          </w14:textFill>
        </w:rPr>
        <w:t xml:space="preserve"> provides a first-class HITL abstraction: threads are suspended, state is persisted via a checkpointer, and execution resumes upon external signal. Our contribution extends this to an asynchronous, mobile-friendly approval loop via any near-real-time communication mechanism (e.g., email, instant messaging), addressing the practical constraint that accounting supervisors are rarely at a workstation.</w:t>
      </w:r>
    </w:p>
    <w:p>
      <w:pPr>
        <w:pStyle w:val="Heading 2"/>
        <w:spacing w:before="240" w:after="120"/>
      </w:pPr>
      <w:r>
        <w:rPr>
          <w:rtl w:val="0"/>
          <w:lang w:val="en-US"/>
        </w:rPr>
        <w:t>2.4 Traceability and Accountability in Multi-Agent Systems</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Traceability and accountability are foundational requirements in regulated environments such as accounting, where every financial action must be auditable and attributable. Barrak </w:t>
      </w:r>
      <w:r>
        <w:rPr>
          <w:b w:val="0"/>
          <w:bCs w:val="0"/>
          <w:outline w:val="0"/>
          <w:color w:val="000000"/>
          <w:sz w:val="16"/>
          <w:szCs w:val="16"/>
          <w:u w:color="000000"/>
          <w:vertAlign w:val="superscript"/>
          <w:rtl w:val="0"/>
          <w:lang w:val="en-US"/>
          <w14:textFill>
            <w14:solidFill>
              <w14:srgbClr w14:val="000000"/>
            </w14:solidFill>
          </w14:textFill>
        </w:rPr>
        <w:t>[12]</w:t>
      </w:r>
      <w:r>
        <w:rPr>
          <w:b w:val="0"/>
          <w:bCs w:val="0"/>
          <w:outline w:val="0"/>
          <w:color w:val="000000"/>
          <w:sz w:val="20"/>
          <w:szCs w:val="20"/>
          <w:u w:color="000000"/>
          <w:rtl w:val="0"/>
          <w:lang w:val="en-US"/>
          <w14:textFill>
            <w14:solidFill>
              <w14:srgbClr w14:val="000000"/>
            </w14:solidFill>
          </w14:textFill>
        </w:rPr>
        <w:t xml:space="preserve"> empirically demonstrates that structured, accountable handoffs between role-specialized agents markedly improve accuracy and prevent the silent propagation of errors common in naive pipelines. Their Planner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Executor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Critic architecture shows that saving records of who did what at each step is not merely a governance concern but a direct driver of system reliability. AccountingAgents inherits this principle through two complementary mechanisms: (1) the SharedState architecture, where each agent writes only its own delta, creating an implicit, auditable trail of every decision and transformation; and (2) the four-level HITL escalation model (N1</w:t>
      </w:r>
      <w:r>
        <w:rPr>
          <w:b w:val="0"/>
          <w:bCs w:val="0"/>
          <w:outline w:val="0"/>
          <w:color w:val="000000"/>
          <w:sz w:val="20"/>
          <w:szCs w:val="20"/>
          <w:u w:color="000000"/>
          <w:rtl w:val="0"/>
          <w:lang w:val="en-US"/>
          <w14:textFill>
            <w14:solidFill>
              <w14:srgbClr w14:val="000000"/>
            </w14:solidFill>
          </w14:textFill>
        </w:rPr>
        <w:t>–</w:t>
      </w:r>
      <w:r>
        <w:rPr>
          <w:b w:val="0"/>
          <w:bCs w:val="0"/>
          <w:outline w:val="0"/>
          <w:color w:val="000000"/>
          <w:sz w:val="20"/>
          <w:szCs w:val="20"/>
          <w:u w:color="000000"/>
          <w:rtl w:val="0"/>
          <w:lang w:val="en-US"/>
          <w14:textFill>
            <w14:solidFill>
              <w14:srgbClr w14:val="000000"/>
            </w14:solidFill>
          </w14:textFill>
        </w:rPr>
        <w:t xml:space="preserve">N4), which ensures that high-stakes actions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vendor payments, AR escalations, reconciliation corrections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are explicitly authorized before execution and logged upon completion.</w:t>
      </w:r>
    </w:p>
    <w:p>
      <w:pPr>
        <w:pStyle w:val="Heading 2"/>
        <w:spacing w:before="240" w:after="120"/>
      </w:pPr>
    </w:p>
    <w:p>
      <w:pPr>
        <w:pStyle w:val="Heading"/>
        <w:spacing w:before="240"/>
      </w:pPr>
      <w:r>
        <w:rPr>
          <w:rFonts w:ascii="Arial Unicode MS" w:cs="Arial Unicode MS" w:hAnsi="Arial Unicode MS" w:eastAsia="Arial Unicode MS"/>
          <w:b w:val="0"/>
          <w:bCs w:val="0"/>
          <w:i w:val="0"/>
          <w:iCs w:val="0"/>
          <w:lang w:val="en-US"/>
        </w:rPr>
        <w:br w:type="page"/>
      </w:r>
    </w:p>
    <w:p>
      <w:pPr>
        <w:pStyle w:val="Heading"/>
        <w:spacing w:before="240"/>
        <w:rPr>
          <w:lang w:val="en-US"/>
        </w:rPr>
      </w:pPr>
      <w:r>
        <w:rPr>
          <w:rtl w:val="0"/>
          <w:lang w:val="en-US"/>
        </w:rPr>
        <w:t>3. AccountingAgents Framework</w:t>
      </w:r>
    </w:p>
    <w:p>
      <w:pPr>
        <w:pStyle w:val="Heading 2"/>
        <w:spacing w:before="240" w:after="120"/>
      </w:pPr>
      <w:r>
        <w:rPr>
          <w:rtl w:val="0"/>
          <w:lang w:val="en-US"/>
        </w:rPr>
        <w:t>3.1 Design Principles</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AccountingAgents is governed by three principles inherited from TradingAgents and adapted to the accounting domain:</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Structured state as the sole communication channel. All agents read from and write to a typed SharedState (Python TypedDict), eliminating context corruption across long conversation histories.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Delta-based updates. Each agent node returns only the fields it modifies; LangGraph merges these automatically into the global state.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Framework complexity must be justified. A framework is adopted only when the complexity it manages exceeds the complexity it introduces.</w:t>
      </w:r>
    </w:p>
    <w:p>
      <w:pPr>
        <w:pStyle w:val="Heading 2"/>
        <w:spacing w:before="240" w:after="120"/>
      </w:pPr>
      <w:r>
        <w:rPr>
          <w:rtl w:val="0"/>
          <w:lang w:val="en-US"/>
        </w:rPr>
        <w:t>3.2 Overall Framework Organization</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The framework comprises seven specialized agents, organized sequentially with conditional routing by the Supervisor. Figure 1 illustrates the overall architecture.</w:t>
      </w:r>
    </w:p>
    <w:p>
      <w:pPr>
        <w:pStyle w:val="Heading 2"/>
        <w:spacing w:before="240" w:after="120"/>
      </w:pPr>
    </w:p>
    <w:p>
      <w:pPr>
        <w:pStyle w:val="Heading 2"/>
        <w:spacing w:before="240" w:after="120"/>
      </w:pPr>
      <w:r>
        <w:drawing xmlns:a="http://schemas.openxmlformats.org/drawingml/2006/main">
          <wp:inline distT="0" distB="0" distL="0" distR="0">
            <wp:extent cx="5905500" cy="4191000"/>
            <wp:effectExtent l="0" t="0" r="0" b="0"/>
            <wp:docPr id="1073741825" name="officeArt object" descr="9d075aada48fc896c8393bfab4ee2187a26e34d7.png"/>
            <wp:cNvGraphicFramePr/>
            <a:graphic xmlns:a="http://schemas.openxmlformats.org/drawingml/2006/main">
              <a:graphicData uri="http://schemas.openxmlformats.org/drawingml/2006/picture">
                <pic:pic xmlns:pic="http://schemas.openxmlformats.org/drawingml/2006/picture">
                  <pic:nvPicPr>
                    <pic:cNvPr id="1073741825" name="9d075aada48fc896c8393bfab4ee2187a26e34d7.png" descr="9d075aada48fc896c8393bfab4ee2187a26e34d7.png"/>
                    <pic:cNvPicPr>
                      <a:picLocks noChangeAspect="1"/>
                    </pic:cNvPicPr>
                  </pic:nvPicPr>
                  <pic:blipFill>
                    <a:blip r:embed="rId4">
                      <a:extLst/>
                    </a:blip>
                    <a:stretch>
                      <a:fillRect/>
                    </a:stretch>
                  </pic:blipFill>
                  <pic:spPr>
                    <a:xfrm>
                      <a:off x="0" y="0"/>
                      <a:ext cx="5905500" cy="4191000"/>
                    </a:xfrm>
                    <a:prstGeom prst="rect">
                      <a:avLst/>
                    </a:prstGeom>
                    <a:ln w="12700" cap="flat">
                      <a:noFill/>
                      <a:miter lim="400000"/>
                    </a:ln>
                    <a:effectLst/>
                  </pic:spPr>
                </pic:pic>
              </a:graphicData>
            </a:graphic>
          </wp:inline>
        </w:drawing>
      </w:r>
    </w:p>
    <w:p>
      <w:pPr>
        <w:pStyle w:val="Heading 2"/>
        <w:spacing w:before="240" w:after="120"/>
      </w:pPr>
    </w:p>
    <w:p>
      <w:pPr>
        <w:pStyle w:val="Heading 2"/>
        <w:spacing w:before="240" w:after="120"/>
      </w:pPr>
      <w:r>
        <w:rPr>
          <w:rFonts w:ascii="Arial Unicode MS" w:cs="Arial Unicode MS" w:hAnsi="Arial Unicode MS" w:eastAsia="Arial Unicode MS"/>
          <w:b w:val="0"/>
          <w:bCs w:val="0"/>
          <w:i w:val="0"/>
          <w:iCs w:val="0"/>
          <w:lang w:val="fr-FR"/>
        </w:rPr>
        <w:br w:type="page"/>
      </w:r>
    </w:p>
    <w:p>
      <w:pPr>
        <w:pStyle w:val="Heading 2"/>
        <w:spacing w:before="240" w:after="120"/>
        <w:rPr>
          <w:lang w:val="fr-FR"/>
        </w:rPr>
      </w:pPr>
      <w:r>
        <w:rPr>
          <w:rtl w:val="0"/>
          <w:lang w:val="fr-FR"/>
        </w:rPr>
        <w:t>3.3 Agent Roles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00"/>
        <w:gridCol w:w="2200"/>
        <w:gridCol w:w="2400"/>
        <w:gridCol w:w="3160"/>
      </w:tblGrid>
      <w:tr>
        <w:tblPrEx>
          <w:shd w:val="clear" w:color="auto" w:fill="4f81bd"/>
        </w:tblPrEx>
        <w:trPr>
          <w:trHeight w:val="198" w:hRule="atLeast"/>
          <w:tblHeader/>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Team</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 w:val="left" w:pos="216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Agent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 w:val="left" w:pos="216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Goal</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2c3e50"/>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MCP Tools</w:t>
            </w:r>
            <w:r>
              <w:rPr>
                <w:rFonts w:ascii="Times New Roman" w:hAnsi="Times New Roman"/>
                <w:b w:val="1"/>
                <w:bCs w:val="1"/>
                <w:outline w:val="0"/>
                <w:color w:val="ffffff"/>
                <w:sz w:val="18"/>
                <w:szCs w:val="18"/>
                <w:u w:color="ffffff"/>
                <w:shd w:val="nil" w:color="auto" w:fill="auto"/>
                <w:rtl w:val="0"/>
                <w:lang w:val="fr-FR"/>
                <w14:textFill>
                  <w14:solidFill>
                    <w14:srgbClr w14:val="FFFFFF"/>
                  </w14:solidFill>
                </w14:textFill>
              </w:rPr>
              <w:t xml:space="preserve"> for the MVP</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it-IT"/>
              </w:rPr>
              <w:t>I. Ingestion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en-US"/>
              </w:rPr>
              <w:t>Ingestion Agent</w:t>
            </w:r>
          </w:p>
          <w:p>
            <w:pPr>
              <w:pStyle w:val="Default"/>
              <w:bidi w:val="0"/>
              <w:ind w:left="0" w:right="0" w:firstLine="0"/>
              <w:jc w:val="left"/>
              <w:rPr>
                <w:rtl w:val="0"/>
              </w:rPr>
            </w:pPr>
            <w:r>
              <w:rPr>
                <w:rFonts w:ascii="Times New Roman" w:hAnsi="Times New Roman"/>
                <w:sz w:val="17"/>
                <w:szCs w:val="17"/>
                <w:shd w:val="nil" w:color="auto" w:fill="auto"/>
                <w:rtl w:val="0"/>
                <w:lang w:val="fr-FR"/>
              </w:rPr>
              <w:t>Document Classifier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Capture &amp; classify incoming financial documents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da-DK"/>
              </w:rPr>
              <w:t>LLM</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it-IT"/>
              </w:rPr>
              <w:t>II. Reconciliation</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fr-FR"/>
              </w:rPr>
              <w:t>Reconciliation Agent</w:t>
            </w:r>
          </w:p>
          <w:p>
            <w:pPr>
              <w:pStyle w:val="Default"/>
              <w:bidi w:val="0"/>
              <w:ind w:left="0" w:right="0" w:firstLine="0"/>
              <w:jc w:val="left"/>
              <w:rPr>
                <w:rtl w:val="0"/>
              </w:rPr>
            </w:pPr>
            <w:r>
              <w:rPr>
                <w:rFonts w:ascii="Times New Roman" w:hAnsi="Times New Roman"/>
                <w:sz w:val="17"/>
                <w:szCs w:val="17"/>
                <w:shd w:val="nil" w:color="auto" w:fill="auto"/>
                <w:rtl w:val="0"/>
                <w:lang w:val="en-US"/>
              </w:rPr>
              <w:t>Gap Detector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Match transactions vs. bank statements; flag discrepancies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Drive MCP</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en-US"/>
              </w:rPr>
              <w:t>III. Reporting</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en-US"/>
              </w:rPr>
              <w:t>Reporting Agent</w:t>
            </w:r>
          </w:p>
          <w:p>
            <w:pPr>
              <w:pStyle w:val="Default"/>
              <w:bidi w:val="0"/>
              <w:ind w:left="0" w:right="0" w:firstLine="0"/>
              <w:jc w:val="left"/>
              <w:rPr>
                <w:rtl w:val="0"/>
              </w:rPr>
            </w:pPr>
            <w:r>
              <w:rPr>
                <w:rFonts w:ascii="Times New Roman" w:hAnsi="Times New Roman"/>
                <w:sz w:val="17"/>
                <w:szCs w:val="17"/>
                <w:shd w:val="nil" w:color="auto" w:fill="auto"/>
                <w:rtl w:val="0"/>
                <w:lang w:val="en-US"/>
              </w:rPr>
              <w:t>Compliance Agent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Generate P&amp;L, cash flow; monitor fiscal deadlines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pt-PT"/>
              </w:rPr>
              <w:t>Calendar MCP</w:t>
            </w:r>
          </w:p>
        </w:tc>
      </w:tr>
      <w:tr>
        <w:tblPrEx>
          <w:shd w:val="clear" w:color="auto" w:fill="ced7e7"/>
        </w:tblPrEx>
        <w:trPr>
          <w:trHeight w:val="994"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en-US"/>
              </w:rPr>
              <w:t>IV. AR / AP / Client</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de-DE"/>
              </w:rPr>
              <w:t>AR Agent</w:t>
            </w:r>
          </w:p>
          <w:p>
            <w:pPr>
              <w:pStyle w:val="Default"/>
              <w:bidi w:val="0"/>
              <w:ind w:left="0" w:right="0" w:firstLine="0"/>
              <w:jc w:val="left"/>
              <w:rPr>
                <w:rFonts w:ascii="Times New Roman" w:cs="Times New Roman" w:hAnsi="Times New Roman" w:eastAsia="Times New Roman"/>
                <w:sz w:val="17"/>
                <w:szCs w:val="17"/>
                <w:shd w:val="nil" w:color="auto" w:fill="auto"/>
                <w:rtl w:val="0"/>
              </w:rPr>
            </w:pPr>
            <w:r>
              <w:rPr>
                <w:rFonts w:ascii="Times New Roman" w:hAnsi="Times New Roman"/>
                <w:sz w:val="17"/>
                <w:szCs w:val="17"/>
                <w:shd w:val="nil" w:color="auto" w:fill="auto"/>
                <w:rtl w:val="0"/>
                <w:lang w:val="es-ES_tradnl"/>
              </w:rPr>
              <w:t>AP / Payables Agent</w:t>
            </w:r>
          </w:p>
          <w:p>
            <w:pPr>
              <w:pStyle w:val="Default"/>
              <w:bidi w:val="0"/>
              <w:ind w:left="0" w:right="0" w:firstLine="0"/>
              <w:jc w:val="left"/>
              <w:rPr>
                <w:rtl w:val="0"/>
              </w:rPr>
            </w:pPr>
            <w:r>
              <w:rPr>
                <w:rFonts w:ascii="Times New Roman" w:hAnsi="Times New Roman"/>
                <w:sz w:val="17"/>
                <w:szCs w:val="17"/>
                <w:shd w:val="nil" w:color="auto" w:fill="auto"/>
                <w:rtl w:val="0"/>
                <w:lang w:val="en-US"/>
              </w:rPr>
              <w:t>Onboarding Agent</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Track overdue invoices; approve vendor bills &amp; payments; create client profiles</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QBO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pt-PT"/>
              </w:rPr>
              <w:t>Calendar MCP</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it-IT"/>
              </w:rPr>
              <w:t>V. Supervisor</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it-IT"/>
              </w:rPr>
              <w:t>Supervisor</w:t>
            </w:r>
          </w:p>
          <w:p>
            <w:pPr>
              <w:pStyle w:val="Default"/>
              <w:bidi w:val="0"/>
              <w:ind w:left="0" w:right="0" w:firstLine="0"/>
              <w:jc w:val="left"/>
              <w:rPr>
                <w:rtl w:val="0"/>
              </w:rPr>
            </w:pPr>
            <w:r>
              <w:rPr>
                <w:rFonts w:ascii="Times New Roman" w:hAnsi="Times New Roman"/>
                <w:sz w:val="17"/>
                <w:szCs w:val="17"/>
                <w:shd w:val="nil" w:color="auto" w:fill="auto"/>
                <w:rtl w:val="0"/>
                <w:lang w:val="en-US"/>
              </w:rPr>
              <w:t>Decision Router</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Orchestrate state, routing, error handling</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 xml:space="preserve">LangGraph StateGraph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checkpointer</w:t>
            </w:r>
          </w:p>
        </w:tc>
      </w:tr>
      <w:tr>
        <w:tblPrEx>
          <w:shd w:val="clear" w:color="auto" w:fill="ced7e7"/>
        </w:tblPrEx>
        <w:trPr>
          <w:trHeight w:val="597" w:hRule="atLeast"/>
        </w:trPr>
        <w:tc>
          <w:tcPr>
            <w:tcW w:type="dxa" w:w="16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s>
            </w:pPr>
            <w:r>
              <w:rPr>
                <w:rFonts w:ascii="Times New Roman" w:hAnsi="Times New Roman"/>
                <w:sz w:val="17"/>
                <w:szCs w:val="17"/>
                <w:shd w:val="nil" w:color="auto" w:fill="auto"/>
                <w:rtl w:val="0"/>
                <w:lang w:val="en-US"/>
              </w:rPr>
              <w:t>VI. HITL</w:t>
            </w:r>
          </w:p>
        </w:tc>
        <w:tc>
          <w:tcPr>
            <w:tcW w:type="dxa" w:w="2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rPr>
                <w:rFonts w:ascii="Times New Roman" w:cs="Times New Roman" w:hAnsi="Times New Roman" w:eastAsia="Times New Roman"/>
                <w:sz w:val="17"/>
                <w:szCs w:val="17"/>
                <w:shd w:val="nil" w:color="auto" w:fill="auto"/>
              </w:rPr>
            </w:pPr>
            <w:r>
              <w:rPr>
                <w:rFonts w:ascii="Times New Roman" w:hAnsi="Times New Roman"/>
                <w:sz w:val="17"/>
                <w:szCs w:val="17"/>
                <w:shd w:val="nil" w:color="auto" w:fill="auto"/>
                <w:rtl w:val="0"/>
                <w:lang w:val="fr-FR"/>
              </w:rPr>
              <w:t>HITL Notifier</w:t>
            </w:r>
          </w:p>
          <w:p>
            <w:pPr>
              <w:pStyle w:val="Default"/>
              <w:bidi w:val="0"/>
              <w:ind w:left="0" w:right="0" w:firstLine="0"/>
              <w:jc w:val="left"/>
              <w:rPr>
                <w:rtl w:val="0"/>
              </w:rPr>
            </w:pPr>
            <w:r>
              <w:rPr>
                <w:rFonts w:ascii="Times New Roman" w:hAnsi="Times New Roman"/>
                <w:sz w:val="17"/>
                <w:szCs w:val="17"/>
                <w:shd w:val="nil" w:color="auto" w:fill="auto"/>
                <w:rtl w:val="0"/>
                <w:lang w:val="en-US"/>
              </w:rPr>
              <w:t>Webhook Resumption</w:t>
            </w:r>
          </w:p>
        </w:tc>
        <w:tc>
          <w:tcPr>
            <w:tcW w:type="dxa" w:w="24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s>
            </w:pPr>
            <w:r>
              <w:rPr>
                <w:rFonts w:ascii="Times New Roman" w:hAnsi="Times New Roman"/>
                <w:sz w:val="17"/>
                <w:szCs w:val="17"/>
                <w:shd w:val="nil" w:color="auto" w:fill="auto"/>
                <w:rtl w:val="0"/>
                <w:lang w:val="en-US"/>
              </w:rPr>
              <w:t>Async approval via Gmail; resume suspended thread</w:t>
            </w:r>
          </w:p>
        </w:tc>
        <w:tc>
          <w:tcPr>
            <w:tcW w:type="dxa" w:w="316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center"/>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de-DE"/>
              </w:rPr>
              <w:t xml:space="preserve">Gmail MCP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 xml:space="preserve">webhook endpoint </w:t>
            </w:r>
            <w:r>
              <w:rPr>
                <w:rFonts w:ascii="Times New Roman" w:hAnsi="Times New Roman" w:hint="default"/>
                <w:sz w:val="17"/>
                <w:szCs w:val="17"/>
                <w:shd w:val="nil" w:color="auto" w:fill="auto"/>
                <w:rtl w:val="0"/>
                <w:lang w:val="de-DE"/>
              </w:rPr>
              <w:t xml:space="preserve">· </w:t>
            </w:r>
            <w:r>
              <w:rPr>
                <w:rFonts w:ascii="Times New Roman" w:hAnsi="Times New Roman"/>
                <w:sz w:val="17"/>
                <w:szCs w:val="17"/>
                <w:shd w:val="nil" w:color="auto" w:fill="auto"/>
                <w:rtl w:val="0"/>
                <w:lang w:val="en-US"/>
              </w:rPr>
              <w:t>SqliteSaver</w:t>
            </w:r>
          </w:p>
        </w:tc>
      </w:tr>
    </w:tbl>
    <w:p>
      <w:pPr>
        <w:pStyle w:val="Heading 2"/>
        <w:widowControl w:val="0"/>
        <w:spacing w:before="240" w:after="120"/>
        <w:ind w:left="108" w:hanging="108"/>
        <w:rPr>
          <w:lang w:val="fr-FR"/>
        </w:rPr>
      </w:pPr>
    </w:p>
    <w:p>
      <w:pPr>
        <w:pStyle w:val="Heading 2"/>
        <w:widowControl w:val="0"/>
        <w:spacing w:before="240" w:after="120"/>
      </w:pPr>
    </w:p>
    <w:p>
      <w:pPr>
        <w:pStyle w:val="Heading 2"/>
        <w:widowControl w:val="0"/>
        <w:spacing w:before="240" w:after="120"/>
      </w:pPr>
      <w:r>
        <w:rPr>
          <w:b w:val="0"/>
          <w:bCs w:val="0"/>
          <w:outline w:val="0"/>
          <w:color w:val="000000"/>
          <w:sz w:val="18"/>
          <w:szCs w:val="18"/>
          <w:u w:color="000000"/>
          <w:rtl w:val="0"/>
          <w:lang w:val="en-US"/>
          <w14:textFill>
            <w14:solidFill>
              <w14:srgbClr w14:val="000000"/>
            </w14:solidFill>
          </w14:textFill>
        </w:rPr>
        <w:t>Table 1: AccountingAgents role definitions.</w:t>
      </w:r>
    </w:p>
    <w:p>
      <w:pPr>
        <w:pStyle w:val="Heading 2"/>
        <w:spacing w:before="240" w:after="120"/>
      </w:pPr>
      <w:r>
        <w:rPr>
          <w:rtl w:val="0"/>
          <w:lang w:val="en-US"/>
        </w:rPr>
        <w:t>3.4 SharedState Design</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All inter-agent communication flows exclusively through a structured </w:t>
      </w:r>
      <w:r>
        <w:rPr>
          <w:outline w:val="0"/>
          <w:color w:val="000000"/>
          <w:sz w:val="20"/>
          <w:szCs w:val="20"/>
          <w:u w:color="000000"/>
          <w:rtl w:val="0"/>
          <w:lang w:val="en-US"/>
          <w14:textFill>
            <w14:solidFill>
              <w14:srgbClr w14:val="000000"/>
            </w14:solidFill>
          </w14:textFill>
        </w:rPr>
        <w:t>SharedState</w:t>
      </w:r>
      <w:r>
        <w:rPr>
          <w:b w:val="0"/>
          <w:bCs w:val="0"/>
          <w:outline w:val="0"/>
          <w:color w:val="000000"/>
          <w:sz w:val="20"/>
          <w:szCs w:val="20"/>
          <w:u w:color="000000"/>
          <w:rtl w:val="0"/>
          <w:lang w:val="en-US"/>
          <w14:textFill>
            <w14:solidFill>
              <w14:srgbClr w14:val="000000"/>
            </w14:solidFill>
          </w14:textFill>
        </w:rPr>
        <w:t xml:space="preserve"> TypedDict. This design eliminates the "telephone effect" identified in TradingAgents </w:t>
      </w:r>
      <w:r>
        <w:rPr>
          <w:b w:val="0"/>
          <w:bCs w:val="0"/>
          <w:outline w:val="0"/>
          <w:color w:val="000000"/>
          <w:sz w:val="16"/>
          <w:szCs w:val="16"/>
          <w:u w:color="000000"/>
          <w:vertAlign w:val="superscript"/>
          <w:rtl w:val="0"/>
          <w:lang w:val="pt-PT"/>
          <w14:textFill>
            <w14:solidFill>
              <w14:srgbClr w14:val="000000"/>
            </w14:solidFill>
          </w14:textFill>
        </w:rPr>
        <w:t>[1]</w:t>
      </w:r>
      <w:r>
        <w:rPr>
          <w:b w:val="0"/>
          <w:bCs w:val="0"/>
          <w:outline w:val="0"/>
          <w:color w:val="000000"/>
          <w:sz w:val="20"/>
          <w:szCs w:val="20"/>
          <w:u w:color="000000"/>
          <w:rtl w:val="0"/>
          <w:lang w:val="en-US"/>
          <w14:textFill>
            <w14:solidFill>
              <w14:srgbClr w14:val="000000"/>
            </w14:solidFill>
          </w14:textFill>
        </w:rPr>
        <w:t xml:space="preserve"> — </w:t>
      </w:r>
      <w:r>
        <w:rPr>
          <w:b w:val="0"/>
          <w:bCs w:val="0"/>
          <w:outline w:val="0"/>
          <w:color w:val="000000"/>
          <w:sz w:val="20"/>
          <w:szCs w:val="20"/>
          <w:u w:color="000000"/>
          <w:rtl w:val="0"/>
          <w:lang w:val="en-US"/>
          <w14:textFill>
            <w14:solidFill>
              <w14:srgbClr w14:val="000000"/>
            </w14:solidFill>
          </w14:textFill>
        </w:rPr>
        <w:t>the progressive corruption of context that occurs when agents communicate through natural language message histories. The SharedState fields are partitioned into two categories: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Business fields cover document ingestion, transaction data, reconciliation gaps, AR/AP state, reporting artifacts, routing signals, and error logs.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HITL fields (hitl_pending, hitl_decision, thread_id, timeout_at) manage the suspension and resumption lifecycle.</w:t>
      </w:r>
    </w:p>
    <w:p>
      <w:pPr>
        <w:pStyle w:val="List Paragraph"/>
        <w:spacing w:after="80"/>
      </w:pPr>
      <w:r>
        <w:rPr>
          <w:outline w:val="0"/>
          <w:color w:val="000000"/>
          <w:u w:color="000000"/>
          <w:rtl w:val="0"/>
          <w:lang w:val="en-US"/>
          <w14:textFill>
            <w14:solidFill>
              <w14:srgbClr w14:val="000000"/>
            </w14:solidFill>
          </w14:textFill>
        </w:rPr>
        <w:t xml:space="preserve">Each agent node returns only a delta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the subset of fields it modifies </w:t>
      </w:r>
      <w:r>
        <w:rPr>
          <w:outline w:val="0"/>
          <w:color w:val="000000"/>
          <w:u w:color="000000"/>
          <w:rtl w:val="0"/>
          <w:lang w:val="en-US"/>
          <w14:textFill>
            <w14:solidFill>
              <w14:srgbClr w14:val="000000"/>
            </w14:solidFill>
          </w14:textFill>
        </w:rPr>
        <w:t xml:space="preserve">— </w:t>
      </w:r>
      <w:r>
        <w:rPr>
          <w:outline w:val="0"/>
          <w:color w:val="000000"/>
          <w:u w:color="000000"/>
          <w:rtl w:val="0"/>
          <w:lang w:val="en-US"/>
          <w14:textFill>
            <w14:solidFill>
              <w14:srgbClr w14:val="000000"/>
            </w14:solidFill>
          </w14:textFill>
        </w:rPr>
        <w:t>which LangGraph automatically merges into the global state. This ensures agents remain decoupled and that state evolution is auditable.</w:t>
      </w:r>
    </w:p>
    <w:p>
      <w:pPr>
        <w:pStyle w:val="Heading"/>
        <w:spacing w:before="240"/>
      </w:pPr>
      <w:r>
        <w:rPr>
          <w:rFonts w:ascii="Arial Unicode MS" w:cs="Arial Unicode MS" w:hAnsi="Arial Unicode MS" w:eastAsia="Arial Unicode MS"/>
          <w:b w:val="0"/>
          <w:bCs w:val="0"/>
          <w:i w:val="0"/>
          <w:iCs w:val="0"/>
        </w:rPr>
        <w:br w:type="page"/>
      </w:r>
    </w:p>
    <w:p>
      <w:pPr>
        <w:pStyle w:val="Heading"/>
        <w:spacing w:before="240"/>
      </w:pPr>
      <w:r>
        <w:rPr>
          <w:rtl w:val="0"/>
          <w:lang w:val="fr-FR"/>
        </w:rPr>
        <w:t>4. Asynchronous Human-in-the-Loop</w:t>
      </w:r>
    </w:p>
    <w:p>
      <w:pPr>
        <w:pStyle w:val="Heading 2"/>
        <w:spacing w:before="240" w:after="120"/>
      </w:pPr>
      <w:r>
        <w:rPr>
          <w:rtl w:val="0"/>
          <w:lang w:val="en-US"/>
        </w:rPr>
        <w:t>4.1 Motivation</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 xml:space="preserve">Accounting operations carry fiduciary and legal obligations that preclude fully autonomous execution of high-stakes actions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client escalations, reconciliation corrections, vendor payment approvals, new client onboarding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without human oversight. However, a HITL mechanism requiring a supervising accountant to monitor a console is impractical: accounting professionals are frequently in client meetings, on-site visits, or otherwise away from a workstation.</w:t>
      </w:r>
    </w:p>
    <w:p>
      <w:pPr>
        <w:pStyle w:val="Heading 2"/>
        <w:spacing w:before="240" w:after="120"/>
      </w:pPr>
      <w:r>
        <w:rPr>
          <w:rtl w:val="0"/>
          <w:lang w:val="en-US"/>
        </w:rPr>
        <w:t>4.2 Four-Level Escalation Model</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We define four escalation levels calibrated to accounting risk profiles: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00"/>
        <w:gridCol w:w="1800"/>
        <w:gridCol w:w="3180"/>
        <w:gridCol w:w="3180"/>
      </w:tblGrid>
      <w:tr>
        <w:tblPrEx>
          <w:shd w:val="clear" w:color="auto" w:fill="4f81bd"/>
        </w:tblPrEx>
        <w:trPr>
          <w:trHeight w:val="198" w:hRule="atLeast"/>
          <w:tblHeader/>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Level</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 w:val="left" w:pos="144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Mode</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Trigger</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Example</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N1</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en-US"/>
              </w:rPr>
              <w:t>Automatic</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Routine, low-risk action</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First AR reminder, standard report, small vendor bill &lt; $500</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N2</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en-US"/>
              </w:rPr>
              <w:t>Notify only</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Action taken; cancellable within window</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Invoice created, client profile drafted, recurring AP payment</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N3</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en-US"/>
              </w:rPr>
              <w:t>Approve (HITL)</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High-value or irreversible action</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AR escalation &gt;$5k, reconciliation gap, vendor payment &gt;$2k</w:t>
            </w:r>
          </w:p>
        </w:tc>
      </w:tr>
      <w:tr>
        <w:tblPrEx>
          <w:shd w:val="clear" w:color="auto" w:fill="ced7e7"/>
        </w:tblPrEx>
        <w:trPr>
          <w:trHeight w:val="437" w:hRule="atLeast"/>
        </w:trPr>
        <w:tc>
          <w:tcPr>
            <w:tcW w:type="dxa" w:w="12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N4</w:t>
            </w:r>
          </w:p>
        </w:tc>
        <w:tc>
          <w:tcPr>
            <w:tcW w:type="dxa" w:w="180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s>
            </w:pPr>
            <w:r>
              <w:rPr>
                <w:rFonts w:ascii="Times New Roman" w:hAnsi="Times New Roman"/>
                <w:sz w:val="17"/>
                <w:szCs w:val="17"/>
                <w:shd w:val="nil" w:color="auto" w:fill="auto"/>
                <w:rtl w:val="0"/>
                <w:lang w:val="nl-NL"/>
              </w:rPr>
              <w:t>Transfer</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Outside known rules</w:t>
            </w:r>
          </w:p>
        </w:tc>
        <w:tc>
          <w:tcPr>
            <w:tcW w:type="dxa" w:w="318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fffff"/>
            <w:tcMar>
              <w:top w:type="dxa" w:w="80"/>
              <w:left w:type="dxa" w:w="80"/>
              <w:bottom w:type="dxa" w:w="80"/>
              <w:right w:type="dxa" w:w="80"/>
            </w:tcMar>
            <w:vAlign w:val="top"/>
          </w:tcPr>
          <w:p>
            <w:pPr>
              <w:pStyle w:val="Default"/>
              <w:tabs>
                <w:tab w:val="left" w:pos="720"/>
                <w:tab w:val="left" w:pos="1440"/>
                <w:tab w:val="left" w:pos="2160"/>
                <w:tab w:val="left" w:pos="2880"/>
              </w:tabs>
            </w:pPr>
            <w:r>
              <w:rPr>
                <w:rFonts w:ascii="Times New Roman" w:hAnsi="Times New Roman"/>
                <w:sz w:val="17"/>
                <w:szCs w:val="17"/>
                <w:shd w:val="nil" w:color="auto" w:fill="auto"/>
                <w:rtl w:val="0"/>
                <w:lang w:val="en-US"/>
              </w:rPr>
              <w:t>Client dispute, regulatory anomaly, unrecognized vendor</w:t>
            </w:r>
          </w:p>
        </w:tc>
      </w:tr>
    </w:tbl>
    <w:p>
      <w:pPr>
        <w:pStyle w:val="Heading 2"/>
        <w:widowControl w:val="0"/>
        <w:spacing w:before="240" w:after="120"/>
        <w:ind w:left="108" w:hanging="108"/>
      </w:pPr>
    </w:p>
    <w:p>
      <w:pPr>
        <w:pStyle w:val="Heading 2"/>
        <w:widowControl w:val="0"/>
        <w:spacing w:before="240" w:after="120"/>
      </w:pPr>
    </w:p>
    <w:p>
      <w:pPr>
        <w:pStyle w:val="Heading 2"/>
        <w:widowControl w:val="0"/>
        <w:spacing w:before="240" w:after="120"/>
      </w:pPr>
      <w:r>
        <w:rPr>
          <w:b w:val="0"/>
          <w:bCs w:val="0"/>
          <w:outline w:val="0"/>
          <w:color w:val="000000"/>
          <w:sz w:val="18"/>
          <w:szCs w:val="18"/>
          <w:u w:color="000000"/>
          <w:rtl w:val="0"/>
          <w:lang w:val="en-US"/>
          <w14:textFill>
            <w14:solidFill>
              <w14:srgbClr w14:val="000000"/>
            </w14:solidFill>
          </w14:textFill>
        </w:rPr>
        <w:t>Table 2: Four-level HITL escalation model.</w:t>
      </w:r>
    </w:p>
    <w:p>
      <w:pPr>
        <w:pStyle w:val="Heading 2"/>
        <w:spacing w:before="240" w:after="120"/>
        <w:rPr>
          <w:lang w:val="fr-FR"/>
        </w:rPr>
      </w:pPr>
      <w:r>
        <w:rPr>
          <w:rtl w:val="0"/>
          <w:lang w:val="fr-FR"/>
        </w:rPr>
        <w:t>4.3 Asynchronous HITL Cycle</w:t>
      </w:r>
    </w:p>
    <w:p>
      <w:pPr>
        <w:pStyle w:val="Heading 2"/>
        <w:spacing w:before="240" w:after="120"/>
      </w:pPr>
      <w:r>
        <w:rPr>
          <w:b w:val="0"/>
          <w:bCs w:val="0"/>
          <w:outline w:val="0"/>
          <w:color w:val="000000"/>
          <w:sz w:val="20"/>
          <w:szCs w:val="20"/>
          <w:u w:color="000000"/>
          <w:rtl w:val="0"/>
          <w:lang w:val="en-US"/>
          <w14:textFill>
            <w14:solidFill>
              <w14:srgbClr w14:val="000000"/>
            </w14:solidFill>
          </w14:textFill>
        </w:rPr>
        <w:t>The N3 HITL cycle proceeds as follows:</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Agent detects an exception condition (e.g., reconciliation gap &gt; threshold, AR escalation required, vendor payment &gt; approval threshold).</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Supervisor calls interrupt(), persisting the complete thread state via a pluggable checkpointer backend.</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The messaging MCP server sends a structured notification (e.g., email, instant message) to the supervising accountant, including client context, agent suggestion, and three action links (Approve / Modify / Block).</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The accountant responds with a single click from any device (iPhone, desktop).</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The click triggers a webhook callback to a lightweight API endpoint, delivering the thread identifier and decision payload.</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LangGraph resumes the suspended thread at the exact interruption point, injecting the decision into SharedState.</w:t>
      </w:r>
    </w:p>
    <w:p>
      <w:pPr>
        <w:pStyle w:val="List Paragraph"/>
        <w:numPr>
          <w:ilvl w:val="0"/>
          <w:numId w:val="2"/>
        </w:numPr>
        <w:bidi w:val="0"/>
        <w:spacing w:after="80"/>
        <w:ind w:right="0"/>
        <w:jc w:val="left"/>
        <w:rPr>
          <w:rtl w:val="0"/>
          <w:lang w:val="en-US"/>
        </w:rPr>
      </w:pPr>
      <w:r>
        <w:rPr>
          <w:outline w:val="0"/>
          <w:color w:val="000000"/>
          <w:u w:color="000000"/>
          <w:rtl w:val="0"/>
          <w:lang w:val="en-US"/>
          <w14:textFill>
            <w14:solidFill>
              <w14:srgbClr w14:val="000000"/>
            </w14:solidFill>
          </w14:textFill>
        </w:rPr>
        <w:t>If no response is received within 4 hours, a timeout handler injects status: "timeout" and the Supervisor escalates automatically.</w:t>
      </w:r>
    </w:p>
    <w:p>
      <w:pPr>
        <w:pStyle w:val="List Paragraph"/>
        <w:spacing w:after="80"/>
      </w:pPr>
      <w:r>
        <w:rPr>
          <w:outline w:val="0"/>
          <w:color w:val="000000"/>
          <w:u w:color="000000"/>
          <w:rtl w:val="0"/>
          <w:lang w:val="en-US"/>
          <w14:textFill>
            <w14:solidFill>
              <w14:srgbClr w14:val="000000"/>
            </w14:solidFill>
          </w14:textFill>
        </w:rPr>
        <w:t>This design requires zero additional tooling beyond components already in the stack: the messaging MCP server, the checkpointer backend, and a minimal webhook endpoint.</w:t>
      </w:r>
    </w:p>
    <w:p>
      <w:pPr>
        <w:pStyle w:val="Heading"/>
        <w:spacing w:before="240"/>
      </w:pPr>
      <w:r>
        <w:rPr>
          <w:rFonts w:ascii="Arial Unicode MS" w:cs="Arial Unicode MS" w:hAnsi="Arial Unicode MS" w:eastAsia="Arial Unicode MS"/>
          <w:b w:val="0"/>
          <w:bCs w:val="0"/>
          <w:i w:val="0"/>
          <w:iCs w:val="0"/>
          <w:lang w:val="en-US"/>
        </w:rPr>
        <w:br w:type="page"/>
      </w:r>
    </w:p>
    <w:p>
      <w:pPr>
        <w:pStyle w:val="Heading"/>
        <w:spacing w:before="240"/>
        <w:rPr>
          <w:lang w:val="en-US"/>
        </w:rPr>
      </w:pPr>
      <w:r>
        <w:rPr>
          <w:rtl w:val="0"/>
          <w:lang w:val="en-US"/>
        </w:rPr>
        <w:t>5. MCP Tool Integration</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AccountingAgents is MCP-native by design. Rather than implementing custom API wrappers for each external service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an approach that creates fragile, maintenance-heavy integrations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all tool access is mediated through official Model Context Protocol servers. This provides two key benefits: (1) authentication and authorization are handled by established OAuth2 flows, and (2) tool availability and capability evolve with the MCP specification independently of the agent framework.</w:t>
      </w:r>
    </w:p>
    <w:p>
      <w:pPr>
        <w:pStyle w:val="Heading"/>
        <w:spacing w:before="240"/>
        <w:rPr>
          <w:b w:val="0"/>
          <w:bCs w:val="0"/>
          <w:outline w:val="0"/>
          <w:color w:val="000000"/>
          <w:sz w:val="20"/>
          <w:szCs w:val="20"/>
          <w:u w:color="000000"/>
          <w14:textFill>
            <w14:solidFill>
              <w14:srgbClr w14:val="000000"/>
            </w14:solidFill>
          </w14:textFill>
        </w:rPr>
      </w:pPr>
      <w:r>
        <w:rPr>
          <w:b w:val="0"/>
          <w:bCs w:val="0"/>
          <w:outline w:val="0"/>
          <w:color w:val="000000"/>
          <w:sz w:val="20"/>
          <w:szCs w:val="20"/>
          <w:u w:color="000000"/>
          <w:rtl w:val="0"/>
          <w:lang w:val="en-US"/>
          <w14:textFill>
            <w14:solidFill>
              <w14:srgbClr w14:val="000000"/>
            </w14:solidFill>
          </w14:textFill>
        </w:rPr>
        <w:t xml:space="preserve">The five MCP servers in the MVP stack are: </w:t>
      </w:r>
      <w:r>
        <w:rPr>
          <w:outline w:val="0"/>
          <w:color w:val="000000"/>
          <w:sz w:val="20"/>
          <w:szCs w:val="20"/>
          <w:u w:color="000000"/>
          <w:rtl w:val="0"/>
          <w:lang w:val="de-DE"/>
          <w14:textFill>
            <w14:solidFill>
              <w14:srgbClr w14:val="000000"/>
            </w14:solidFill>
          </w14:textFill>
        </w:rPr>
        <w:t>Gmail MCP</w:t>
      </w:r>
      <w:r>
        <w:rPr>
          <w:b w:val="0"/>
          <w:bCs w:val="0"/>
          <w:outline w:val="0"/>
          <w:color w:val="000000"/>
          <w:sz w:val="20"/>
          <w:szCs w:val="20"/>
          <w:u w:color="000000"/>
          <w:rtl w:val="0"/>
          <w:lang w:val="en-US"/>
          <w14:textFill>
            <w14:solidFill>
              <w14:srgbClr w14:val="000000"/>
            </w14:solidFill>
          </w14:textFill>
        </w:rPr>
        <w:t xml:space="preserve"> (gmailmcp.googleapis.com) for all email I/O including HITL notifications; </w:t>
      </w:r>
      <w:r>
        <w:rPr>
          <w:outline w:val="0"/>
          <w:color w:val="000000"/>
          <w:sz w:val="20"/>
          <w:szCs w:val="20"/>
          <w:u w:color="000000"/>
          <w:rtl w:val="0"/>
          <w:lang w:val="en-US"/>
          <w14:textFill>
            <w14:solidFill>
              <w14:srgbClr w14:val="000000"/>
            </w14:solidFill>
          </w14:textFill>
        </w:rPr>
        <w:t>QBO MCP</w:t>
      </w:r>
      <w:r>
        <w:rPr>
          <w:b w:val="0"/>
          <w:bCs w:val="0"/>
          <w:outline w:val="0"/>
          <w:color w:val="000000"/>
          <w:sz w:val="20"/>
          <w:szCs w:val="20"/>
          <w:u w:color="000000"/>
          <w:rtl w:val="0"/>
          <w:lang w:val="en-US"/>
          <w14:textFill>
            <w14:solidFill>
              <w14:srgbClr w14:val="000000"/>
            </w14:solidFill>
          </w14:textFill>
        </w:rPr>
        <w:t xml:space="preserve"> (intuit/quickbooks-online-mcp-server </w:t>
      </w:r>
      <w:r>
        <w:rPr>
          <w:b w:val="0"/>
          <w:bCs w:val="0"/>
          <w:outline w:val="0"/>
          <w:color w:val="000000"/>
          <w:sz w:val="16"/>
          <w:szCs w:val="16"/>
          <w:u w:color="000000"/>
          <w:vertAlign w:val="superscript"/>
          <w:rtl w:val="0"/>
          <w:lang w:val="pt-PT"/>
          <w14:textFill>
            <w14:solidFill>
              <w14:srgbClr w14:val="000000"/>
            </w14:solidFill>
          </w14:textFill>
        </w:rPr>
        <w:t>[10]</w:t>
      </w:r>
      <w:r>
        <w:rPr>
          <w:b w:val="0"/>
          <w:bCs w:val="0"/>
          <w:outline w:val="0"/>
          <w:color w:val="000000"/>
          <w:sz w:val="20"/>
          <w:szCs w:val="20"/>
          <w:u w:color="000000"/>
          <w:rtl w:val="0"/>
          <w:lang w:val="en-US"/>
          <w14:textFill>
            <w14:solidFill>
              <w14:srgbClr w14:val="000000"/>
            </w14:solidFill>
          </w14:textFill>
        </w:rPr>
        <w:t xml:space="preserve">) providing CRUD operations on Account, Bill, Customer, Invoice, Vendor, and 7 additional entities; </w:t>
      </w:r>
      <w:r>
        <w:rPr>
          <w:outline w:val="0"/>
          <w:color w:val="000000"/>
          <w:sz w:val="20"/>
          <w:szCs w:val="20"/>
          <w:u w:color="000000"/>
          <w:rtl w:val="0"/>
          <w:lang w:val="en-US"/>
          <w14:textFill>
            <w14:solidFill>
              <w14:srgbClr w14:val="000000"/>
            </w14:solidFill>
          </w14:textFill>
        </w:rPr>
        <w:t>Google Drive MCP</w:t>
      </w:r>
      <w:r>
        <w:rPr>
          <w:b w:val="0"/>
          <w:bCs w:val="0"/>
          <w:outline w:val="0"/>
          <w:color w:val="000000"/>
          <w:sz w:val="20"/>
          <w:szCs w:val="20"/>
          <w:u w:color="000000"/>
          <w:rtl w:val="0"/>
          <w:lang w:val="en-US"/>
          <w14:textFill>
            <w14:solidFill>
              <w14:srgbClr w14:val="000000"/>
            </w14:solidFill>
          </w14:textFill>
        </w:rPr>
        <w:t xml:space="preserve"> for document storage; </w:t>
      </w:r>
      <w:r>
        <w:rPr>
          <w:outline w:val="0"/>
          <w:color w:val="000000"/>
          <w:sz w:val="20"/>
          <w:szCs w:val="20"/>
          <w:u w:color="000000"/>
          <w:rtl w:val="0"/>
          <w:lang w:val="it-IT"/>
          <w14:textFill>
            <w14:solidFill>
              <w14:srgbClr w14:val="000000"/>
            </w14:solidFill>
          </w14:textFill>
        </w:rPr>
        <w:t>Google Calendar MCP</w:t>
      </w:r>
      <w:r>
        <w:rPr>
          <w:b w:val="0"/>
          <w:bCs w:val="0"/>
          <w:outline w:val="0"/>
          <w:color w:val="000000"/>
          <w:sz w:val="20"/>
          <w:szCs w:val="20"/>
          <w:u w:color="000000"/>
          <w:rtl w:val="0"/>
          <w:lang w:val="en-US"/>
          <w14:textFill>
            <w14:solidFill>
              <w14:srgbClr w14:val="000000"/>
            </w14:solidFill>
          </w14:textFill>
        </w:rPr>
        <w:t xml:space="preserve"> for fiscal deadline monitoring; and </w:t>
      </w:r>
      <w:r>
        <w:rPr>
          <w:outline w:val="0"/>
          <w:color w:val="000000"/>
          <w:sz w:val="20"/>
          <w:szCs w:val="20"/>
          <w:u w:color="000000"/>
          <w:rtl w:val="0"/>
          <w:lang w:val="fr-FR"/>
          <w14:textFill>
            <w14:solidFill>
              <w14:srgbClr w14:val="000000"/>
            </w14:solidFill>
          </w14:textFill>
        </w:rPr>
        <w:t>Zapier MCP</w:t>
      </w:r>
      <w:r>
        <w:rPr>
          <w:b w:val="0"/>
          <w:bCs w:val="0"/>
          <w:outline w:val="0"/>
          <w:color w:val="000000"/>
          <w:sz w:val="20"/>
          <w:szCs w:val="20"/>
          <w:u w:color="000000"/>
          <w:rtl w:val="0"/>
          <w:lang w:val="en-US"/>
          <w14:textFill>
            <w14:solidFill>
              <w14:srgbClr w14:val="000000"/>
            </w14:solidFill>
          </w14:textFill>
        </w:rPr>
        <w:t xml:space="preserve"> as a general-purpose bridge to services lacking native MCP servers.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20"/>
        </w:tabs>
        <w:suppressAutoHyphens w:val="1"/>
        <w:spacing w:before="0" w:line="240" w:lineRule="auto"/>
        <w:rPr>
          <w:rFonts w:ascii="Times Roman" w:cs="Times Roman" w:hAnsi="Times Roman" w:eastAsia="Times Roman"/>
        </w:rPr>
      </w:pPr>
      <w:r>
        <w:rPr>
          <w:rFonts w:ascii="Times New Roman" w:hAnsi="Times New Roman"/>
          <w:outline w:val="0"/>
          <w:color w:val="000000"/>
          <w:sz w:val="20"/>
          <w:szCs w:val="20"/>
          <w:u w:color="000000"/>
          <w:rtl w:val="0"/>
          <w:lang w:val="en-US"/>
          <w14:textFill>
            <w14:solidFill>
              <w14:srgbClr w14:val="000000"/>
            </w14:solidFill>
          </w14:textFill>
        </w:rPr>
        <w:t>Additional MCP servers can be substituted or added without modifying the agent logic.</w:t>
      </w:r>
    </w:p>
    <w:p>
      <w:pPr>
        <w:pStyle w:val="Heading"/>
        <w:spacing w:before="240"/>
        <w:rPr>
          <w:lang w:val="en-US"/>
        </w:rPr>
      </w:pPr>
      <w:r>
        <w:rPr>
          <w:rtl w:val="0"/>
          <w:lang w:val="en-US"/>
        </w:rPr>
        <w:t>6. Experimental Validation</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20"/>
        </w:tabs>
        <w:suppressAutoHyphens w:val="1"/>
        <w:spacing w:before="0" w:line="240" w:lineRule="auto"/>
        <w:rPr>
          <w:rFonts w:ascii="Times Roman" w:cs="Times Roman" w:hAnsi="Times Roman" w:eastAsia="Times Roman"/>
        </w:rPr>
      </w:pPr>
      <w:r>
        <w:rPr>
          <w:rFonts w:ascii="Times New Roman" w:hAnsi="Times New Roman"/>
          <w:outline w:val="0"/>
          <w:color w:val="000000"/>
          <w:sz w:val="20"/>
          <w:szCs w:val="20"/>
          <w:u w:color="000000"/>
          <w:rtl w:val="0"/>
          <w:lang w:val="en-US"/>
          <w14:textFill>
            <w14:solidFill>
              <w14:srgbClr w14:val="000000"/>
            </w14:solidFill>
          </w14:textFill>
        </w:rPr>
        <w:t>We evaluate the framework’s classification and escalation accuracy through an offline benchmark suite that requires no live API credentials.</w:t>
      </w:r>
    </w:p>
    <w:p>
      <w:pPr>
        <w:pStyle w:val="Heading 2"/>
        <w:spacing w:before="240" w:after="120"/>
      </w:pPr>
      <w:r>
        <w:rPr>
          <w:rtl w:val="0"/>
          <w:lang w:val="en-US"/>
        </w:rPr>
        <w:t>6.1 Benchmark Design</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20"/>
        </w:tabs>
        <w:suppressAutoHyphens w:val="1"/>
        <w:spacing w:before="0" w:line="240" w:lineRule="auto"/>
        <w:rPr>
          <w:rFonts w:ascii="Times Roman" w:cs="Times Roman" w:hAnsi="Times Roman" w:eastAsia="Times Roman"/>
        </w:rPr>
      </w:pPr>
      <w:r>
        <w:rPr>
          <w:rFonts w:ascii="Times New Roman" w:hAnsi="Times New Roman"/>
          <w:outline w:val="0"/>
          <w:color w:val="000000"/>
          <w:sz w:val="20"/>
          <w:szCs w:val="20"/>
          <w:u w:color="000000"/>
          <w:rtl w:val="0"/>
          <w:lang w:val="en-US"/>
          <w14:textFill>
            <w14:solidFill>
              <w14:srgbClr w14:val="000000"/>
            </w14:solidFill>
          </w14:textFill>
        </w:rPr>
        <w:t>The benchmark covers three agents — Ingestion, Reconciliation, and AP — across 65 labeled test cases drawn from the same fictional Quebec firm fixture data used in the unit test suite. Evaluation runs in keyword-only mode (CLASSIFICATION_MODE=keyword, QBO_MODE=mock, AP_MODE=mock) so that results are reproducible without LLM API access or a live QuickBooks sandbox. Each case specifies expected document type, routing signal, and (for AP) escalation level.</w:t>
      </w:r>
    </w:p>
    <w:p>
      <w:pPr>
        <w:pStyle w:val="Heading 2"/>
        <w:spacing w:before="240" w:after="120"/>
      </w:pPr>
      <w:r>
        <w:rPr>
          <w:rtl w:val="0"/>
          <w:lang w:val="en-US"/>
        </w:rPr>
        <w:t>6.2 Results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220"/>
        </w:tabs>
        <w:suppressAutoHyphens w:val="1"/>
        <w:spacing w:before="0" w:line="240" w:lineRule="auto"/>
        <w:rPr>
          <w:rFonts w:ascii="Times Roman" w:cs="Times Roman" w:hAnsi="Times Roman" w:eastAsia="Times Roman"/>
        </w:rPr>
      </w:pPr>
      <w:r>
        <w:rPr>
          <w:rFonts w:ascii="Times New Roman" w:hAnsi="Times New Roman"/>
          <w:outline w:val="0"/>
          <w:color w:val="000000"/>
          <w:sz w:val="20"/>
          <w:szCs w:val="20"/>
          <w:u w:color="000000"/>
          <w:rtl w:val="0"/>
          <w:lang w:val="en-US"/>
          <w14:textFill>
            <w14:solidFill>
              <w14:srgbClr w14:val="000000"/>
            </w14:solidFill>
          </w14:textFill>
        </w:rPr>
        <w:t>Table 3 summarises per-agent accuracy. The Ingestion Agent achieves 83.3% accuracy; the five misclassified cases involve lexical ambiguity between keyword classes (e.g., “solde” matching bank_statement before client_invoice). The Reconciliation Agent achieves 100.0% on gap detection with zero mean absolute error. The AP Agent scores 35.0%, reflecting that the current mock vendor registry does not cover all QBO-seeded vendors; live AP_MODE=mcp resolves this by querying the vendor list at runtime. Overall accuracy is 72.3% across all 65 cases.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40"/>
        <w:gridCol w:w="2340"/>
        <w:gridCol w:w="2340"/>
        <w:gridCol w:w="2340"/>
      </w:tblGrid>
      <w:tr>
        <w:tblPrEx>
          <w:shd w:val="clear" w:color="auto" w:fill="4f81bd"/>
        </w:tblPrEx>
        <w:trPr>
          <w:trHeight w:val="198" w:hRule="atLeast"/>
          <w:tblHeader/>
        </w:trPr>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Agent</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Test Cases</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Correct</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444444"/>
            <w:tcMar>
              <w:top w:type="dxa" w:w="80"/>
              <w:left w:type="dxa" w:w="80"/>
              <w:bottom w:type="dxa" w:w="80"/>
              <w:right w:type="dxa" w:w="80"/>
            </w:tcMar>
            <w:vAlign w:val="top"/>
          </w:tcPr>
          <w:p>
            <w:pPr>
              <w:pStyle w:val="Default"/>
              <w:tabs>
                <w:tab w:val="left" w:pos="720"/>
              </w:tabs>
            </w:pPr>
            <w:r>
              <w:rPr>
                <w:rFonts w:ascii="Times New Roman" w:hAnsi="Times New Roman"/>
                <w:b w:val="1"/>
                <w:bCs w:val="1"/>
                <w:outline w:val="0"/>
                <w:color w:val="ffffff"/>
                <w:sz w:val="18"/>
                <w:szCs w:val="18"/>
                <w:u w:color="ffffff"/>
                <w:shd w:val="nil" w:color="auto" w:fill="auto"/>
                <w:rtl w:val="0"/>
                <w:lang w:val="en-US"/>
                <w14:textFill>
                  <w14:solidFill>
                    <w14:srgbClr w14:val="FFFFFF"/>
                  </w14:solidFill>
                </w14:textFill>
              </w:rPr>
              <w:t>Accuracy</w:t>
            </w:r>
          </w:p>
        </w:tc>
      </w:tr>
      <w:tr>
        <w:tblPrEx>
          <w:shd w:val="clear" w:color="auto" w:fill="ced7e7"/>
        </w:tblPrEx>
        <w:trPr>
          <w:trHeight w:val="437" w:hRule="atLeast"/>
        </w:trPr>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Ingestion</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30</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25</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83.3%</w:t>
            </w:r>
          </w:p>
        </w:tc>
      </w:tr>
      <w:tr>
        <w:tblPrEx>
          <w:shd w:val="clear" w:color="auto" w:fill="f8f8f8"/>
        </w:tblPrEx>
        <w:trPr>
          <w:trHeight w:val="437" w:hRule="atLeast"/>
        </w:trPr>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Reconciliation</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15</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15</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100.0%</w:t>
            </w:r>
          </w:p>
        </w:tc>
      </w:tr>
      <w:tr>
        <w:tblPrEx>
          <w:shd w:val="clear" w:color="auto" w:fill="ced7e7"/>
        </w:tblPrEx>
        <w:trPr>
          <w:trHeight w:val="437" w:hRule="atLeast"/>
        </w:trPr>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AP Agent</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20</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7</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ced7e7"/>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35.0%</w:t>
            </w:r>
          </w:p>
        </w:tc>
      </w:tr>
      <w:tr>
        <w:tblPrEx>
          <w:shd w:val="clear" w:color="auto" w:fill="f8f8f8"/>
        </w:tblPrEx>
        <w:trPr>
          <w:trHeight w:val="437" w:hRule="atLeast"/>
        </w:trPr>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Total</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65</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47</w:t>
            </w:r>
          </w:p>
        </w:tc>
        <w:tc>
          <w:tcPr>
            <w:tcW w:type="dxa" w:w="2340"/>
            <w:tcBorders>
              <w:top w:val="single" w:color="cccccc" w:sz="1" w:space="0" w:shadow="0" w:frame="0"/>
              <w:left w:val="single" w:color="cccccc" w:sz="1" w:space="0" w:shadow="0" w:frame="0"/>
              <w:bottom w:val="single" w:color="cccccc" w:sz="1" w:space="0" w:shadow="0" w:frame="0"/>
              <w:right w:val="single" w:color="cccccc" w:sz="1" w:space="0" w:shadow="0" w:frame="0"/>
            </w:tcBorders>
            <w:shd w:val="clear" w:color="auto" w:fill="f8f8f8"/>
            <w:tcMar>
              <w:top w:type="dxa" w:w="80"/>
              <w:left w:type="dxa" w:w="80"/>
              <w:bottom w:type="dxa" w:w="80"/>
              <w:right w:type="dxa" w:w="80"/>
            </w:tcMar>
            <w:vAlign w:val="top"/>
          </w:tcPr>
          <w:p>
            <w:pPr>
              <w:pStyle w:val="Default"/>
              <w:tabs>
                <w:tab w:val="left" w:pos="720"/>
              </w:tabs>
            </w:pPr>
            <w:r>
              <w:rPr>
                <w:rFonts w:ascii="Times New Roman" w:hAnsi="Times New Roman"/>
                <w:sz w:val="17"/>
                <w:szCs w:val="17"/>
                <w:shd w:val="nil" w:color="auto" w:fill="auto"/>
                <w:rtl w:val="0"/>
                <w:lang w:val="en-US"/>
              </w:rPr>
              <w:t>72.3%</w:t>
            </w:r>
          </w:p>
        </w:tc>
      </w:tr>
    </w:tbl>
    <w:p>
      <w:pPr>
        <w:pStyle w:val="Heading 2"/>
        <w:widowControl w:val="0"/>
        <w:spacing w:before="80" w:after="80"/>
        <w:rPr>
          <w:lang w:val="en-US"/>
        </w:rPr>
      </w:pPr>
      <w:r>
        <w:rPr>
          <w:rFonts w:ascii="Times New Roman" w:hAnsi="Times New Roman"/>
          <w:outline w:val="0"/>
          <w:color w:val="000000"/>
          <w:sz w:val="18"/>
          <w:szCs w:val="18"/>
          <w:u w:color="000000"/>
          <w:rtl w:val="0"/>
          <w:lang w:val="en-US"/>
          <w14:textFill>
            <w14:solidFill>
              <w14:srgbClr w14:val="000000"/>
            </w14:solidFill>
          </w14:textFill>
        </w:rPr>
        <w:t>Table 3: Offline benchmark results (CLASSIFICATION_MODE=keyword, QBO_MODE=mock, AP_MODE=mock).</w:t>
      </w:r>
    </w:p>
    <w:p>
      <w:pPr>
        <w:pStyle w:val="Heading"/>
        <w:spacing w:before="240"/>
        <w:rPr>
          <w:lang w:val="en-US"/>
        </w:rPr>
      </w:pPr>
      <w:r>
        <w:rPr>
          <w:rtl w:val="0"/>
          <w:lang w:val="en-US"/>
        </w:rPr>
        <w:t>7. Limitations and Future Work</w:t>
      </w:r>
    </w:p>
    <w:p>
      <w:pPr>
        <w:pStyle w:val="Heading"/>
        <w:spacing w:before="240"/>
      </w:pPr>
      <w:r>
        <w:rPr>
          <w:b w:val="0"/>
          <w:bCs w:val="0"/>
          <w:outline w:val="0"/>
          <w:color w:val="000000"/>
          <w:sz w:val="20"/>
          <w:szCs w:val="20"/>
          <w:u w:color="000000"/>
          <w:rtl w:val="0"/>
          <w:lang w:val="en-US"/>
          <w14:textFill>
            <w14:solidFill>
              <w14:srgbClr w14:val="000000"/>
            </w14:solidFill>
          </w14:textFill>
        </w:rPr>
        <w:t>The present work is a position paper describing framework design. Several limitations apply. First, the benchmark covers three of the seven agents (Ingestion, Reconciliation, AP) in keyword-only mode; HITL approval rates and time-savings measurement require live deployment data not yet available. Second, the four-level escalation thresholds are defined heuristically; future work should calibrate these empirically per firm profile. Third, the framework currently targets QBO; extension to Xero, Sage, and Microsoft Dynamics 365 would broaden applicability. Fourth, AccountingAgents acts as a jurisdiction-agnostic orchestration layer — regulatory and fiscal specifics remain the responsibility of the underlying accounting software (QBO, Xero, Sage). Extension to additional MCP-compatible accounting backends would broaden applicability across jurisdictions without modifying agent logic.</w:t>
      </w:r>
    </w:p>
    <w:p>
      <w:pPr>
        <w:pStyle w:val="Heading"/>
        <w:spacing w:before="240"/>
        <w:rPr>
          <w:lang w:val="en-US"/>
        </w:rPr>
      </w:pPr>
      <w:r>
        <w:t xml:space="preserve">8. Deployment Considerations</w:t>
      </w:r>
    </w:p>
    <w:p>
      <w:pPr>
        <w:pStyle w:val="Heading"/>
        <w:spacing w:before="240"/>
        <w:rPr>
          <w:lang w:val="en-US"/>
        </w:rPr>
      </w:pPr>
      <w:r>
        <w:t xml:space="preserve">LLM Provider and Data Sovereignty</w:t>
      </w:r>
    </w:p>
    <w:p>
      <w:pPr>
        <w:pStyle w:val="Heading"/>
        <w:spacing w:before="240"/>
        <w:rPr>
          <w:lang w:val="en-US"/>
        </w:rPr>
      </w:pPr>
      <w:r>
        <w:t>AccountingAgents currently uses a cloud-based LLM API for document classification (CLASSIFICATION_MODE=llm). In a production deployment handling real accounting client data, practitioners must evaluate the data residency implications of their chosen LLM provider. Accounting firms are subject to strict confidentiality obligations and, depending on jurisdiction, to data sovereignty regulations that restrict cross-border transfer of personal financial information (e.g., Quebec Law 25, GDPR, Australia Privacy Act).</w:t>
      </w:r>
    </w:p>
    <w:p>
      <w:pPr>
        <w:pStyle w:val="Heading"/>
        <w:spacing w:before="240"/>
        <w:rPr>
          <w:lang w:val="en-US"/>
        </w:rPr>
      </w:pPr>
      <w:r>
        <w:t>The recommended production pattern is to use a regionally-hosted inference endpoint — such as a cloud provider’s local region — ensuring client data remains within the required jurisdiction. This is a meaningful differentiator relative to commercial solutions such as Intuit Assist, which route client financial data through a single centralized infrastructure with no data residency option.</w:t>
      </w:r>
    </w:p>
    <w:p>
      <w:pPr>
        <w:pStyle w:val="Heading"/>
        <w:spacing w:before="240"/>
        <w:rPr>
          <w:lang w:val="en-US"/>
        </w:rPr>
      </w:pPr>
      <w:r>
        <w:t>The CLASSIFICATION_MODEL environment variable in AccountingAgents is already configurable, making migration to any hosted model a minimal code change. LLM provider selection is treated as a deployment concern, not an architectural one — a deliberate design decision to support multi-jurisdiction deployments.</w:t>
      </w:r>
    </w:p>
    <w:p>
      <w:pPr>
        <w:pStyle w:val="Heading"/>
        <w:spacing w:before="240"/>
        <w:rPr>
          <w:lang w:val="it-IT"/>
        </w:rPr>
      </w:pPr>
      <w:r>
        <w:rPr>
          <w:rtl w:val="0"/>
          <w:lang w:val="it-IT"/>
        </w:rPr>
        <w:t>9. Conclusion</w:t>
      </w:r>
    </w:p>
    <w:p>
      <w:pPr>
        <w:pStyle w:val="Heading"/>
        <w:spacing w:before="240"/>
        <w:rPr>
          <w:lang w:val="en-US"/>
        </w:rPr>
      </w:pPr>
      <w:r>
        <w:rPr>
          <w:b w:val="0"/>
          <w:bCs w:val="0"/>
          <w:outline w:val="0"/>
          <w:color w:val="000000"/>
          <w:sz w:val="20"/>
          <w:szCs w:val="20"/>
          <w:u w:color="000000"/>
          <w:rtl w:val="0"/>
          <w:lang w:val="en-US"/>
          <w14:textFill>
            <w14:solidFill>
              <w14:srgbClr w14:val="000000"/>
            </w14:solidFill>
          </w14:textFill>
        </w:rPr>
        <w:t xml:space="preserve">We have presented AccountingAgents, a multi-agent LLM framework modelled on the organizational structure of professional accounting firms. The framework addresses the two core limitations identified in prior work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 xml:space="preserve">absence of realistic organizational modelling and inefficient communication interfaces </w:t>
      </w:r>
      <w:r>
        <w:rPr>
          <w:b w:val="0"/>
          <w:bCs w:val="0"/>
          <w:outline w:val="0"/>
          <w:color w:val="000000"/>
          <w:sz w:val="20"/>
          <w:szCs w:val="20"/>
          <w:u w:color="000000"/>
          <w:rtl w:val="0"/>
          <w:lang w:val="en-US"/>
          <w14:textFill>
            <w14:solidFill>
              <w14:srgbClr w14:val="000000"/>
            </w14:solidFill>
          </w14:textFill>
        </w:rPr>
        <w:t xml:space="preserve">— </w:t>
      </w:r>
      <w:r>
        <w:rPr>
          <w:b w:val="0"/>
          <w:bCs w:val="0"/>
          <w:outline w:val="0"/>
          <w:color w:val="000000"/>
          <w:sz w:val="20"/>
          <w:szCs w:val="20"/>
          <w:u w:color="000000"/>
          <w:rtl w:val="0"/>
          <w:lang w:val="en-US"/>
          <w14:textFill>
            <w14:solidFill>
              <w14:srgbClr w14:val="000000"/>
            </w14:solidFill>
          </w14:textFill>
        </w:rPr>
        <w:t>by adopting the structured SharedState design pioneered by TradingAgents and extending it to the accounting domain. The asynchronous HITL mechanism represents a practical contribution to the deployment of agentic systems in regulated, high-stakes environments where human oversight is legally required but operators are mobile. We invite the research community to build on this framework and to contribute experimental validation.</w:t>
      </w:r>
    </w:p>
    <w:p>
      <w:pPr>
        <w:pStyle w:val="Heading"/>
        <w:spacing w:before="240"/>
      </w:pPr>
    </w:p>
    <w:p>
      <w:pPr>
        <w:pStyle w:val="Heading"/>
        <w:spacing w:before="240"/>
      </w:pPr>
      <w:r>
        <w:rPr>
          <w:rFonts w:ascii="Arial Unicode MS" w:cs="Arial Unicode MS" w:hAnsi="Arial Unicode MS" w:eastAsia="Arial Unicode MS"/>
          <w:b w:val="0"/>
          <w:bCs w:val="0"/>
          <w:i w:val="0"/>
          <w:iCs w:val="0"/>
        </w:rPr>
        <w:br w:type="page"/>
      </w:r>
    </w:p>
    <w:p>
      <w:pPr>
        <w:pStyle w:val="Heading"/>
        <w:spacing w:before="240"/>
      </w:pPr>
      <w:r>
        <w:rPr>
          <w:rtl w:val="0"/>
          <w:lang w:val="fr-FR"/>
        </w:rPr>
        <w:t>References</w:t>
      </w:r>
    </w:p>
    <w:p>
      <w:pPr>
        <w:pStyle w:val="Heading"/>
        <w:spacing w:before="240"/>
        <w:rPr>
          <w:lang w:val="en-US"/>
        </w:rPr>
      </w:pPr>
      <w:r>
        <w:rPr>
          <w:sz w:val="17"/>
          <w:szCs w:val="17"/>
          <w:rtl w:val="0"/>
          <w:lang w:val="en-US"/>
        </w:rPr>
        <w:t>[1] Xiao, Y., Sun, E., Luo, D., &amp; Wang, W. (2025). TradingAgents: Multi-Agents LLM Financial Trading Framework. arXiv:2412.20138.</w:t>
      </w:r>
    </w:p>
    <w:p>
      <w:pPr>
        <w:pStyle w:val="Heading"/>
        <w:spacing w:before="240"/>
        <w:rPr>
          <w:lang w:val="en-US"/>
        </w:rPr>
      </w:pPr>
      <w:r>
        <w:rPr>
          <w:sz w:val="17"/>
          <w:szCs w:val="17"/>
          <w:rtl w:val="0"/>
          <w:lang w:val="en-US"/>
        </w:rPr>
        <w:t>[2] Grand View Research (2024). AI in Accounting Market Size &amp; Growth Report 2033.</w:t>
      </w:r>
    </w:p>
    <w:p>
      <w:pPr>
        <w:pStyle w:val="Heading"/>
        <w:spacing w:before="240"/>
        <w:rPr>
          <w:lang w:val="en-US"/>
        </w:rPr>
      </w:pPr>
      <w:r>
        <w:rPr>
          <w:sz w:val="17"/>
          <w:szCs w:val="17"/>
          <w:rtl w:val="0"/>
          <w:lang w:val="en-US"/>
        </w:rPr>
        <w:t>[3] FinDebate: Multi-Agent Collaborative Intelligence for Financial Analysis. arXiv:2509.17395 (2025).</w:t>
      </w:r>
    </w:p>
    <w:p>
      <w:pPr>
        <w:pStyle w:val="Heading"/>
        <w:spacing w:before="240"/>
        <w:rPr>
          <w:lang w:val="en-US"/>
        </w:rPr>
      </w:pPr>
      <w:r>
        <w:rPr>
          <w:sz w:val="17"/>
          <w:szCs w:val="17"/>
          <w:rtl w:val="0"/>
          <w:lang w:val="en-US"/>
        </w:rPr>
        <w:t>[4] Kulkarni, S. &amp; Kulkarni, Y. (2026). Benchmarking Multi-Agent LLM Architectures for Financial Document Processing. arXiv:2603.22651.</w:t>
      </w:r>
    </w:p>
    <w:p>
      <w:pPr>
        <w:pStyle w:val="Heading"/>
        <w:spacing w:before="240"/>
        <w:rPr>
          <w:lang w:val="en-US"/>
        </w:rPr>
      </w:pPr>
      <w:r>
        <w:rPr>
          <w:sz w:val="17"/>
          <w:szCs w:val="17"/>
          <w:rtl w:val="0"/>
          <w:lang w:val="en-US"/>
        </w:rPr>
        <w:t>[5] Intuit QuickBooks. AI Agents for Intelligent Business Automation. intuit.com/enterprise/ai-agents (2025).</w:t>
      </w:r>
    </w:p>
    <w:p>
      <w:pPr>
        <w:pStyle w:val="Heading"/>
        <w:spacing w:before="240"/>
      </w:pPr>
      <w:r>
        <w:rPr>
          <w:sz w:val="17"/>
          <w:szCs w:val="17"/>
          <w:rtl w:val="0"/>
          <w:lang w:val="en-US"/>
        </w:rPr>
        <w:t>[6] Pilot AI. World's First Fully Autonomous AI Accountant for SMBs. Press release, February 2026.</w:t>
      </w:r>
      <w:r>
        <w:rPr>
          <w:sz w:val="17"/>
          <w:szCs w:val="17"/>
          <w:rtl w:val="0"/>
          <w:lang w:val="fr-FR"/>
        </w:rPr>
        <w:t xml:space="preserve"> </w:t>
      </w:r>
      <w:r>
        <w:rPr>
          <w:sz w:val="17"/>
          <w:szCs w:val="17"/>
          <w:rtl w:val="0"/>
          <w:lang w:val="en-US"/>
        </w:rPr>
        <w:t>https://www.globenewswire.com/news-release/2026/02/04/3232133/0/en/Pilot-Unveils-AI-Accountant-A-Major-Leap-Toward-Artificial-General-Intelligence-in-Accounting.html</w:t>
      </w:r>
    </w:p>
    <w:p>
      <w:pPr>
        <w:pStyle w:val="Heading"/>
        <w:spacing w:before="240"/>
        <w:rPr>
          <w:lang w:val="en-US"/>
        </w:rPr>
      </w:pPr>
      <w:r>
        <w:rPr>
          <w:sz w:val="17"/>
          <w:szCs w:val="17"/>
          <w:rtl w:val="0"/>
          <w:lang w:val="en-US"/>
        </w:rPr>
        <w:t>[7] panaversity. accounts_ai: AI-based accounting co-pilot. github.com/panaversity/accounts_ai (2024).</w:t>
      </w:r>
    </w:p>
    <w:p>
      <w:pPr>
        <w:pStyle w:val="Heading"/>
        <w:spacing w:before="240"/>
        <w:rPr>
          <w:lang w:val="en-US"/>
        </w:rPr>
      </w:pPr>
      <w:r>
        <w:rPr>
          <w:sz w:val="17"/>
          <w:szCs w:val="17"/>
          <w:rtl w:val="0"/>
          <w:lang w:val="en-US"/>
        </w:rPr>
        <w:t>[8] Wang, X. et al. (2023). AlphaGPT: Human-in-the-Loop Perspective on Research-Driven Alpha Mining for Quantitative Investments.</w:t>
      </w:r>
    </w:p>
    <w:p>
      <w:pPr>
        <w:pStyle w:val="Heading"/>
        <w:spacing w:before="240"/>
        <w:rPr>
          <w:lang w:val="en-US"/>
        </w:rPr>
      </w:pPr>
      <w:r>
        <w:rPr>
          <w:sz w:val="17"/>
          <w:szCs w:val="17"/>
          <w:rtl w:val="0"/>
          <w:lang w:val="en-US"/>
        </w:rPr>
        <w:t>[9] LangChain Inc. (2024). LangGraph: Agent Orchestration Framework. langchain.com/langgraph.</w:t>
      </w:r>
    </w:p>
    <w:p>
      <w:pPr>
        <w:pStyle w:val="Heading"/>
        <w:spacing w:before="240"/>
        <w:rPr>
          <w:lang w:val="en-US"/>
        </w:rPr>
      </w:pPr>
      <w:r>
        <w:rPr>
          <w:sz w:val="17"/>
          <w:szCs w:val="17"/>
          <w:rtl w:val="0"/>
          <w:lang w:val="en-US"/>
        </w:rPr>
        <w:t>[10] Intuit. quickbooks-online-mcp-server. github.com/intuit/quickbooks-online-mcp-server (2025).</w:t>
      </w:r>
    </w:p>
    <w:p>
      <w:pPr>
        <w:pStyle w:val="Body"/>
      </w:pPr>
      <w:r>
        <w:rPr>
          <w:outline w:val="0"/>
          <w:color w:val="000000"/>
          <w:sz w:val="20"/>
          <w:szCs w:val="20"/>
          <w:u w:color="000000"/>
          <w:rtl w:val="0"/>
          <w:lang w:val="en-US"/>
          <w14:textFill>
            <w14:solidFill>
              <w14:srgbClr w14:val="000000"/>
            </w14:solidFill>
          </w14:textFill>
        </w:rPr>
        <w:t>[11] Ramachandran, A. (2025). Enterprise Finance &amp; Accounting: Automation through Agentic and Multi-Agent AI Systems Leveraging Reasoning Models, Multimodal Interfaces, Reinforcement Learning, Graph Neural Networks, and Neuro-symbolic AI. ResearchGate. researchgate.net/publication/390209544</w:t>
      </w:r>
    </w:p>
    <w:p>
      <w:pPr>
        <w:pStyle w:val="Body"/>
      </w:pPr>
      <w:r>
        <w:rPr>
          <w:outline w:val="0"/>
          <w:color w:val="000000"/>
          <w:sz w:val="20"/>
          <w:szCs w:val="20"/>
          <w:u w:color="000000"/>
          <w:rtl w:val="0"/>
          <w:lang w:val="en-US"/>
          <w14:textFill>
            <w14:solidFill>
              <w14:srgbClr w14:val="000000"/>
            </w14:solidFill>
          </w14:textFill>
        </w:rPr>
        <w:t>[12] Barrak, A. (2025). Traceability and Accountability in Role-Specialized Multi-Agent LLM Pipelines. arXiv:2510.07614.</w:t>
      </w:r>
    </w:p>
    <w:sectPr>
      <w:headerReference w:type="default" r:id="rId5"/>
      <w:footerReference w:type="default" r:id="rId6"/>
      <w:pgSz w:w="12240" w:h="15840" w:orient="portrait"/>
      <w:pgMar w:top="1440" w:right="1260" w:bottom="1440" w:left="126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Heading"/>
    <w:pPr>
      <w:keepNext w:val="0"/>
      <w:keepLines w:val="0"/>
      <w:pageBreakBefore w:val="0"/>
      <w:widowControl w:val="1"/>
      <w:shd w:val="clear" w:color="auto" w:fill="auto"/>
      <w:suppressAutoHyphens w:val="0"/>
      <w:bidi w:val="0"/>
      <w:spacing w:before="300" w:after="120" w:line="240" w:lineRule="auto"/>
      <w:ind w:left="0" w:right="0"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6"/>
      <w:szCs w:val="26"/>
      <w:u w:val="none" w:color="000000"/>
      <w:shd w:val="nil" w:color="auto" w:fill="auto"/>
      <w:vertAlign w:val="baseline"/>
      <w:lang w:val="fr-FR"/>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paragraph" w:styleId="Heading 2">
    <w:name w:val="Heading 2"/>
    <w:next w:val="Heading 2"/>
    <w:pPr>
      <w:keepNext w:val="0"/>
      <w:keepLines w:val="0"/>
      <w:pageBreakBefore w:val="0"/>
      <w:widowControl w:val="1"/>
      <w:shd w:val="clear" w:color="auto" w:fill="auto"/>
      <w:suppressAutoHyphens w:val="0"/>
      <w:bidi w:val="0"/>
      <w:spacing w:before="200" w:after="100" w:line="240" w:lineRule="auto"/>
      <w:ind w:left="0" w:right="0" w:firstLine="0"/>
      <w:jc w:val="left"/>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