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pPr>
      <w:r>
        <w:rPr>
          <w:rFonts w:ascii="Times New Roman" w:hAnsi="Times New Roman"/>
          <w:b w:val="1"/>
          <w:bCs w:val="1"/>
          <w:sz w:val="28"/>
          <w:szCs w:val="28"/>
          <w:rtl w:val="0"/>
          <w:lang w:val="en-US"/>
        </w:rPr>
        <w:t>AccountingAgents: A Multi-Agent LLM Framework for Accounting Firm Automation</w:t>
      </w:r>
    </w:p>
    <w:p>
      <w:pPr>
        <w:pStyle w:val="Body A"/>
        <w:rPr>
          <w:lang w:val="de-DE"/>
        </w:rPr>
      </w:pPr>
      <w:r>
        <w:rPr>
          <w:rFonts w:ascii="Times New Roman" w:hAnsi="Times New Roman"/>
          <w:b w:val="1"/>
          <w:bCs w:val="1"/>
          <w:rtl w:val="0"/>
          <w:lang w:val="de-DE"/>
        </w:rPr>
        <w:t>Paul Desrochers</w:t>
      </w:r>
    </w:p>
    <w:p>
      <w:pPr>
        <w:pStyle w:val="Body A"/>
      </w:pPr>
      <w:r>
        <w:rPr>
          <w:rFonts w:ascii="Times New Roman" w:hAnsi="Times New Roman"/>
          <w:outline w:val="0"/>
          <w:color w:val="444444"/>
          <w:sz w:val="18"/>
          <w:szCs w:val="18"/>
          <w:u w:color="444444"/>
          <w:rtl w:val="0"/>
          <w:lang w:val="en-US"/>
          <w14:textFill>
            <w14:solidFill>
              <w14:srgbClr w14:val="444444"/>
            </w14:solidFill>
          </w14:textFill>
        </w:rPr>
        <w:t xml:space="preserve">Independent Researcher </w:t>
      </w:r>
      <w:r>
        <w:rPr>
          <w:rFonts w:ascii="Times New Roman" w:hAnsi="Times New Roman" w:hint="default"/>
          <w:outline w:val="0"/>
          <w:color w:val="444444"/>
          <w:sz w:val="18"/>
          <w:szCs w:val="18"/>
          <w:u w:color="444444"/>
          <w:rtl w:val="0"/>
          <w:lang w:val="de-DE"/>
          <w14:textFill>
            <w14:solidFill>
              <w14:srgbClr w14:val="444444"/>
            </w14:solidFill>
          </w14:textFill>
        </w:rPr>
        <w:t xml:space="preserve">· </w:t>
      </w:r>
      <w:r>
        <w:rPr>
          <w:rFonts w:ascii="Times New Roman" w:hAnsi="Times New Roman"/>
          <w:outline w:val="0"/>
          <w:color w:val="444444"/>
          <w:sz w:val="18"/>
          <w:szCs w:val="18"/>
          <w:u w:color="444444"/>
          <w:rtl w:val="0"/>
          <w:lang w:val="es-ES_tradnl"/>
          <w14:textFill>
            <w14:solidFill>
              <w14:srgbClr w14:val="444444"/>
            </w14:solidFill>
          </w14:textFill>
        </w:rPr>
        <w:t xml:space="preserve">Quebec, Canada </w:t>
      </w:r>
      <w:r>
        <w:rPr>
          <w:rFonts w:ascii="Times New Roman" w:hAnsi="Times New Roman" w:hint="default"/>
          <w:outline w:val="0"/>
          <w:color w:val="444444"/>
          <w:sz w:val="18"/>
          <w:szCs w:val="18"/>
          <w:u w:color="444444"/>
          <w:rtl w:val="0"/>
          <w:lang w:val="de-DE"/>
          <w14:textFill>
            <w14:solidFill>
              <w14:srgbClr w14:val="444444"/>
            </w14:solidFill>
          </w14:textFill>
        </w:rPr>
        <w:t xml:space="preserve">· </w:t>
      </w:r>
      <w:r>
        <w:rPr>
          <w:rFonts w:ascii="Times New Roman" w:hAnsi="Times New Roman"/>
          <w:outline w:val="0"/>
          <w:color w:val="444444"/>
          <w:sz w:val="18"/>
          <w:szCs w:val="18"/>
          <w:u w:color="444444"/>
          <w:rtl w:val="0"/>
          <w:lang w:val="en-US"/>
          <w14:textFill>
            <w14:solidFill>
              <w14:srgbClr w14:val="444444"/>
            </w14:solidFill>
          </w14:textFill>
        </w:rPr>
        <w:t>pdesrochers.ai.research@gmail.com</w:t>
      </w:r>
    </w:p>
    <w:p>
      <w:pPr>
        <w:pStyle w:val="Body A"/>
      </w:pPr>
      <w:r>
        <w:rPr>
          <w:rFonts w:ascii="Times New Roman" w:hAnsi="Times New Roman"/>
          <w:outline w:val="0"/>
          <w:color w:val="666666"/>
          <w:sz w:val="18"/>
          <w:szCs w:val="18"/>
          <w:u w:color="666666"/>
          <w:rtl w:val="0"/>
          <w:lang w:val="en-US"/>
          <w14:textFill>
            <w14:solidFill>
              <w14:srgbClr w14:val="666666"/>
            </w14:solidFill>
          </w14:textFill>
        </w:rPr>
        <w:t xml:space="preserve">Preprint </w:t>
      </w:r>
      <w:r>
        <w:rPr>
          <w:rFonts w:ascii="Times New Roman" w:hAnsi="Times New Roman" w:hint="default"/>
          <w:outline w:val="0"/>
          <w:color w:val="666666"/>
          <w:sz w:val="18"/>
          <w:szCs w:val="18"/>
          <w:u w:color="666666"/>
          <w:rtl w:val="0"/>
          <w:lang w:val="de-DE"/>
          <w14:textFill>
            <w14:solidFill>
              <w14:srgbClr w14:val="666666"/>
            </w14:solidFill>
          </w14:textFill>
        </w:rPr>
        <w:t xml:space="preserve">· </w:t>
      </w:r>
      <w:r>
        <w:rPr>
          <w:rFonts w:ascii="Times New Roman" w:hAnsi="Times New Roman"/>
          <w:outline w:val="0"/>
          <w:color w:val="666666"/>
          <w:sz w:val="18"/>
          <w:szCs w:val="18"/>
          <w:u w:color="666666"/>
          <w:rtl w:val="0"/>
          <w:lang w:val="it-IT"/>
          <w14:textFill>
            <w14:solidFill>
              <w14:srgbClr w14:val="666666"/>
            </w14:solidFill>
          </w14:textFill>
        </w:rPr>
        <w:t>April 2026</w:t>
      </w:r>
    </w:p>
    <w:p>
      <w:pPr>
        <w:pStyle w:val="Body A"/>
        <w:rPr>
          <w:lang w:val="de-DE"/>
        </w:rPr>
      </w:pPr>
      <w:r>
        <w:rPr>
          <w:rFonts w:ascii="Times New Roman" w:hAnsi="Times New Roman"/>
          <w:b w:val="1"/>
          <w:bCs w:val="1"/>
          <w:sz w:val="20"/>
          <w:szCs w:val="20"/>
          <w:rtl w:val="0"/>
          <w:lang w:val="de-DE"/>
        </w:rPr>
        <w:t>Abstract</w:t>
      </w:r>
    </w:p>
    <w:p>
      <w:pPr>
        <w:pStyle w:val="Body A"/>
      </w:pPr>
      <w:r>
        <w:rPr>
          <w:rFonts w:ascii="Times New Roman" w:hAnsi="Times New Roman"/>
          <w:sz w:val="20"/>
          <w:szCs w:val="20"/>
          <w:rtl w:val="0"/>
          <w:lang w:val="en-US"/>
        </w:rPr>
        <w:t xml:space="preserve">We present AccountingAgents, a novel multi-agent Large Language Model (LLM) framework inspired by the organizational structure of professional accounting firms. Drawing a direct parallel to TradingAgents [1] in financial trading, AccountingAgents defines specialized agent roles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Ingestion, Reconciliation, Reporting, Compliance, Accounts Receivable (AR), Accounts Payable (AP), and Onboarding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coordinated by a central Supervisor via a structured SharedState. Unlike existing commercial solutions (Intuit Assist, Pilot AI) that operate as closed, monolithic systems, our framework is open, composable, and MCP-native, </w:t>
      </w:r>
      <w:r>
        <w:rPr>
          <w:rFonts w:ascii="Times New Roman" w:hAnsi="Times New Roman"/>
          <w:sz w:val="20"/>
          <w:szCs w:val="20"/>
          <w:rtl w:val="0"/>
          <w:lang w:val="fr-FR"/>
        </w:rPr>
        <w:t>l</w:t>
      </w:r>
      <w:r>
        <w:rPr>
          <w:rFonts w:ascii="Times New Roman" w:hAnsi="Times New Roman"/>
          <w:sz w:val="20"/>
          <w:szCs w:val="20"/>
          <w:rtl w:val="0"/>
          <w:lang w:val="en-US"/>
        </w:rPr>
        <w:t xml:space="preserve">everaging official Model Context Protocol servers (e.g., QuickBooks Online MCP, Google Workspace MCP) as representative integrations. A key contribution is the design of an asynchronous Human-in-the-Loop (HITL) mechanism that suspends agent threads via LangGraph's interrupt() primitive, notifies the supervising accountant by </w:t>
      </w:r>
      <w:r>
        <w:rPr>
          <w:rFonts w:ascii="Times New Roman" w:hAnsi="Times New Roman"/>
          <w:sz w:val="20"/>
          <w:szCs w:val="20"/>
          <w:rtl w:val="0"/>
          <w:lang w:val="fr-FR"/>
        </w:rPr>
        <w:t>any instant messaging mechanism (eg Gmail, Slack, etc)</w:t>
      </w:r>
      <w:r>
        <w:rPr>
          <w:rFonts w:ascii="Times New Roman" w:hAnsi="Times New Roman"/>
          <w:sz w:val="20"/>
          <w:szCs w:val="20"/>
          <w:rtl w:val="0"/>
          <w:lang w:val="en-US"/>
        </w:rPr>
        <w:t xml:space="preserve">, and resumes execution upon webhook-delivered approval </w:t>
      </w:r>
      <w:r>
        <w:rPr>
          <w:rFonts w:ascii="Times New Roman" w:hAnsi="Times New Roman" w:hint="default"/>
          <w:sz w:val="20"/>
          <w:szCs w:val="20"/>
          <w:rtl w:val="0"/>
          <w:lang w:val="en-US"/>
        </w:rPr>
        <w:t xml:space="preserve">— </w:t>
      </w:r>
      <w:r>
        <w:rPr>
          <w:rFonts w:ascii="Times New Roman" w:hAnsi="Times New Roman"/>
          <w:sz w:val="20"/>
          <w:szCs w:val="20"/>
          <w:rtl w:val="0"/>
          <w:lang w:val="en-US"/>
        </w:rPr>
        <w:t>enabling mobile, real-world oversight without a dedicated console. The framework targets small-to-medium accounting firms underserved by enterprise solutions.</w:t>
      </w:r>
    </w:p>
    <w:p>
      <w:pPr>
        <w:pStyle w:val="Body A"/>
      </w:pPr>
      <w:r>
        <w:rPr>
          <w:rFonts w:ascii="Times New Roman" w:hAnsi="Times New Roman"/>
          <w:b w:val="1"/>
          <w:bCs w:val="1"/>
          <w:sz w:val="18"/>
          <w:szCs w:val="18"/>
          <w:rtl w:val="0"/>
          <w:lang w:val="en-US"/>
        </w:rPr>
        <w:t xml:space="preserve">Keywords: </w:t>
      </w:r>
      <w:r>
        <w:rPr>
          <w:rFonts w:ascii="Times New Roman" w:hAnsi="Times New Roman"/>
          <w:sz w:val="18"/>
          <w:szCs w:val="18"/>
          <w:rtl w:val="0"/>
          <w:lang w:val="en-US"/>
        </w:rPr>
        <w:t xml:space="preserve">multi-agent systems </w:t>
      </w:r>
      <w:r>
        <w:rPr>
          <w:rFonts w:ascii="Times New Roman" w:hAnsi="Times New Roman" w:hint="default"/>
          <w:sz w:val="18"/>
          <w:szCs w:val="18"/>
          <w:rtl w:val="0"/>
          <w:lang w:val="de-DE"/>
        </w:rPr>
        <w:t xml:space="preserve">· </w:t>
      </w:r>
      <w:r>
        <w:rPr>
          <w:rFonts w:ascii="Times New Roman" w:hAnsi="Times New Roman"/>
          <w:sz w:val="18"/>
          <w:szCs w:val="18"/>
          <w:rtl w:val="0"/>
          <w:lang w:val="da-DK"/>
        </w:rPr>
        <w:t xml:space="preserve">LLM </w:t>
      </w:r>
      <w:r>
        <w:rPr>
          <w:rFonts w:ascii="Times New Roman" w:hAnsi="Times New Roman" w:hint="default"/>
          <w:sz w:val="18"/>
          <w:szCs w:val="18"/>
          <w:rtl w:val="0"/>
          <w:lang w:val="de-DE"/>
        </w:rPr>
        <w:t xml:space="preserve">· </w:t>
      </w:r>
      <w:r>
        <w:rPr>
          <w:rFonts w:ascii="Times New Roman" w:hAnsi="Times New Roman"/>
          <w:sz w:val="18"/>
          <w:szCs w:val="18"/>
          <w:rtl w:val="0"/>
          <w:lang w:val="en-US"/>
        </w:rPr>
        <w:t xml:space="preserve">accounting automation </w:t>
      </w:r>
      <w:r>
        <w:rPr>
          <w:rFonts w:ascii="Times New Roman" w:hAnsi="Times New Roman" w:hint="default"/>
          <w:sz w:val="18"/>
          <w:szCs w:val="18"/>
          <w:rtl w:val="0"/>
          <w:lang w:val="de-DE"/>
        </w:rPr>
        <w:t xml:space="preserve">· </w:t>
      </w:r>
      <w:r>
        <w:rPr>
          <w:rFonts w:ascii="Times New Roman" w:hAnsi="Times New Roman"/>
          <w:sz w:val="18"/>
          <w:szCs w:val="18"/>
          <w:rtl w:val="0"/>
          <w:lang w:val="en-US"/>
        </w:rPr>
        <w:t xml:space="preserve">human-in-the-loop </w:t>
      </w:r>
      <w:r>
        <w:rPr>
          <w:rFonts w:ascii="Times New Roman" w:hAnsi="Times New Roman" w:hint="default"/>
          <w:sz w:val="18"/>
          <w:szCs w:val="18"/>
          <w:rtl w:val="0"/>
          <w:lang w:val="de-DE"/>
        </w:rPr>
        <w:t xml:space="preserve">· </w:t>
      </w:r>
      <w:r>
        <w:rPr>
          <w:rFonts w:ascii="Times New Roman" w:hAnsi="Times New Roman"/>
          <w:sz w:val="18"/>
          <w:szCs w:val="18"/>
          <w:rtl w:val="0"/>
          <w:lang w:val="pt-PT"/>
        </w:rPr>
        <w:t xml:space="preserve">MCP </w:t>
      </w:r>
      <w:r>
        <w:rPr>
          <w:rFonts w:ascii="Times New Roman" w:hAnsi="Times New Roman" w:hint="default"/>
          <w:sz w:val="18"/>
          <w:szCs w:val="18"/>
          <w:rtl w:val="0"/>
          <w:lang w:val="de-DE"/>
        </w:rPr>
        <w:t xml:space="preserve">· </w:t>
      </w:r>
      <w:r>
        <w:rPr>
          <w:rFonts w:ascii="Times New Roman" w:hAnsi="Times New Roman"/>
          <w:sz w:val="18"/>
          <w:szCs w:val="18"/>
          <w:rtl w:val="0"/>
          <w:lang w:val="fr-FR"/>
        </w:rPr>
        <w:t xml:space="preserve">LangGraph </w:t>
      </w:r>
      <w:r>
        <w:rPr>
          <w:rFonts w:ascii="Times New Roman" w:hAnsi="Times New Roman" w:hint="default"/>
          <w:sz w:val="18"/>
          <w:szCs w:val="18"/>
          <w:rtl w:val="0"/>
          <w:lang w:val="de-DE"/>
        </w:rPr>
        <w:t xml:space="preserve">· </w:t>
      </w:r>
      <w:r>
        <w:rPr>
          <w:rFonts w:ascii="Times New Roman" w:hAnsi="Times New Roman"/>
          <w:sz w:val="18"/>
          <w:szCs w:val="18"/>
          <w:rtl w:val="0"/>
          <w:lang w:val="en-US"/>
        </w:rPr>
        <w:t>QuickBooks Online</w:t>
      </w:r>
    </w:p>
    <w:p>
      <w:pPr>
        <w:pStyle w:val="Body A"/>
      </w:pPr>
    </w:p>
    <w:p>
      <w:pPr>
        <w:pStyle w:val="Heading"/>
        <w:spacing w:before="240"/>
      </w:pPr>
      <w:r>
        <w:rPr>
          <w:rtl w:val="0"/>
          <w:lang w:val="fr-FR"/>
        </w:rPr>
        <w:t>1. Introduction</w:t>
      </w:r>
    </w:p>
    <w:p>
      <w:pPr>
        <w:pStyle w:val="Heading"/>
        <w:spacing w:before="240"/>
      </w:pPr>
      <w:r>
        <w:rPr>
          <w:b w:val="0"/>
          <w:bCs w:val="0"/>
          <w:outline w:val="0"/>
          <w:color w:val="000000"/>
          <w:sz w:val="20"/>
          <w:szCs w:val="20"/>
          <w:u w:color="000000"/>
          <w:rtl w:val="0"/>
          <w:lang w:val="en-US"/>
          <w14:textFill>
            <w14:solidFill>
              <w14:srgbClr w14:val="000000"/>
            </w14:solidFill>
          </w14:textFill>
        </w:rPr>
        <w:t xml:space="preserve">Autonomous agents powered by Large Language Models (LLMs) have demonstrated transformative potential across domains requiring complex, multi-step reasoning and tool use. In finance, the TradingAgents framework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established a compelling paradigm: modelling the multi-agent decision process of a professional trading firm, with specialized roles for analysts, researchers, traders, and risk managers communicating through structured state rather than unstructured natural language. This design addresses two fundamental limitations of prior systems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the absence of realistic organizational modelling, and the "telephone effect" of context corruption across long natural language histories.</w:t>
      </w:r>
    </w:p>
    <w:p>
      <w:pPr>
        <w:pStyle w:val="Heading"/>
        <w:spacing w:before="240"/>
      </w:pPr>
      <w:r>
        <w:rPr>
          <w:b w:val="0"/>
          <w:bCs w:val="0"/>
          <w:outline w:val="0"/>
          <w:color w:val="000000"/>
          <w:sz w:val="20"/>
          <w:szCs w:val="20"/>
          <w:u w:color="000000"/>
          <w:rtl w:val="0"/>
          <w:lang w:val="en-US"/>
          <w14:textFill>
            <w14:solidFill>
              <w14:srgbClr w14:val="000000"/>
            </w14:solidFill>
          </w14:textFill>
        </w:rPr>
        <w:t xml:space="preserve">We observe that the accounting profession presents an analogous opportunity. A typical accounting firm processes hundreds of documents weekly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invoices, bank statements, tax filings, client correspondence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executing workflows that are highly structured, role-based, and subject to strict regulatory constraints. Despite a booming market for AI-assisted accounting (projected at $96.69B by 2033 </w:t>
      </w:r>
      <w:r>
        <w:rPr>
          <w:b w:val="0"/>
          <w:bCs w:val="0"/>
          <w:outline w:val="0"/>
          <w:color w:val="000000"/>
          <w:sz w:val="16"/>
          <w:szCs w:val="16"/>
          <w:u w:color="000000"/>
          <w:vertAlign w:val="superscript"/>
          <w:rtl w:val="0"/>
          <w:lang w:val="pt-PT"/>
          <w14:textFill>
            <w14:solidFill>
              <w14:srgbClr w14:val="000000"/>
            </w14:solidFill>
          </w14:textFill>
        </w:rPr>
        <w:t>[2]</w:t>
      </w:r>
      <w:r>
        <w:rPr>
          <w:b w:val="0"/>
          <w:bCs w:val="0"/>
          <w:outline w:val="0"/>
          <w:color w:val="000000"/>
          <w:sz w:val="20"/>
          <w:szCs w:val="20"/>
          <w:u w:color="000000"/>
          <w:rtl w:val="0"/>
          <w:lang w:val="en-US"/>
          <w14:textFill>
            <w14:solidFill>
              <w14:srgbClr w14:val="000000"/>
            </w14:solidFill>
          </w14:textFill>
        </w:rPr>
        <w:t xml:space="preserve">), existing solutions are either monolithic commercial products with vendor lock-in, or isolated single-agent tools that address narrow tasks without organizational coherence. The breadth of AI technologies applicable to Finance and Accounting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including multi-agent systems, reinforcement learning, graph neural networks, and neuro-symbolic AI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has been extensively surveyed by Ramachandran [11], confirming both the maturity of the underlying technologies and the scale of the automation opportunity. AccountingAgents addresses this opportunity through a concrete, opinionated framework targeting the specific organizational structure and operational constraints of small-to-medium accounting firms.</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Beyond automation capability, deployment in regulated environments demands that every agent action be traceable and attributable. Barrak </w:t>
      </w:r>
      <w:r>
        <w:rPr>
          <w:b w:val="0"/>
          <w:bCs w:val="0"/>
          <w:outline w:val="0"/>
          <w:color w:val="000000"/>
          <w:sz w:val="16"/>
          <w:szCs w:val="16"/>
          <w:u w:color="000000"/>
          <w:vertAlign w:val="superscript"/>
          <w:rtl w:val="0"/>
          <w:lang w:val="en-US"/>
          <w14:textFill>
            <w14:solidFill>
              <w14:srgbClr w14:val="000000"/>
            </w14:solidFill>
          </w14:textFill>
        </w:rPr>
        <w:t>[12]</w:t>
      </w:r>
      <w:r>
        <w:rPr>
          <w:b w:val="0"/>
          <w:bCs w:val="0"/>
          <w:outline w:val="0"/>
          <w:color w:val="000000"/>
          <w:sz w:val="20"/>
          <w:szCs w:val="20"/>
          <w:u w:color="000000"/>
          <w:rtl w:val="0"/>
          <w:lang w:val="en-US"/>
          <w14:textFill>
            <w14:solidFill>
              <w14:srgbClr w14:val="000000"/>
            </w14:solidFill>
          </w14:textFill>
        </w:rPr>
        <w:t xml:space="preserve"> demonstrates empirically that structured handoffs between role-specialized agents prevent silent error propagation and improve system reliability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 finding directly applicable to accounting workflows where errors carry fiduciary and legal consequences. AccountingAgents addresses this requirement by design, through a SharedState architecture that makes every agent delta auditable and a HITL escalation model that ensures human authorization of high-stakes actions.</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This paper introduces </w:t>
      </w:r>
      <w:r>
        <w:rPr>
          <w:outline w:val="0"/>
          <w:color w:val="000000"/>
          <w:sz w:val="20"/>
          <w:szCs w:val="20"/>
          <w:u w:color="000000"/>
          <w:rtl w:val="0"/>
          <w:lang w:val="en-US"/>
          <w14:textFill>
            <w14:solidFill>
              <w14:srgbClr w14:val="000000"/>
            </w14:solidFill>
          </w14:textFill>
        </w:rPr>
        <w:t>AccountingAgents</w:t>
      </w:r>
      <w:r>
        <w:rPr>
          <w:b w:val="0"/>
          <w:bCs w:val="0"/>
          <w:outline w:val="0"/>
          <w:color w:val="000000"/>
          <w:sz w:val="20"/>
          <w:szCs w:val="20"/>
          <w:u w:color="000000"/>
          <w:rtl w:val="0"/>
          <w:lang w:val="en-US"/>
          <w14:textFill>
            <w14:solidFill>
              <w14:srgbClr w14:val="000000"/>
            </w14:solidFill>
          </w14:textFill>
        </w:rPr>
        <w:t>, a multi-agent LLM framework that replicates the collaborative structure of a professional accounting firm. Our primary contributions are: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 role-specialized multi-agent architecture mirroring real accounting firm workflows built on LangGraph StateGraph with a structured SharedState;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Native integration with official MCP servers (QuickBooks Online, Gmail, Google Drive, Google Calendar) eliminating fragile custom API wrappers;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An asynchronous Human-in-the-Loop (HITL) mechanism using LangGraph interrupt(), any MCP-compatible messaging channel, and a lightweight webhook endpoint enabling mobile approval without a dedicated console;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 four-level HITL escalation model calibrated to accounting risk profiles (automated, notify, approve, transfer);</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Open-source positioning serving small-to-medium firms underserved by enterprise solutions.</w:t>
      </w:r>
    </w:p>
    <w:p>
      <w:pPr>
        <w:pStyle w:val="List Paragraph"/>
        <w:spacing w:after="80"/>
      </w:pPr>
    </w:p>
    <w:p>
      <w:pPr>
        <w:pStyle w:val="Heading"/>
        <w:spacing w:before="240"/>
        <w:rPr>
          <w:lang w:val="en-US"/>
        </w:rPr>
      </w:pPr>
      <w:r>
        <w:rPr>
          <w:rtl w:val="0"/>
          <w:lang w:val="en-US"/>
        </w:rPr>
        <w:t>2. Related Work</w:t>
      </w:r>
    </w:p>
    <w:p>
      <w:pPr>
        <w:pStyle w:val="Heading 2"/>
        <w:spacing w:before="240" w:after="120"/>
      </w:pPr>
      <w:r>
        <w:rPr>
          <w:rtl w:val="0"/>
          <w:lang w:val="en-US"/>
        </w:rPr>
        <w:t>2.1 Multi-Agent LLM Frameworks in Finance</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TradingAgents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proposes a stock trading framework with five specialized teams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Analysts, Researchers (Bull/Bear debaters), Traders, Risk Managers, and a Fund Manager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communicating via structured outputs. This design yields measurable improvements in Sharpe ratio and maximum drawdown over single-agent baselines. FinDebate </w:t>
      </w:r>
      <w:r>
        <w:rPr>
          <w:b w:val="0"/>
          <w:bCs w:val="0"/>
          <w:outline w:val="0"/>
          <w:color w:val="000000"/>
          <w:sz w:val="16"/>
          <w:szCs w:val="16"/>
          <w:u w:color="000000"/>
          <w:vertAlign w:val="superscript"/>
          <w:rtl w:val="0"/>
          <w:lang w:val="pt-PT"/>
          <w14:textFill>
            <w14:solidFill>
              <w14:srgbClr w14:val="000000"/>
            </w14:solidFill>
          </w14:textFill>
        </w:rPr>
        <w:t>[3]</w:t>
      </w:r>
      <w:r>
        <w:rPr>
          <w:b w:val="0"/>
          <w:bCs w:val="0"/>
          <w:outline w:val="0"/>
          <w:color w:val="000000"/>
          <w:sz w:val="20"/>
          <w:szCs w:val="20"/>
          <w:u w:color="000000"/>
          <w:rtl w:val="0"/>
          <w:lang w:val="en-US"/>
          <w14:textFill>
            <w14:solidFill>
              <w14:srgbClr w14:val="000000"/>
            </w14:solidFill>
          </w14:textFill>
        </w:rPr>
        <w:t xml:space="preserve"> extends debate-driven reasoning to financial analysis reports. A recent arXiv benchmark </w:t>
      </w:r>
      <w:r>
        <w:rPr>
          <w:b w:val="0"/>
          <w:bCs w:val="0"/>
          <w:outline w:val="0"/>
          <w:color w:val="000000"/>
          <w:sz w:val="16"/>
          <w:szCs w:val="16"/>
          <w:u w:color="000000"/>
          <w:vertAlign w:val="superscript"/>
          <w:rtl w:val="0"/>
          <w:lang w:val="pt-PT"/>
          <w14:textFill>
            <w14:solidFill>
              <w14:srgbClr w14:val="000000"/>
            </w14:solidFill>
          </w14:textFill>
        </w:rPr>
        <w:t>[4]</w:t>
      </w:r>
      <w:r>
        <w:rPr>
          <w:b w:val="0"/>
          <w:bCs w:val="0"/>
          <w:outline w:val="0"/>
          <w:color w:val="000000"/>
          <w:sz w:val="20"/>
          <w:szCs w:val="20"/>
          <w:u w:color="000000"/>
          <w:rtl w:val="0"/>
          <w:lang w:val="en-US"/>
          <w14:textFill>
            <w14:solidFill>
              <w14:srgbClr w14:val="000000"/>
            </w14:solidFill>
          </w14:textFill>
        </w:rPr>
        <w:t xml:space="preserve"> evaluates four multi-agent orchestration architectures (sequential pipeline, parallel fan-out, hierarchical supervisor-worker, reflexive self-correcting) on 10,000 SEC filings, finding hierarchical architectures occupy the most favorable cost-accuracy Pareto frontier (F1 0.921 at 1.4x cost). AccountingAgents adopts a hierarchical supervisor-worker architecture, consistent with these findings.</w:t>
      </w:r>
    </w:p>
    <w:p>
      <w:pPr>
        <w:pStyle w:val="Heading 2"/>
        <w:spacing w:before="240" w:after="120"/>
      </w:pPr>
      <w:r>
        <w:rPr>
          <w:rtl w:val="0"/>
          <w:lang w:val="en-US"/>
        </w:rPr>
        <w:t>2.2 AI in Accounting</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Commercial solutions such as Intuit Assist </w:t>
      </w:r>
      <w:r>
        <w:rPr>
          <w:b w:val="0"/>
          <w:bCs w:val="0"/>
          <w:outline w:val="0"/>
          <w:color w:val="000000"/>
          <w:sz w:val="16"/>
          <w:szCs w:val="16"/>
          <w:u w:color="000000"/>
          <w:vertAlign w:val="superscript"/>
          <w:rtl w:val="0"/>
          <w:lang w:val="pt-PT"/>
          <w14:textFill>
            <w14:solidFill>
              <w14:srgbClr w14:val="000000"/>
            </w14:solidFill>
          </w14:textFill>
        </w:rPr>
        <w:t>[5]</w:t>
      </w:r>
      <w:r>
        <w:rPr>
          <w:b w:val="0"/>
          <w:bCs w:val="0"/>
          <w:outline w:val="0"/>
          <w:color w:val="000000"/>
          <w:sz w:val="20"/>
          <w:szCs w:val="20"/>
          <w:u w:color="000000"/>
          <w:rtl w:val="0"/>
          <w:lang w:val="en-US"/>
          <w14:textFill>
            <w14:solidFill>
              <w14:srgbClr w14:val="000000"/>
            </w14:solidFill>
          </w14:textFill>
        </w:rPr>
        <w:t xml:space="preserve">, Pilot AI </w:t>
      </w:r>
      <w:r>
        <w:rPr>
          <w:b w:val="0"/>
          <w:bCs w:val="0"/>
          <w:outline w:val="0"/>
          <w:color w:val="000000"/>
          <w:sz w:val="16"/>
          <w:szCs w:val="16"/>
          <w:u w:color="000000"/>
          <w:vertAlign w:val="superscript"/>
          <w:rtl w:val="0"/>
          <w:lang w:val="pt-PT"/>
          <w14:textFill>
            <w14:solidFill>
              <w14:srgbClr w14:val="000000"/>
            </w14:solidFill>
          </w14:textFill>
        </w:rPr>
        <w:t>[6]</w:t>
      </w:r>
      <w:r>
        <w:rPr>
          <w:b w:val="0"/>
          <w:bCs w:val="0"/>
          <w:outline w:val="0"/>
          <w:color w:val="000000"/>
          <w:sz w:val="20"/>
          <w:szCs w:val="20"/>
          <w:u w:color="000000"/>
          <w:rtl w:val="0"/>
          <w:lang w:val="en-US"/>
          <w14:textFill>
            <w14:solidFill>
              <w14:srgbClr w14:val="000000"/>
            </w14:solidFill>
          </w14:textFill>
        </w:rPr>
        <w:t xml:space="preserve">, Docyt, and FloQast provide AI-assisted bookkeeping within closed ecosystems. Intuit reports that its AI reduces reconciliation time by ~3x and that 74% of customers post transactions faster </w:t>
      </w:r>
      <w:r>
        <w:rPr>
          <w:b w:val="0"/>
          <w:bCs w:val="0"/>
          <w:outline w:val="0"/>
          <w:color w:val="000000"/>
          <w:sz w:val="16"/>
          <w:szCs w:val="16"/>
          <w:u w:color="000000"/>
          <w:vertAlign w:val="superscript"/>
          <w:rtl w:val="0"/>
          <w:lang w:val="pt-PT"/>
          <w14:textFill>
            <w14:solidFill>
              <w14:srgbClr w14:val="000000"/>
            </w14:solidFill>
          </w14:textFill>
        </w:rPr>
        <w:t>[5]</w:t>
      </w:r>
      <w:r>
        <w:rPr>
          <w:b w:val="0"/>
          <w:bCs w:val="0"/>
          <w:outline w:val="0"/>
          <w:color w:val="000000"/>
          <w:sz w:val="20"/>
          <w:szCs w:val="20"/>
          <w:u w:color="000000"/>
          <w:rtl w:val="0"/>
          <w:lang w:val="en-US"/>
          <w14:textFill>
            <w14:solidFill>
              <w14:srgbClr w14:val="000000"/>
            </w14:solidFill>
          </w14:textFill>
        </w:rPr>
        <w:t>. However, these systems are opaque, expensive for small firms, and not calibrated to regional regulatory contexts (e.g., Canadian GST/HST, Revenu Qu</w:t>
      </w:r>
      <w:r>
        <w:rPr>
          <w:b w:val="0"/>
          <w:bCs w:val="0"/>
          <w:outline w:val="0"/>
          <w:color w:val="000000"/>
          <w:sz w:val="20"/>
          <w:szCs w:val="20"/>
          <w:u w:color="000000"/>
          <w:rtl w:val="0"/>
          <w:lang w:val="fr-FR"/>
          <w14:textFill>
            <w14:solidFill>
              <w14:srgbClr w14:val="000000"/>
            </w14:solidFill>
          </w14:textFill>
        </w:rPr>
        <w:t>é</w:t>
      </w:r>
      <w:r>
        <w:rPr>
          <w:b w:val="0"/>
          <w:bCs w:val="0"/>
          <w:outline w:val="0"/>
          <w:color w:val="000000"/>
          <w:sz w:val="20"/>
          <w:szCs w:val="20"/>
          <w:u w:color="000000"/>
          <w:rtl w:val="0"/>
          <w:lang w:val="en-US"/>
          <w14:textFill>
            <w14:solidFill>
              <w14:srgbClr w14:val="000000"/>
            </w14:solidFill>
          </w14:textFill>
        </w:rPr>
        <w:t xml:space="preserve">bec). On the open-source side, panaversity/accounts_ai </w:t>
      </w:r>
      <w:r>
        <w:rPr>
          <w:b w:val="0"/>
          <w:bCs w:val="0"/>
          <w:outline w:val="0"/>
          <w:color w:val="000000"/>
          <w:sz w:val="16"/>
          <w:szCs w:val="16"/>
          <w:u w:color="000000"/>
          <w:vertAlign w:val="superscript"/>
          <w:rtl w:val="0"/>
          <w:lang w:val="pt-PT"/>
          <w14:textFill>
            <w14:solidFill>
              <w14:srgbClr w14:val="000000"/>
            </w14:solidFill>
          </w14:textFill>
        </w:rPr>
        <w:t>[7]</w:t>
      </w:r>
      <w:r>
        <w:rPr>
          <w:b w:val="0"/>
          <w:bCs w:val="0"/>
          <w:outline w:val="0"/>
          <w:color w:val="000000"/>
          <w:sz w:val="20"/>
          <w:szCs w:val="20"/>
          <w:u w:color="000000"/>
          <w:rtl w:val="0"/>
          <w:lang w:val="en-US"/>
          <w14:textFill>
            <w14:solidFill>
              <w14:srgbClr w14:val="000000"/>
            </w14:solidFill>
          </w14:textFill>
        </w:rPr>
        <w:t xml:space="preserve"> proposes an AI accounting co-pilot but remains at the architectural design stage without experimental validation. To our knowledge, no published academic work proposes a complete multi-agent LLM framework modelled on accounting firm organizational structure.</w:t>
      </w:r>
    </w:p>
    <w:p>
      <w:pPr>
        <w:pStyle w:val="Heading 2"/>
        <w:spacing w:before="240" w:after="120"/>
      </w:pPr>
      <w:r>
        <w:rPr>
          <w:rtl w:val="0"/>
          <w:lang w:val="en-US"/>
        </w:rPr>
        <w:t>2.3 Human-in-the-Loop in Agentic Systems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HITL mechanisms in agentic systems have been studied in the context of code generation (AlphaGPT </w:t>
      </w:r>
      <w:r>
        <w:rPr>
          <w:b w:val="0"/>
          <w:bCs w:val="0"/>
          <w:outline w:val="0"/>
          <w:color w:val="000000"/>
          <w:sz w:val="16"/>
          <w:szCs w:val="16"/>
          <w:u w:color="000000"/>
          <w:vertAlign w:val="superscript"/>
          <w:rtl w:val="0"/>
          <w:lang w:val="pt-PT"/>
          <w14:textFill>
            <w14:solidFill>
              <w14:srgbClr w14:val="000000"/>
            </w14:solidFill>
          </w14:textFill>
        </w:rPr>
        <w:t>[8]</w:t>
      </w:r>
      <w:r>
        <w:rPr>
          <w:b w:val="0"/>
          <w:bCs w:val="0"/>
          <w:outline w:val="0"/>
          <w:color w:val="000000"/>
          <w:sz w:val="20"/>
          <w:szCs w:val="20"/>
          <w:u w:color="000000"/>
          <w:rtl w:val="0"/>
          <w:lang w:val="en-US"/>
          <w14:textFill>
            <w14:solidFill>
              <w14:srgbClr w14:val="000000"/>
            </w14:solidFill>
          </w14:textFill>
        </w:rPr>
        <w:t xml:space="preserve">) and general task automation. LangGraph's interrupt() primitive </w:t>
      </w:r>
      <w:r>
        <w:rPr>
          <w:b w:val="0"/>
          <w:bCs w:val="0"/>
          <w:outline w:val="0"/>
          <w:color w:val="000000"/>
          <w:sz w:val="16"/>
          <w:szCs w:val="16"/>
          <w:u w:color="000000"/>
          <w:vertAlign w:val="superscript"/>
          <w:rtl w:val="0"/>
          <w:lang w:val="pt-PT"/>
          <w14:textFill>
            <w14:solidFill>
              <w14:srgbClr w14:val="000000"/>
            </w14:solidFill>
          </w14:textFill>
        </w:rPr>
        <w:t>[9]</w:t>
      </w:r>
      <w:r>
        <w:rPr>
          <w:b w:val="0"/>
          <w:bCs w:val="0"/>
          <w:outline w:val="0"/>
          <w:color w:val="000000"/>
          <w:sz w:val="20"/>
          <w:szCs w:val="20"/>
          <w:u w:color="000000"/>
          <w:rtl w:val="0"/>
          <w:lang w:val="en-US"/>
          <w14:textFill>
            <w14:solidFill>
              <w14:srgbClr w14:val="000000"/>
            </w14:solidFill>
          </w14:textFill>
        </w:rPr>
        <w:t xml:space="preserve"> provides a first-class HITL abstraction: threads are suspended, state is persisted via a checkpointer, and execution resumes upon external signal. Our contribution extends this to an asynchronous, mobile-friendly approval loop via any near-real-time communication mechanism (e.g., email, instant messaging), addressing the practical constraint that accounting supervisors are rarely at a workstation.</w:t>
      </w:r>
    </w:p>
    <w:p>
      <w:pPr>
        <w:pStyle w:val="Heading 2"/>
        <w:spacing w:before="240" w:after="120"/>
      </w:pPr>
      <w:r>
        <w:rPr>
          <w:rtl w:val="0"/>
          <w:lang w:val="en-US"/>
        </w:rPr>
        <w:t>2.4 Traceability and Accountability in Multi-Agent Systems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Traceability and accountability are foundational requirements in regulated environments such as accounting, where every financial action must be auditable and attributable. Barrak </w:t>
      </w:r>
      <w:r>
        <w:rPr>
          <w:b w:val="0"/>
          <w:bCs w:val="0"/>
          <w:outline w:val="0"/>
          <w:color w:val="000000"/>
          <w:sz w:val="16"/>
          <w:szCs w:val="16"/>
          <w:u w:color="000000"/>
          <w:vertAlign w:val="superscript"/>
          <w:rtl w:val="0"/>
          <w:lang w:val="en-US"/>
          <w14:textFill>
            <w14:solidFill>
              <w14:srgbClr w14:val="000000"/>
            </w14:solidFill>
          </w14:textFill>
        </w:rPr>
        <w:t>[12]</w:t>
      </w:r>
      <w:r>
        <w:rPr>
          <w:b w:val="0"/>
          <w:bCs w:val="0"/>
          <w:outline w:val="0"/>
          <w:color w:val="000000"/>
          <w:sz w:val="20"/>
          <w:szCs w:val="20"/>
          <w:u w:color="000000"/>
          <w:rtl w:val="0"/>
          <w:lang w:val="en-US"/>
          <w14:textFill>
            <w14:solidFill>
              <w14:srgbClr w14:val="000000"/>
            </w14:solidFill>
          </w14:textFill>
        </w:rPr>
        <w:t xml:space="preserve"> empirically demonstrates that structured, accountable handoffs between role-specialized agents markedly improve accuracy and prevent the silent propagation of errors common in naive pipelines. Their Planner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Executor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Critic architecture shows that saving records of who did what at each step is not merely a governance concern but a direct driver of system reliability. AccountingAgents inherits this principle through two complementary mechanisms: (1) the SharedState architecture, where each agent writes only its own delta, creating an implicit, auditable trail of every decision and transformation; and (2) the four-level HITL escalation model (N1</w:t>
      </w:r>
      <w:r>
        <w:rPr>
          <w:b w:val="0"/>
          <w:bCs w:val="0"/>
          <w:outline w:val="0"/>
          <w:color w:val="000000"/>
          <w:sz w:val="20"/>
          <w:szCs w:val="20"/>
          <w:u w:color="000000"/>
          <w:rtl w:val="0"/>
          <w:lang w:val="en-US"/>
          <w14:textFill>
            <w14:solidFill>
              <w14:srgbClr w14:val="000000"/>
            </w14:solidFill>
          </w14:textFill>
        </w:rPr>
        <w:t>–</w:t>
      </w:r>
      <w:r>
        <w:rPr>
          <w:b w:val="0"/>
          <w:bCs w:val="0"/>
          <w:outline w:val="0"/>
          <w:color w:val="000000"/>
          <w:sz w:val="20"/>
          <w:szCs w:val="20"/>
          <w:u w:color="000000"/>
          <w:rtl w:val="0"/>
          <w:lang w:val="en-US"/>
          <w14:textFill>
            <w14:solidFill>
              <w14:srgbClr w14:val="000000"/>
            </w14:solidFill>
          </w14:textFill>
        </w:rPr>
        <w:t xml:space="preserve">N4), which ensures that high-stakes actions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vendor payments, AR escalations, reconciliation corrections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are explicitly authorized before execution and logged upon completion.</w:t>
      </w:r>
    </w:p>
    <w:p>
      <w:pPr>
        <w:pStyle w:val="Heading 2"/>
        <w:spacing w:before="240" w:after="120"/>
      </w:pPr>
    </w:p>
    <w:p>
      <w:pPr>
        <w:pStyle w:val="Heading"/>
        <w:spacing w:before="240"/>
      </w:pPr>
      <w:r>
        <w:rPr>
          <w:rFonts w:ascii="Arial Unicode MS" w:cs="Arial Unicode MS" w:hAnsi="Arial Unicode MS" w:eastAsia="Arial Unicode MS"/>
          <w:b w:val="0"/>
          <w:bCs w:val="0"/>
          <w:i w:val="0"/>
          <w:iCs w:val="0"/>
          <w:lang w:val="en-US"/>
        </w:rPr>
        <w:br w:type="page"/>
      </w:r>
    </w:p>
    <w:p>
      <w:pPr>
        <w:pStyle w:val="Heading"/>
        <w:spacing w:before="240"/>
        <w:rPr>
          <w:lang w:val="en-US"/>
        </w:rPr>
      </w:pPr>
      <w:r>
        <w:rPr>
          <w:rtl w:val="0"/>
          <w:lang w:val="en-US"/>
        </w:rPr>
        <w:t>3. AccountingAgents Framework</w:t>
      </w:r>
    </w:p>
    <w:p>
      <w:pPr>
        <w:pStyle w:val="Heading 2"/>
        <w:spacing w:before="240" w:after="120"/>
      </w:pPr>
      <w:r>
        <w:rPr>
          <w:rtl w:val="0"/>
          <w:lang w:val="en-US"/>
        </w:rPr>
        <w:t>3.1 Design Principles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AccountingAgents is governed by three principles inherited from TradingAgents and adapted to the accounting domain:</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Structured state as the sole communication channel. All agents read from and write to a typed SharedState (Python TypedDict), eliminating context corruption across long conversation histories.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Delta-based updates. Each agent node returns only the fields it modifies; LangGraph merges these automatically into the global 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Framework complexity must be justified. A framework is adopted only when the complexity it manages exceeds the complexity it introduces.</w:t>
      </w:r>
    </w:p>
    <w:p>
      <w:pPr>
        <w:pStyle w:val="Heading 2"/>
        <w:spacing w:before="240" w:after="120"/>
      </w:pPr>
      <w:r>
        <w:rPr>
          <w:rtl w:val="0"/>
          <w:lang w:val="en-US"/>
        </w:rPr>
        <w:t>3.2 Overall Framework Organization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The framework comprises seven specialized agents, organized sequentially with conditional routing by the Supervisor. Figure 1 illustrates the overall architecture.</w:t>
      </w:r>
    </w:p>
    <w:p>
      <w:pPr>
        <w:pStyle w:val="Heading 2"/>
        <w:spacing w:before="240" w:after="120"/>
      </w:pPr>
    </w:p>
    <w:p>
      <w:pPr>
        <w:pStyle w:val="Heading 2"/>
        <w:spacing w:before="240" w:after="120"/>
      </w:pPr>
      <w:r>
        <w:drawing xmlns:a="http://schemas.openxmlformats.org/drawingml/2006/main">
          <wp:inline distT="0" distB="0" distL="0" distR="0">
            <wp:extent cx="5905500" cy="4191000"/>
            <wp:effectExtent l="0" t="0" r="0" b="0"/>
            <wp:docPr id="1073741825" name="officeArt object" descr="9d075aada48fc896c8393bfab4ee2187a26e34d7.png"/>
            <wp:cNvGraphicFramePr/>
            <a:graphic xmlns:a="http://schemas.openxmlformats.org/drawingml/2006/main">
              <a:graphicData uri="http://schemas.openxmlformats.org/drawingml/2006/picture">
                <pic:pic xmlns:pic="http://schemas.openxmlformats.org/drawingml/2006/picture">
                  <pic:nvPicPr>
                    <pic:cNvPr id="1073741825" name="9d075aada48fc896c8393bfab4ee2187a26e34d7.png" descr="9d075aada48fc896c8393bfab4ee2187a26e34d7.png"/>
                    <pic:cNvPicPr>
                      <a:picLocks noChangeAspect="1"/>
                    </pic:cNvPicPr>
                  </pic:nvPicPr>
                  <pic:blipFill>
                    <a:blip r:embed="rId4">
                      <a:extLst/>
                    </a:blip>
                    <a:stretch>
                      <a:fillRect/>
                    </a:stretch>
                  </pic:blipFill>
                  <pic:spPr>
                    <a:xfrm>
                      <a:off x="0" y="0"/>
                      <a:ext cx="5905500" cy="4191000"/>
                    </a:xfrm>
                    <a:prstGeom prst="rect">
                      <a:avLst/>
                    </a:prstGeom>
                    <a:ln w="12700" cap="flat">
                      <a:noFill/>
                      <a:miter lim="400000"/>
                    </a:ln>
                    <a:effectLst/>
                  </pic:spPr>
                </pic:pic>
              </a:graphicData>
            </a:graphic>
          </wp:inline>
        </w:drawing>
      </w:r>
    </w:p>
    <w:p>
      <w:pPr>
        <w:pStyle w:val="Heading 2"/>
        <w:spacing w:before="240" w:after="120"/>
      </w:pPr>
    </w:p>
    <w:p>
      <w:pPr>
        <w:pStyle w:val="Heading 2"/>
        <w:spacing w:before="240" w:after="120"/>
      </w:pPr>
      <w:r>
        <w:rPr>
          <w:rFonts w:ascii="Arial Unicode MS" w:cs="Arial Unicode MS" w:hAnsi="Arial Unicode MS" w:eastAsia="Arial Unicode MS"/>
          <w:b w:val="0"/>
          <w:bCs w:val="0"/>
          <w:i w:val="0"/>
          <w:iCs w:val="0"/>
          <w:lang w:val="fr-FR"/>
        </w:rPr>
        <w:br w:type="page"/>
      </w:r>
    </w:p>
    <w:p>
      <w:pPr>
        <w:pStyle w:val="Heading 2"/>
        <w:spacing w:before="240" w:after="120"/>
        <w:rPr>
          <w:lang w:val="fr-FR"/>
        </w:rPr>
      </w:pPr>
      <w:r>
        <w:rPr>
          <w:rtl w:val="0"/>
          <w:lang w:val="fr-FR"/>
        </w:rPr>
        <w:t>3.3 Agent Roles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00"/>
        <w:gridCol w:w="2200"/>
        <w:gridCol w:w="2400"/>
        <w:gridCol w:w="3160"/>
      </w:tblGrid>
      <w:tr>
        <w:tblPrEx>
          <w:shd w:val="clear" w:color="auto" w:fill="4f81bd"/>
        </w:tblPrEx>
        <w:trPr>
          <w:trHeight w:val="198" w:hRule="atLeast"/>
          <w:tblHeader/>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Team</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Goal</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MCP Tools</w:t>
            </w:r>
            <w:r>
              <w:rPr>
                <w:rFonts w:ascii="Times New Roman" w:hAnsi="Times New Roman"/>
                <w:b w:val="1"/>
                <w:bCs w:val="1"/>
                <w:outline w:val="0"/>
                <w:color w:val="ffffff"/>
                <w:sz w:val="18"/>
                <w:szCs w:val="18"/>
                <w:u w:color="ffffff"/>
                <w:shd w:val="nil" w:color="auto" w:fill="auto"/>
                <w:rtl w:val="0"/>
                <w:lang w:val="fr-FR"/>
                <w14:textFill>
                  <w14:solidFill>
                    <w14:srgbClr w14:val="FFFFFF"/>
                  </w14:solidFill>
                </w14:textFill>
              </w:rPr>
              <w:t xml:space="preserve"> for the MVP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I. Ingestion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en-US"/>
              </w:rPr>
              <w:t>Ingestion Agent</w:t>
            </w:r>
          </w:p>
          <w:p>
            <w:pPr>
              <w:pStyle w:val="Default"/>
              <w:bidi w:val="0"/>
              <w:ind w:left="0" w:right="0" w:firstLine="0"/>
              <w:jc w:val="left"/>
              <w:rPr>
                <w:rtl w:val="0"/>
              </w:rPr>
            </w:pPr>
            <w:r>
              <w:rPr>
                <w:rFonts w:ascii="Times New Roman" w:hAnsi="Times New Roman"/>
                <w:sz w:val="17"/>
                <w:szCs w:val="17"/>
                <w:shd w:val="nil" w:color="auto" w:fill="auto"/>
                <w:rtl w:val="0"/>
                <w:lang w:val="fr-FR"/>
              </w:rPr>
              <w:t>Document Classifier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Capture &amp; classify incoming financial documents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a-DK"/>
              </w:rPr>
              <w:t>LLM</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II. Reconciliation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fr-FR"/>
              </w:rPr>
              <w:t>Reconciliation Agent</w:t>
            </w:r>
          </w:p>
          <w:p>
            <w:pPr>
              <w:pStyle w:val="Default"/>
              <w:bidi w:val="0"/>
              <w:ind w:left="0" w:right="0" w:firstLine="0"/>
              <w:jc w:val="left"/>
              <w:rPr>
                <w:rtl w:val="0"/>
              </w:rPr>
            </w:pPr>
            <w:r>
              <w:rPr>
                <w:rFonts w:ascii="Times New Roman" w:hAnsi="Times New Roman"/>
                <w:sz w:val="17"/>
                <w:szCs w:val="17"/>
                <w:shd w:val="nil" w:color="auto" w:fill="auto"/>
                <w:rtl w:val="0"/>
                <w:lang w:val="en-US"/>
              </w:rPr>
              <w:t>Gap Detector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Match transactions vs. bank statements; flag discrepancies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Drive MCP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III. Reporting</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en-US"/>
              </w:rPr>
              <w:t>Reporting Agent</w:t>
            </w:r>
          </w:p>
          <w:p>
            <w:pPr>
              <w:pStyle w:val="Default"/>
              <w:bidi w:val="0"/>
              <w:ind w:left="0" w:right="0" w:firstLine="0"/>
              <w:jc w:val="left"/>
              <w:rPr>
                <w:rtl w:val="0"/>
              </w:rPr>
            </w:pPr>
            <w:r>
              <w:rPr>
                <w:rFonts w:ascii="Times New Roman" w:hAnsi="Times New Roman"/>
                <w:sz w:val="17"/>
                <w:szCs w:val="17"/>
                <w:shd w:val="nil" w:color="auto" w:fill="auto"/>
                <w:rtl w:val="0"/>
                <w:lang w:val="en-US"/>
              </w:rPr>
              <w:t>Compliance 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Generate P&amp;L, cash flow; monitor fiscal deadlines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pt-PT"/>
              </w:rPr>
              <w:t>Calendar MCP</w:t>
            </w:r>
          </w:p>
        </w:tc>
      </w:tr>
      <w:tr>
        <w:tblPrEx>
          <w:shd w:val="clear" w:color="auto" w:fill="ced7e7"/>
        </w:tblPrEx>
        <w:trPr>
          <w:trHeight w:val="994"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IV. AR / AP / Client</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de-DE"/>
              </w:rPr>
              <w:t>AR Agent</w:t>
            </w:r>
          </w:p>
          <w:p>
            <w:pPr>
              <w:pStyle w:val="Default"/>
              <w:bidi w:val="0"/>
              <w:ind w:left="0" w:right="0" w:firstLine="0"/>
              <w:jc w:val="left"/>
              <w:rPr>
                <w:rFonts w:ascii="Times New Roman" w:cs="Times New Roman" w:hAnsi="Times New Roman" w:eastAsia="Times New Roman"/>
                <w:sz w:val="17"/>
                <w:szCs w:val="17"/>
                <w:shd w:val="nil" w:color="auto" w:fill="auto"/>
                <w:rtl w:val="0"/>
              </w:rPr>
            </w:pPr>
            <w:r>
              <w:rPr>
                <w:rFonts w:ascii="Times New Roman" w:hAnsi="Times New Roman"/>
                <w:sz w:val="17"/>
                <w:szCs w:val="17"/>
                <w:shd w:val="nil" w:color="auto" w:fill="auto"/>
                <w:rtl w:val="0"/>
                <w:lang w:val="es-ES_tradnl"/>
              </w:rPr>
              <w:t>AP / Payables Agent</w:t>
            </w:r>
          </w:p>
          <w:p>
            <w:pPr>
              <w:pStyle w:val="Default"/>
              <w:bidi w:val="0"/>
              <w:ind w:left="0" w:right="0" w:firstLine="0"/>
              <w:jc w:val="left"/>
              <w:rPr>
                <w:rtl w:val="0"/>
              </w:rPr>
            </w:pPr>
            <w:r>
              <w:rPr>
                <w:rFonts w:ascii="Times New Roman" w:hAnsi="Times New Roman"/>
                <w:sz w:val="17"/>
                <w:szCs w:val="17"/>
                <w:shd w:val="nil" w:color="auto" w:fill="auto"/>
                <w:rtl w:val="0"/>
                <w:lang w:val="en-US"/>
              </w:rPr>
              <w:t>Onboarding 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Track overdue invoices; approve vendor bills &amp; payments; create client profiles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pt-PT"/>
              </w:rPr>
              <w:t>Calendar MCP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V. Supervisor</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it-IT"/>
              </w:rPr>
              <w:t>Supervisor</w:t>
            </w:r>
          </w:p>
          <w:p>
            <w:pPr>
              <w:pStyle w:val="Default"/>
              <w:bidi w:val="0"/>
              <w:ind w:left="0" w:right="0" w:firstLine="0"/>
              <w:jc w:val="left"/>
              <w:rPr>
                <w:rtl w:val="0"/>
              </w:rPr>
            </w:pPr>
            <w:r>
              <w:rPr>
                <w:rFonts w:ascii="Times New Roman" w:hAnsi="Times New Roman"/>
                <w:sz w:val="17"/>
                <w:szCs w:val="17"/>
                <w:shd w:val="nil" w:color="auto" w:fill="auto"/>
                <w:rtl w:val="0"/>
                <w:lang w:val="en-US"/>
              </w:rPr>
              <w:t>Decision Router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Orchestrate state, routing, error handling</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LangGraph StateGraph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checkpointer</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VI. HITL</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fr-FR"/>
              </w:rPr>
              <w:t>HITL Notifier</w:t>
            </w:r>
          </w:p>
          <w:p>
            <w:pPr>
              <w:pStyle w:val="Default"/>
              <w:bidi w:val="0"/>
              <w:ind w:left="0" w:right="0" w:firstLine="0"/>
              <w:jc w:val="left"/>
              <w:rPr>
                <w:rtl w:val="0"/>
              </w:rPr>
            </w:pPr>
            <w:r>
              <w:rPr>
                <w:rFonts w:ascii="Times New Roman" w:hAnsi="Times New Roman"/>
                <w:sz w:val="17"/>
                <w:szCs w:val="17"/>
                <w:shd w:val="nil" w:color="auto" w:fill="auto"/>
                <w:rtl w:val="0"/>
                <w:lang w:val="en-US"/>
              </w:rPr>
              <w:t>Webhook Resumption</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Async approval via Gmail; resume suspended thread</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 xml:space="preserve">webhook endpoint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SqliteSaver</w:t>
            </w:r>
          </w:p>
        </w:tc>
      </w:tr>
    </w:tbl>
    <w:p>
      <w:pPr>
        <w:pStyle w:val="Heading 2"/>
        <w:widowControl w:val="0"/>
        <w:spacing w:before="240" w:after="120"/>
        <w:ind w:left="108" w:hanging="108"/>
        <w:rPr>
          <w:lang w:val="fr-FR"/>
        </w:rPr>
      </w:pPr>
    </w:p>
    <w:p>
      <w:pPr>
        <w:pStyle w:val="Heading 2"/>
        <w:widowControl w:val="0"/>
        <w:spacing w:before="240" w:after="120"/>
      </w:pPr>
    </w:p>
    <w:p>
      <w:pPr>
        <w:pStyle w:val="Heading 2"/>
        <w:widowControl w:val="0"/>
        <w:spacing w:before="240" w:after="120"/>
      </w:pPr>
      <w:r>
        <w:rPr>
          <w:b w:val="0"/>
          <w:bCs w:val="0"/>
          <w:outline w:val="0"/>
          <w:color w:val="000000"/>
          <w:sz w:val="18"/>
          <w:szCs w:val="18"/>
          <w:u w:color="000000"/>
          <w:rtl w:val="0"/>
          <w:lang w:val="en-US"/>
          <w14:textFill>
            <w14:solidFill>
              <w14:srgbClr w14:val="000000"/>
            </w14:solidFill>
          </w14:textFill>
        </w:rPr>
        <w:t>Table 1: AccountingAgents role definitions.</w:t>
      </w:r>
    </w:p>
    <w:p>
      <w:pPr>
        <w:pStyle w:val="Heading 2"/>
        <w:spacing w:before="240" w:after="120"/>
      </w:pPr>
      <w:r>
        <w:rPr>
          <w:rtl w:val="0"/>
          <w:lang w:val="en-US"/>
        </w:rPr>
        <w:t>3.4 SharedState Design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All inter-agent communication flows exclusively through a structured </w:t>
      </w:r>
      <w:r>
        <w:rPr>
          <w:outline w:val="0"/>
          <w:color w:val="000000"/>
          <w:sz w:val="20"/>
          <w:szCs w:val="20"/>
          <w:u w:color="000000"/>
          <w:rtl w:val="0"/>
          <w:lang w:val="en-US"/>
          <w14:textFill>
            <w14:solidFill>
              <w14:srgbClr w14:val="000000"/>
            </w14:solidFill>
          </w14:textFill>
        </w:rPr>
        <w:t>SharedState</w:t>
      </w:r>
      <w:r>
        <w:rPr>
          <w:b w:val="0"/>
          <w:bCs w:val="0"/>
          <w:outline w:val="0"/>
          <w:color w:val="000000"/>
          <w:sz w:val="20"/>
          <w:szCs w:val="20"/>
          <w:u w:color="000000"/>
          <w:rtl w:val="0"/>
          <w:lang w:val="en-US"/>
          <w14:textFill>
            <w14:solidFill>
              <w14:srgbClr w14:val="000000"/>
            </w14:solidFill>
          </w14:textFill>
        </w:rPr>
        <w:t xml:space="preserve"> TypedDict. This design eliminates the "telephone effect" identified in TradingAgents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 </w:t>
      </w:r>
      <w:r>
        <w:rPr>
          <w:b w:val="0"/>
          <w:bCs w:val="0"/>
          <w:outline w:val="0"/>
          <w:color w:val="000000"/>
          <w:sz w:val="20"/>
          <w:szCs w:val="20"/>
          <w:u w:color="000000"/>
          <w:rtl w:val="0"/>
          <w:lang w:val="en-US"/>
          <w14:textFill>
            <w14:solidFill>
              <w14:srgbClr w14:val="000000"/>
            </w14:solidFill>
          </w14:textFill>
        </w:rPr>
        <w:t>the progressive corruption of context that occurs when agents communicate through natural language message histories. The SharedState fields are partitioned into two categories: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Business fields cover document ingestion, transaction data, reconciliation gaps, AR/AP state, reporting artifacts, routing signals, and error logs.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HITL fields (hitl_pending, hitl_decision, thread_id, timeout_at) manage the suspension and resumption lifecycle.</w:t>
      </w:r>
    </w:p>
    <w:p>
      <w:pPr>
        <w:pStyle w:val="List Paragraph"/>
        <w:spacing w:after="80"/>
      </w:pPr>
      <w:r>
        <w:rPr>
          <w:outline w:val="0"/>
          <w:color w:val="000000"/>
          <w:u w:color="000000"/>
          <w:rtl w:val="0"/>
          <w:lang w:val="en-US"/>
          <w14:textFill>
            <w14:solidFill>
              <w14:srgbClr w14:val="000000"/>
            </w14:solidFill>
          </w14:textFill>
        </w:rPr>
        <w:t xml:space="preserve">Each agent node returns only a delta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the subset of fields it modifies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which LangGraph automatically merges into the global state. This ensures agents remain decoupled and that state evolution is auditable.</w:t>
      </w:r>
    </w:p>
    <w:p>
      <w:pPr>
        <w:pStyle w:val="Heading"/>
        <w:spacing w:before="240"/>
      </w:pPr>
      <w:r>
        <w:rPr>
          <w:rFonts w:ascii="Arial Unicode MS" w:cs="Arial Unicode MS" w:hAnsi="Arial Unicode MS" w:eastAsia="Arial Unicode MS"/>
          <w:b w:val="0"/>
          <w:bCs w:val="0"/>
          <w:i w:val="0"/>
          <w:iCs w:val="0"/>
        </w:rPr>
        <w:br w:type="page"/>
      </w:r>
    </w:p>
    <w:p>
      <w:pPr>
        <w:pStyle w:val="Heading"/>
        <w:spacing w:before="240"/>
      </w:pPr>
      <w:r>
        <w:rPr>
          <w:rtl w:val="0"/>
          <w:lang w:val="fr-FR"/>
        </w:rPr>
        <w:t>4. Asynchronous Human-in-the-Loop</w:t>
      </w:r>
    </w:p>
    <w:p>
      <w:pPr>
        <w:pStyle w:val="Heading 2"/>
        <w:spacing w:before="240" w:after="120"/>
      </w:pPr>
      <w:r>
        <w:rPr>
          <w:rtl w:val="0"/>
          <w:lang w:val="en-US"/>
        </w:rPr>
        <w:t>4.1 Motivation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Accounting operations carry fiduciary and legal obligations that preclude fully autonomous execution of high-stakes actions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client escalations, reconciliation corrections, vendor payment approvals, new client onboarding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without human oversight. However, a HITL mechanism requiring a supervising accountant to monitor a console is impractical: accounting professionals are frequently in client meetings, on-site visits, or otherwise away from a workstation.</w:t>
      </w:r>
    </w:p>
    <w:p>
      <w:pPr>
        <w:pStyle w:val="Heading 2"/>
        <w:spacing w:before="240" w:after="120"/>
      </w:pPr>
      <w:r>
        <w:rPr>
          <w:rtl w:val="0"/>
          <w:lang w:val="en-US"/>
        </w:rPr>
        <w:t>4.2 Four-Level Escalation Model</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We define four escalation levels calibrated to accounting risk profiles: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00"/>
        <w:gridCol w:w="1800"/>
        <w:gridCol w:w="3180"/>
        <w:gridCol w:w="3180"/>
      </w:tblGrid>
      <w:tr>
        <w:tblPrEx>
          <w:shd w:val="clear" w:color="auto" w:fill="4f81bd"/>
        </w:tblPrEx>
        <w:trPr>
          <w:trHeight w:val="198" w:hRule="atLeast"/>
          <w:tblHeader/>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Level</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Mode</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Trigger</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Example</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N1</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Automatic</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Routine, low-risk action</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First AR reminder, standard report, small vendor bill &lt; $500</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N2</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Notify only</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Action taken; cancellable within window</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Invoice created, client profile drafted, recurring AP payment</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N3</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Approve (HITL)</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High-value or irreversible action</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AR escalation &gt;$5k, reconciliation gap, vendor payment &gt;$2k</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N4</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nl-NL"/>
              </w:rPr>
              <w:t>Transfer</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Outside known rules</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Client dispute, regulatory anomaly, unrecognized vendor</w:t>
            </w:r>
          </w:p>
        </w:tc>
      </w:tr>
    </w:tbl>
    <w:p>
      <w:pPr>
        <w:pStyle w:val="Heading 2"/>
        <w:widowControl w:val="0"/>
        <w:spacing w:before="240" w:after="120"/>
        <w:ind w:left="108" w:hanging="108"/>
      </w:pPr>
    </w:p>
    <w:p>
      <w:pPr>
        <w:pStyle w:val="Heading 2"/>
        <w:widowControl w:val="0"/>
        <w:spacing w:before="240" w:after="120"/>
      </w:pPr>
    </w:p>
    <w:p>
      <w:pPr>
        <w:pStyle w:val="Heading 2"/>
        <w:widowControl w:val="0"/>
        <w:spacing w:before="240" w:after="120"/>
      </w:pPr>
      <w:r>
        <w:rPr>
          <w:b w:val="0"/>
          <w:bCs w:val="0"/>
          <w:outline w:val="0"/>
          <w:color w:val="000000"/>
          <w:sz w:val="18"/>
          <w:szCs w:val="18"/>
          <w:u w:color="000000"/>
          <w:rtl w:val="0"/>
          <w:lang w:val="en-US"/>
          <w14:textFill>
            <w14:solidFill>
              <w14:srgbClr w14:val="000000"/>
            </w14:solidFill>
          </w14:textFill>
        </w:rPr>
        <w:t>Table 2: Four-level HITL escalation model.</w:t>
      </w:r>
    </w:p>
    <w:p>
      <w:pPr>
        <w:pStyle w:val="Heading 2"/>
        <w:spacing w:before="240" w:after="120"/>
        <w:rPr>
          <w:lang w:val="fr-FR"/>
        </w:rPr>
      </w:pPr>
      <w:r>
        <w:rPr>
          <w:rtl w:val="0"/>
          <w:lang w:val="fr-FR"/>
        </w:rPr>
        <w:t>4.3 Asynchronous HITL Cycle</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The N3 HITL cycle proceeds as follows: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Agent detects an exception condition (e.g., reconciliation gap &gt; threshold, AR escalation required, vendor payment &gt; approval threshold).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Supervisor calls interrupt(), persisting the complete thread state via a pluggable checkpointer backend.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messaging MCP server sends a structured notification (e.g., email, instant message) to the supervising accountant, including client context, agent suggestion, and three action links (Approve / Modify / Block).</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accountant responds with a single click from any device (iPhone, desktop).</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click triggers a webhook callback to a lightweight API endpoint, delivering the thread identifier and decision payload.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LangGraph resumes the suspended thread at the exact interruption point, injecting the decision into SharedState.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If no response is received within 4 hours, a timeout handler injects status: "timeout" and the Supervisor escalates automatically.</w:t>
      </w:r>
    </w:p>
    <w:p>
      <w:pPr>
        <w:pStyle w:val="List Paragraph"/>
        <w:spacing w:after="80"/>
      </w:pPr>
      <w:r>
        <w:rPr>
          <w:outline w:val="0"/>
          <w:color w:val="000000"/>
          <w:u w:color="000000"/>
          <w:rtl w:val="0"/>
          <w:lang w:val="en-US"/>
          <w14:textFill>
            <w14:solidFill>
              <w14:srgbClr w14:val="000000"/>
            </w14:solidFill>
          </w14:textFill>
        </w:rPr>
        <w:t>This design requires zero additional tooling beyond components already in the stack: the messaging MCP server, the checkpointer backend, and a minimal webhook endpoint.</w:t>
      </w:r>
    </w:p>
    <w:p>
      <w:pPr>
        <w:pStyle w:val="Heading"/>
        <w:spacing w:before="240"/>
      </w:pPr>
      <w:r>
        <w:rPr>
          <w:rFonts w:ascii="Arial Unicode MS" w:cs="Arial Unicode MS" w:hAnsi="Arial Unicode MS" w:eastAsia="Arial Unicode MS"/>
          <w:b w:val="0"/>
          <w:bCs w:val="0"/>
          <w:i w:val="0"/>
          <w:iCs w:val="0"/>
          <w:lang w:val="en-US"/>
        </w:rPr>
        <w:br w:type="page"/>
      </w:r>
    </w:p>
    <w:p>
      <w:pPr>
        <w:pStyle w:val="Heading"/>
        <w:spacing w:before="240"/>
        <w:rPr>
          <w:lang w:val="en-US"/>
        </w:rPr>
      </w:pPr>
      <w:r>
        <w:rPr>
          <w:rtl w:val="0"/>
          <w:lang w:val="en-US"/>
        </w:rPr>
        <w:t>5. MCP Tool Integration</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AccountingAgents is MCP-native by design. Rather than implementing custom API wrappers for each external service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an approach that creates fragile, maintenance-heavy integrations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all tool access is mediated through official Model Context Protocol servers. This provides two key benefits: (1) authentication and authorization are handled by established OAuth2 flows, and (2) tool availability and capability evolve with the MCP specification independently of the agent framework.</w:t>
      </w:r>
    </w:p>
    <w:p>
      <w:pPr>
        <w:pStyle w:val="Heading"/>
        <w:spacing w:before="240"/>
        <w:rPr>
          <w:b w:val="0"/>
          <w:bCs w:val="0"/>
          <w:outline w:val="0"/>
          <w:color w:val="000000"/>
          <w:sz w:val="20"/>
          <w:szCs w:val="20"/>
          <w:u w:color="000000"/>
          <w14:textFill>
            <w14:solidFill>
              <w14:srgbClr w14:val="000000"/>
            </w14:solidFill>
          </w14:textFill>
        </w:rPr>
      </w:pPr>
      <w:r>
        <w:rPr>
          <w:b w:val="0"/>
          <w:bCs w:val="0"/>
          <w:outline w:val="0"/>
          <w:color w:val="000000"/>
          <w:sz w:val="20"/>
          <w:szCs w:val="20"/>
          <w:u w:color="000000"/>
          <w:rtl w:val="0"/>
          <w:lang w:val="en-US"/>
          <w14:textFill>
            <w14:solidFill>
              <w14:srgbClr w14:val="000000"/>
            </w14:solidFill>
          </w14:textFill>
        </w:rPr>
        <w:t xml:space="preserve">The five MCP servers in the MVP stack are: </w:t>
      </w:r>
      <w:r>
        <w:rPr>
          <w:outline w:val="0"/>
          <w:color w:val="000000"/>
          <w:sz w:val="20"/>
          <w:szCs w:val="20"/>
          <w:u w:color="000000"/>
          <w:rtl w:val="0"/>
          <w:lang w:val="de-DE"/>
          <w14:textFill>
            <w14:solidFill>
              <w14:srgbClr w14:val="000000"/>
            </w14:solidFill>
          </w14:textFill>
        </w:rPr>
        <w:t>Gmail MCP</w:t>
      </w:r>
      <w:r>
        <w:rPr>
          <w:b w:val="0"/>
          <w:bCs w:val="0"/>
          <w:outline w:val="0"/>
          <w:color w:val="000000"/>
          <w:sz w:val="20"/>
          <w:szCs w:val="20"/>
          <w:u w:color="000000"/>
          <w:rtl w:val="0"/>
          <w:lang w:val="en-US"/>
          <w14:textFill>
            <w14:solidFill>
              <w14:srgbClr w14:val="000000"/>
            </w14:solidFill>
          </w14:textFill>
        </w:rPr>
        <w:t xml:space="preserve"> (gmailmcp.googleapis.com) for all email I/O including HITL notifications; </w:t>
      </w:r>
      <w:r>
        <w:rPr>
          <w:outline w:val="0"/>
          <w:color w:val="000000"/>
          <w:sz w:val="20"/>
          <w:szCs w:val="20"/>
          <w:u w:color="000000"/>
          <w:rtl w:val="0"/>
          <w:lang w:val="en-US"/>
          <w14:textFill>
            <w14:solidFill>
              <w14:srgbClr w14:val="000000"/>
            </w14:solidFill>
          </w14:textFill>
        </w:rPr>
        <w:t>QBO MCP</w:t>
      </w:r>
      <w:r>
        <w:rPr>
          <w:b w:val="0"/>
          <w:bCs w:val="0"/>
          <w:outline w:val="0"/>
          <w:color w:val="000000"/>
          <w:sz w:val="20"/>
          <w:szCs w:val="20"/>
          <w:u w:color="000000"/>
          <w:rtl w:val="0"/>
          <w:lang w:val="en-US"/>
          <w14:textFill>
            <w14:solidFill>
              <w14:srgbClr w14:val="000000"/>
            </w14:solidFill>
          </w14:textFill>
        </w:rPr>
        <w:t xml:space="preserve"> (intuit/quickbooks-online-mcp-server </w:t>
      </w:r>
      <w:r>
        <w:rPr>
          <w:b w:val="0"/>
          <w:bCs w:val="0"/>
          <w:outline w:val="0"/>
          <w:color w:val="000000"/>
          <w:sz w:val="16"/>
          <w:szCs w:val="16"/>
          <w:u w:color="000000"/>
          <w:vertAlign w:val="superscript"/>
          <w:rtl w:val="0"/>
          <w:lang w:val="pt-PT"/>
          <w14:textFill>
            <w14:solidFill>
              <w14:srgbClr w14:val="000000"/>
            </w14:solidFill>
          </w14:textFill>
        </w:rPr>
        <w:t>[10]</w:t>
      </w:r>
      <w:r>
        <w:rPr>
          <w:b w:val="0"/>
          <w:bCs w:val="0"/>
          <w:outline w:val="0"/>
          <w:color w:val="000000"/>
          <w:sz w:val="20"/>
          <w:szCs w:val="20"/>
          <w:u w:color="000000"/>
          <w:rtl w:val="0"/>
          <w:lang w:val="en-US"/>
          <w14:textFill>
            <w14:solidFill>
              <w14:srgbClr w14:val="000000"/>
            </w14:solidFill>
          </w14:textFill>
        </w:rPr>
        <w:t xml:space="preserve">) providing CRUD operations on Account, Bill, Customer, Invoice, Vendor, and 7 additional entities; </w:t>
      </w:r>
      <w:r>
        <w:rPr>
          <w:outline w:val="0"/>
          <w:color w:val="000000"/>
          <w:sz w:val="20"/>
          <w:szCs w:val="20"/>
          <w:u w:color="000000"/>
          <w:rtl w:val="0"/>
          <w:lang w:val="en-US"/>
          <w14:textFill>
            <w14:solidFill>
              <w14:srgbClr w14:val="000000"/>
            </w14:solidFill>
          </w14:textFill>
        </w:rPr>
        <w:t>Google Drive MCP</w:t>
      </w:r>
      <w:r>
        <w:rPr>
          <w:b w:val="0"/>
          <w:bCs w:val="0"/>
          <w:outline w:val="0"/>
          <w:color w:val="000000"/>
          <w:sz w:val="20"/>
          <w:szCs w:val="20"/>
          <w:u w:color="000000"/>
          <w:rtl w:val="0"/>
          <w:lang w:val="en-US"/>
          <w14:textFill>
            <w14:solidFill>
              <w14:srgbClr w14:val="000000"/>
            </w14:solidFill>
          </w14:textFill>
        </w:rPr>
        <w:t xml:space="preserve"> for document storage; </w:t>
      </w:r>
      <w:r>
        <w:rPr>
          <w:outline w:val="0"/>
          <w:color w:val="000000"/>
          <w:sz w:val="20"/>
          <w:szCs w:val="20"/>
          <w:u w:color="000000"/>
          <w:rtl w:val="0"/>
          <w:lang w:val="it-IT"/>
          <w14:textFill>
            <w14:solidFill>
              <w14:srgbClr w14:val="000000"/>
            </w14:solidFill>
          </w14:textFill>
        </w:rPr>
        <w:t>Google Calendar MCP</w:t>
      </w:r>
      <w:r>
        <w:rPr>
          <w:b w:val="0"/>
          <w:bCs w:val="0"/>
          <w:outline w:val="0"/>
          <w:color w:val="000000"/>
          <w:sz w:val="20"/>
          <w:szCs w:val="20"/>
          <w:u w:color="000000"/>
          <w:rtl w:val="0"/>
          <w:lang w:val="en-US"/>
          <w14:textFill>
            <w14:solidFill>
              <w14:srgbClr w14:val="000000"/>
            </w14:solidFill>
          </w14:textFill>
        </w:rPr>
        <w:t xml:space="preserve"> for fiscal deadline monitoring; and </w:t>
      </w:r>
      <w:r>
        <w:rPr>
          <w:outline w:val="0"/>
          <w:color w:val="000000"/>
          <w:sz w:val="20"/>
          <w:szCs w:val="20"/>
          <w:u w:color="000000"/>
          <w:rtl w:val="0"/>
          <w:lang w:val="fr-FR"/>
          <w14:textFill>
            <w14:solidFill>
              <w14:srgbClr w14:val="000000"/>
            </w14:solidFill>
          </w14:textFill>
        </w:rPr>
        <w:t>Zapier MCP</w:t>
      </w:r>
      <w:r>
        <w:rPr>
          <w:b w:val="0"/>
          <w:bCs w:val="0"/>
          <w:outline w:val="0"/>
          <w:color w:val="000000"/>
          <w:sz w:val="20"/>
          <w:szCs w:val="20"/>
          <w:u w:color="000000"/>
          <w:rtl w:val="0"/>
          <w:lang w:val="en-US"/>
          <w14:textFill>
            <w14:solidFill>
              <w14:srgbClr w14:val="000000"/>
            </w14:solidFill>
          </w14:textFill>
        </w:rPr>
        <w:t xml:space="preserve"> as a general-purpose bridge to services lacking native MCP servers.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Additional MCP servers can be substituted or added without modifying the agent logic.</w:t>
      </w:r>
    </w:p>
    <w:p>
      <w:pPr>
        <w:pStyle w:val="Heading"/>
        <w:spacing w:before="240"/>
        <w:rPr>
          <w:lang w:val="en-US"/>
        </w:rPr>
      </w:pPr>
      <w:r>
        <w:rPr>
          <w:rtl w:val="0"/>
          <w:lang w:val="en-US"/>
        </w:rPr>
        <w:t>6. Limitations and Future Work</w:t>
      </w:r>
    </w:p>
    <w:p>
      <w:pPr>
        <w:pStyle w:val="Heading"/>
        <w:spacing w:before="240"/>
      </w:pPr>
      <w:r>
        <w:rPr>
          <w:b w:val="0"/>
          <w:bCs w:val="0"/>
          <w:outline w:val="0"/>
          <w:color w:val="000000"/>
          <w:sz w:val="20"/>
          <w:szCs w:val="20"/>
          <w:u w:color="000000"/>
          <w:rtl w:val="0"/>
          <w:lang w:val="en-US"/>
          <w14:textFill>
            <w14:solidFill>
              <w14:srgbClr w14:val="000000"/>
            </w14:solidFill>
          </w14:textFill>
        </w:rPr>
        <w:t>The present work is a position paper describing framework design. Several limitations apply. First, we present no experimental results; a companion implementation paper will evaluate agent accuracy, HITL approval rates, and time savings against a baseline of manual processing. Second, the four-level escalation thresholds are defined heuristically; future work should calibrate these empirically per firm profile. Third, the framework currently targets QBO; extension to Xero, Sage, and Microsoft Dynamics 365 would broaden applicability. Fourth, Canadian regulatory specifics (GST/HST, Revenu Qu</w:t>
      </w:r>
      <w:r>
        <w:rPr>
          <w:b w:val="0"/>
          <w:bCs w:val="0"/>
          <w:outline w:val="0"/>
          <w:color w:val="000000"/>
          <w:sz w:val="20"/>
          <w:szCs w:val="20"/>
          <w:u w:color="000000"/>
          <w:rtl w:val="0"/>
          <w:lang w:val="fr-FR"/>
          <w14:textFill>
            <w14:solidFill>
              <w14:srgbClr w14:val="000000"/>
            </w14:solidFill>
          </w14:textFill>
        </w:rPr>
        <w:t>é</w:t>
      </w:r>
      <w:r>
        <w:rPr>
          <w:b w:val="0"/>
          <w:bCs w:val="0"/>
          <w:outline w:val="0"/>
          <w:color w:val="000000"/>
          <w:sz w:val="20"/>
          <w:szCs w:val="20"/>
          <w:u w:color="000000"/>
          <w:rtl w:val="0"/>
          <w:lang w:val="en-US"/>
          <w14:textFill>
            <w14:solidFill>
              <w14:srgbClr w14:val="000000"/>
            </w14:solidFill>
          </w14:textFill>
        </w:rPr>
        <w:t>bec) are noted as a design consideration but not yet implemented as explicit compliance rules.</w:t>
      </w:r>
    </w:p>
    <w:p>
      <w:pPr>
        <w:pStyle w:val="Heading"/>
        <w:spacing w:before="240"/>
        <w:rPr>
          <w:lang w:val="it-IT"/>
        </w:rPr>
      </w:pPr>
      <w:r>
        <w:rPr>
          <w:rtl w:val="0"/>
          <w:lang w:val="it-IT"/>
        </w:rPr>
        <w:t>7. Conclusion</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We have presented AccountingAgents, a multi-agent LLM framework modelled on the organizational structure of professional accounting firms. The framework addresses the two core limitations identified in prior work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absence of realistic organizational modelling and inefficient communication interfaces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by adopting the structured SharedState design pioneered by TradingAgents and extending it to the accounting domain. The asynchronous HITL mechanism represents a practical contribution to the deployment of agentic systems in regulated, high-stakes environments where human oversight is legally required but operators are mobile. We invite the research community to build on this framework and to contribute experimental validation.</w:t>
      </w:r>
    </w:p>
    <w:p>
      <w:pPr>
        <w:pStyle w:val="Heading"/>
        <w:spacing w:before="240"/>
      </w:pPr>
    </w:p>
    <w:p>
      <w:pPr>
        <w:pStyle w:val="Heading"/>
        <w:spacing w:before="240"/>
      </w:pPr>
      <w:r>
        <w:rPr>
          <w:rFonts w:ascii="Arial Unicode MS" w:cs="Arial Unicode MS" w:hAnsi="Arial Unicode MS" w:eastAsia="Arial Unicode MS"/>
          <w:b w:val="0"/>
          <w:bCs w:val="0"/>
          <w:i w:val="0"/>
          <w:iCs w:val="0"/>
        </w:rPr>
        <w:br w:type="page"/>
      </w:r>
    </w:p>
    <w:p>
      <w:pPr>
        <w:pStyle w:val="Heading"/>
        <w:spacing w:before="240"/>
      </w:pPr>
      <w:r>
        <w:rPr>
          <w:rtl w:val="0"/>
          <w:lang w:val="fr-FR"/>
        </w:rPr>
        <w:t>References</w:t>
      </w:r>
    </w:p>
    <w:p>
      <w:pPr>
        <w:pStyle w:val="Heading"/>
        <w:spacing w:before="240"/>
        <w:rPr>
          <w:lang w:val="en-US"/>
        </w:rPr>
      </w:pPr>
      <w:r>
        <w:rPr>
          <w:sz w:val="17"/>
          <w:szCs w:val="17"/>
          <w:rtl w:val="0"/>
          <w:lang w:val="en-US"/>
        </w:rPr>
        <w:t>[1] Xiao, Y., Sun, E., Luo, D., &amp; Wang, W. (2025). TradingAgents: Multi-Agents LLM Financial Trading Framework. arXiv:2412.20138.</w:t>
      </w:r>
    </w:p>
    <w:p>
      <w:pPr>
        <w:pStyle w:val="Heading"/>
        <w:spacing w:before="240"/>
        <w:rPr>
          <w:lang w:val="en-US"/>
        </w:rPr>
      </w:pPr>
      <w:r>
        <w:rPr>
          <w:sz w:val="17"/>
          <w:szCs w:val="17"/>
          <w:rtl w:val="0"/>
          <w:lang w:val="en-US"/>
        </w:rPr>
        <w:t>[2] Grand View Research (2024). AI in Accounting Market Size &amp; Growth Report 2033.</w:t>
      </w:r>
    </w:p>
    <w:p>
      <w:pPr>
        <w:pStyle w:val="Heading"/>
        <w:spacing w:before="240"/>
        <w:rPr>
          <w:lang w:val="en-US"/>
        </w:rPr>
      </w:pPr>
      <w:r>
        <w:rPr>
          <w:sz w:val="17"/>
          <w:szCs w:val="17"/>
          <w:rtl w:val="0"/>
          <w:lang w:val="en-US"/>
        </w:rPr>
        <w:t>[3] FinDebate: Multi-Agent Collaborative Intelligence for Financial Analysis. arXiv:2509.17395 (2025).</w:t>
      </w:r>
    </w:p>
    <w:p>
      <w:pPr>
        <w:pStyle w:val="Heading"/>
        <w:spacing w:before="240"/>
        <w:rPr>
          <w:lang w:val="en-US"/>
        </w:rPr>
      </w:pPr>
      <w:r>
        <w:rPr>
          <w:sz w:val="17"/>
          <w:szCs w:val="17"/>
          <w:rtl w:val="0"/>
          <w:lang w:val="en-US"/>
        </w:rPr>
        <w:t>[4] Kulkarni, S. &amp; Kulkarni, Y. (2026). Benchmarking Multi-Agent LLM Architectures for Financial Document Processing. arXiv:2603.22651.</w:t>
      </w:r>
    </w:p>
    <w:p>
      <w:pPr>
        <w:pStyle w:val="Heading"/>
        <w:spacing w:before="240"/>
        <w:rPr>
          <w:lang w:val="en-US"/>
        </w:rPr>
      </w:pPr>
      <w:r>
        <w:rPr>
          <w:sz w:val="17"/>
          <w:szCs w:val="17"/>
          <w:rtl w:val="0"/>
          <w:lang w:val="en-US"/>
        </w:rPr>
        <w:t>[5] Intuit QuickBooks. AI Agents for Intelligent Business Automation. intuit.com/enterprise/ai-agents (2025).</w:t>
      </w:r>
    </w:p>
    <w:p>
      <w:pPr>
        <w:pStyle w:val="Heading"/>
        <w:spacing w:before="240"/>
      </w:pPr>
      <w:r>
        <w:rPr>
          <w:sz w:val="17"/>
          <w:szCs w:val="17"/>
          <w:rtl w:val="0"/>
          <w:lang w:val="en-US"/>
        </w:rPr>
        <w:t>[6] Pilot AI. World's First Fully Autonomous AI Accountant for SMBs. Press release, February 2026.</w:t>
      </w:r>
      <w:r>
        <w:rPr>
          <w:sz w:val="17"/>
          <w:szCs w:val="17"/>
          <w:rtl w:val="0"/>
          <w:lang w:val="fr-FR"/>
        </w:rPr>
        <w:t xml:space="preserve"> </w:t>
      </w:r>
      <w:r>
        <w:rPr>
          <w:sz w:val="17"/>
          <w:szCs w:val="17"/>
          <w:rtl w:val="0"/>
          <w:lang w:val="en-US"/>
        </w:rPr>
        <w:t>https://www.globenewswire.com/news-release/2026/02/04/3232133/0/en/Pilot-Unveils-AI-Accountant-A-Major-Leap-Toward-Artificial-General-Intelligence-in-Accounting.html</w:t>
      </w:r>
    </w:p>
    <w:p>
      <w:pPr>
        <w:pStyle w:val="Heading"/>
        <w:spacing w:before="240"/>
        <w:rPr>
          <w:lang w:val="en-US"/>
        </w:rPr>
      </w:pPr>
      <w:r>
        <w:rPr>
          <w:sz w:val="17"/>
          <w:szCs w:val="17"/>
          <w:rtl w:val="0"/>
          <w:lang w:val="en-US"/>
        </w:rPr>
        <w:t>[7] panaversity. accounts_ai: AI-based accounting co-pilot. github.com/panaversity/accounts_ai (2024).</w:t>
      </w:r>
    </w:p>
    <w:p>
      <w:pPr>
        <w:pStyle w:val="Heading"/>
        <w:spacing w:before="240"/>
        <w:rPr>
          <w:lang w:val="en-US"/>
        </w:rPr>
      </w:pPr>
      <w:r>
        <w:rPr>
          <w:sz w:val="17"/>
          <w:szCs w:val="17"/>
          <w:rtl w:val="0"/>
          <w:lang w:val="en-US"/>
        </w:rPr>
        <w:t>[8] Wang, X. et al. (2023). AlphaGPT: Human-in-the-Loop Perspective on Research-Driven Alpha Mining for Quantitative Investments.</w:t>
      </w:r>
    </w:p>
    <w:p>
      <w:pPr>
        <w:pStyle w:val="Heading"/>
        <w:spacing w:before="240"/>
        <w:rPr>
          <w:lang w:val="en-US"/>
        </w:rPr>
      </w:pPr>
      <w:r>
        <w:rPr>
          <w:sz w:val="17"/>
          <w:szCs w:val="17"/>
          <w:rtl w:val="0"/>
          <w:lang w:val="en-US"/>
        </w:rPr>
        <w:t>[9] LangChain Inc. (2024). LangGraph: Agent Orchestration Framework. langchain.com/langgraph.</w:t>
      </w:r>
    </w:p>
    <w:p>
      <w:pPr>
        <w:pStyle w:val="Heading"/>
        <w:spacing w:before="240"/>
        <w:rPr>
          <w:lang w:val="en-US"/>
        </w:rPr>
      </w:pPr>
      <w:r>
        <w:rPr>
          <w:sz w:val="17"/>
          <w:szCs w:val="17"/>
          <w:rtl w:val="0"/>
          <w:lang w:val="en-US"/>
        </w:rPr>
        <w:t>[10] Intuit. quickbooks-online-mcp-server. github.com/intuit/quickbooks-online-mcp-server (2025).</w:t>
      </w:r>
    </w:p>
    <w:p>
      <w:pPr>
        <w:pStyle w:val="Body"/>
      </w:pPr>
      <w:r>
        <w:rPr>
          <w:outline w:val="0"/>
          <w:color w:val="000000"/>
          <w:sz w:val="20"/>
          <w:szCs w:val="20"/>
          <w:u w:color="000000"/>
          <w:rtl w:val="0"/>
          <w:lang w:val="en-US"/>
          <w14:textFill>
            <w14:solidFill>
              <w14:srgbClr w14:val="000000"/>
            </w14:solidFill>
          </w14:textFill>
        </w:rPr>
        <w:t>[11] Ramachandran, A. (2025). Enterprise Finance &amp; Accounting: Automation through Agentic and Multi-Agent AI Systems Leveraging Reasoning Models, Multimodal Interfaces, Reinforcement Learning, Graph Neural Networks, and Neuro-symbolic AI. ResearchGate. researchgate.net/publication/390209544</w:t>
      </w:r>
    </w:p>
    <w:p>
      <w:pPr>
        <w:pStyle w:val="Body"/>
      </w:pPr>
      <w:r>
        <w:rPr>
          <w:outline w:val="0"/>
          <w:color w:val="000000"/>
          <w:sz w:val="20"/>
          <w:szCs w:val="20"/>
          <w:u w:color="000000"/>
          <w:rtl w:val="0"/>
          <w:lang w:val="en-US"/>
          <w14:textFill>
            <w14:solidFill>
              <w14:srgbClr w14:val="000000"/>
            </w14:solidFill>
          </w14:textFill>
        </w:rPr>
        <w:t>[12] Barrak, A. (2025). Traceability and Accountability in Role-Specialized Multi-Agent LLM Pipelines. arXiv:2510.07614.</w:t>
      </w:r>
    </w:p>
    <w:sectPr>
      <w:headerReference w:type="default" r:id="rId5"/>
      <w:footerReference w:type="default" r:id="rId6"/>
      <w:pgSz w:w="12240" w:h="15840" w:orient="portrait"/>
      <w:pgMar w:top="1440" w:right="1260" w:bottom="1440" w:left="126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300" w:after="12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lang w:val="fr-FR"/>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2">
    <w:name w:val="Heading 2"/>
    <w:next w:val="Heading 2"/>
    <w:pPr>
      <w:keepNext w:val="0"/>
      <w:keepLines w:val="0"/>
      <w:pageBreakBefore w:val="0"/>
      <w:widowControl w:val="1"/>
      <w:shd w:val="clear" w:color="auto" w:fill="auto"/>
      <w:suppressAutoHyphens w:val="0"/>
      <w:bidi w:val="0"/>
      <w:spacing w:before="200" w:after="100" w:line="240" w:lineRule="auto"/>
      <w:ind w:left="0"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