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en-US"/>
        </w:rPr>
        <w:t>AccountingAgents: A Multi-Agent LLM Framework for Accounting Firm Automation</w:t>
      </w:r>
    </w:p>
    <w:p>
      <w:pPr>
        <w:pStyle w:val="Body"/>
        <w:bidi w:val="0"/>
      </w:pPr>
      <w:r>
        <w:rPr>
          <w:rFonts w:ascii="Times New Roman" w:hAnsi="Times New Roman"/>
          <w:b w:val="1"/>
          <w:bCs w:val="1"/>
          <w:rtl w:val="0"/>
          <w:lang w:val="de-DE"/>
        </w:rPr>
        <w:t>Paul Desrochers</w:t>
      </w:r>
    </w:p>
    <w:p>
      <w:pPr>
        <w:pStyle w:val="Body"/>
        <w:bidi w:val="0"/>
      </w:pPr>
      <w:r>
        <w:rPr>
          <w:rFonts w:ascii="Times New Roman" w:hAnsi="Times New Roman"/>
          <w:outline w:val="0"/>
          <w:color w:val="444444"/>
          <w:sz w:val="18"/>
          <w:szCs w:val="18"/>
          <w:u w:color="444444"/>
          <w:rtl w:val="0"/>
          <w:lang w:val="en-US"/>
          <w14:textFill>
            <w14:solidFill>
              <w14:srgbClr w14:val="444444"/>
            </w14:solidFill>
          </w14:textFill>
        </w:rPr>
        <w:t xml:space="preserve">Independent Researcher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s-ES_tradnl"/>
          <w14:textFill>
            <w14:solidFill>
              <w14:srgbClr w14:val="444444"/>
            </w14:solidFill>
          </w14:textFill>
        </w:rPr>
        <w:t xml:space="preserve">Quebec, Canada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n-US"/>
          <w14:textFill>
            <w14:solidFill>
              <w14:srgbClr w14:val="444444"/>
            </w14:solidFill>
          </w14:textFill>
        </w:rPr>
        <w:t>paul.desrochers@example.com</w:t>
      </w:r>
    </w:p>
    <w:p>
      <w:pPr>
        <w:pStyle w:val="Body"/>
        <w:bidi w:val="0"/>
      </w:pPr>
      <w:r>
        <w:rPr>
          <w:rFonts w:ascii="Times New Roman" w:hAnsi="Times New Roman"/>
          <w:outline w:val="0"/>
          <w:color w:val="666666"/>
          <w:sz w:val="18"/>
          <w:szCs w:val="18"/>
          <w:u w:color="666666"/>
          <w:rtl w:val="0"/>
          <w:lang w:val="en-US"/>
          <w14:textFill>
            <w14:solidFill>
              <w14:srgbClr w14:val="666666"/>
            </w14:solidFill>
          </w14:textFill>
        </w:rPr>
        <w:t xml:space="preserve">Preprint </w:t>
      </w:r>
      <w:r>
        <w:rPr>
          <w:rFonts w:ascii="Times New Roman" w:hAnsi="Times New Roman" w:hint="default"/>
          <w:outline w:val="0"/>
          <w:color w:val="666666"/>
          <w:sz w:val="18"/>
          <w:szCs w:val="18"/>
          <w:u w:color="666666"/>
          <w:rtl w:val="0"/>
          <w:lang w:val="de-DE"/>
          <w14:textFill>
            <w14:solidFill>
              <w14:srgbClr w14:val="666666"/>
            </w14:solidFill>
          </w14:textFill>
        </w:rPr>
        <w:t xml:space="preserve">· </w:t>
      </w:r>
      <w:r>
        <w:rPr>
          <w:rFonts w:ascii="Times New Roman" w:hAnsi="Times New Roman"/>
          <w:outline w:val="0"/>
          <w:color w:val="666666"/>
          <w:sz w:val="18"/>
          <w:szCs w:val="18"/>
          <w:u w:color="666666"/>
          <w:rtl w:val="0"/>
          <w:lang w:val="it-IT"/>
          <w14:textFill>
            <w14:solidFill>
              <w14:srgbClr w14:val="666666"/>
            </w14:solidFill>
          </w14:textFill>
        </w:rPr>
        <w:t>April 2026</w:t>
      </w:r>
    </w:p>
    <w:p>
      <w:pPr>
        <w:pStyle w:val="Body"/>
        <w:bidi w:val="0"/>
      </w:pPr>
      <w:r>
        <w:rPr>
          <w:rFonts w:ascii="Times New Roman" w:hAnsi="Times New Roman"/>
          <w:b w:val="1"/>
          <w:bCs w:val="1"/>
          <w:sz w:val="20"/>
          <w:szCs w:val="20"/>
          <w:rtl w:val="0"/>
          <w:lang w:val="de-DE"/>
        </w:rPr>
        <w:t>Abstract</w:t>
      </w:r>
    </w:p>
    <w:p>
      <w:pPr>
        <w:pStyle w:val="Body"/>
        <w:bidi w:val="0"/>
      </w:pPr>
      <w:r>
        <w:rPr>
          <w:rFonts w:ascii="Times New Roman" w:hAnsi="Times New Roman"/>
          <w:sz w:val="20"/>
          <w:szCs w:val="20"/>
          <w:rtl w:val="0"/>
          <w:lang w:val="en-US"/>
        </w:rPr>
        <w:t xml:space="preserve">We present AccountingAgents, a novel multi-agent Large Language Model (LLM) framework inspired by the organizational structure of professional accounting firms. Drawing a direct parallel to TradingAgents [1] in financial trading, AccountingAgents defines specialized agent roles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Ingestion, Reconciliation, Reporting, Compliance, Accounts Receivable (AR), Accounts Payable (AP), and Onboarding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coordinated by a central Supervisor via a structured SharedState. Unlike existing commercial solutions (Intuit Assist, Pilot AI) that operate as closed, monolithic systems, our framework is open, composable, and MCP-native, </w:t>
      </w:r>
      <w:r>
        <w:rPr>
          <w:rFonts w:ascii="Times New Roman" w:hAnsi="Times New Roman"/>
          <w:sz w:val="20"/>
          <w:szCs w:val="20"/>
          <w:rtl w:val="0"/>
          <w:lang w:val="fr-FR"/>
        </w:rPr>
        <w:t>l</w:t>
      </w:r>
      <w:r>
        <w:rPr>
          <w:rFonts w:ascii="Times New Roman" w:hAnsi="Times New Roman"/>
          <w:sz w:val="20"/>
          <w:szCs w:val="20"/>
          <w:rtl w:val="0"/>
          <w:lang w:val="en-US"/>
        </w:rPr>
        <w:t xml:space="preserve">everaging official Model Context Protocol servers (e.g., QuickBooks Online MCP, Google Workspace MCP) as representative integrations. A key contribution is the design of an asynchronous Human-in-the-Loop (HITL) mechanism that suspends agent threads via LangGraph's interrupt() primitive, notifies the supervising accountant by </w:t>
      </w:r>
      <w:r>
        <w:rPr>
          <w:rFonts w:ascii="Times New Roman" w:hAnsi="Times New Roman"/>
          <w:sz w:val="20"/>
          <w:szCs w:val="20"/>
          <w:rtl w:val="0"/>
          <w:lang w:val="fr-FR"/>
        </w:rPr>
        <w:t>any instant messaging mechanism (eg Gmail, Slack, etc)</w:t>
      </w:r>
      <w:r>
        <w:rPr>
          <w:rFonts w:ascii="Times New Roman" w:hAnsi="Times New Roman"/>
          <w:sz w:val="20"/>
          <w:szCs w:val="20"/>
          <w:rtl w:val="0"/>
          <w:lang w:val="en-US"/>
        </w:rPr>
        <w:t xml:space="preserve">, and resumes execution upon webhook-delivered approval </w:t>
      </w:r>
      <w:r>
        <w:rPr>
          <w:rFonts w:ascii="Times New Roman" w:hAnsi="Times New Roman" w:hint="default"/>
          <w:sz w:val="20"/>
          <w:szCs w:val="20"/>
          <w:rtl w:val="0"/>
          <w:lang w:val="en-US"/>
        </w:rPr>
        <w:t xml:space="preserve">— </w:t>
      </w:r>
      <w:r>
        <w:rPr>
          <w:rFonts w:ascii="Times New Roman" w:hAnsi="Times New Roman"/>
          <w:sz w:val="20"/>
          <w:szCs w:val="20"/>
          <w:rtl w:val="0"/>
          <w:lang w:val="en-US"/>
        </w:rPr>
        <w:t>enabling mobile, real-world oversight without a dedicated console. The framework targets small-to-medium accounting firms underserved by enterprise solutions.</w:t>
      </w:r>
    </w:p>
    <w:p>
      <w:pPr>
        <w:pStyle w:val="Body"/>
        <w:bidi w:val="0"/>
      </w:pPr>
      <w:r>
        <w:rPr>
          <w:rFonts w:ascii="Times New Roman" w:hAnsi="Times New Roman"/>
          <w:b w:val="1"/>
          <w:bCs w:val="1"/>
          <w:sz w:val="18"/>
          <w:szCs w:val="18"/>
          <w:rtl w:val="0"/>
          <w:lang w:val="en-US"/>
        </w:rPr>
        <w:t xml:space="preserve">Keywords: </w:t>
      </w:r>
      <w:r>
        <w:rPr>
          <w:rFonts w:ascii="Times New Roman" w:hAnsi="Times New Roman"/>
          <w:sz w:val="18"/>
          <w:szCs w:val="18"/>
          <w:rtl w:val="0"/>
          <w:lang w:val="en-US"/>
        </w:rPr>
        <w:t xml:space="preserve">multi-agent systems </w:t>
      </w:r>
      <w:r>
        <w:rPr>
          <w:rFonts w:ascii="Times New Roman" w:hAnsi="Times New Roman" w:hint="default"/>
          <w:sz w:val="18"/>
          <w:szCs w:val="18"/>
          <w:rtl w:val="0"/>
          <w:lang w:val="de-DE"/>
        </w:rPr>
        <w:t xml:space="preserve">· </w:t>
      </w:r>
      <w:r>
        <w:rPr>
          <w:rFonts w:ascii="Times New Roman" w:hAnsi="Times New Roman"/>
          <w:sz w:val="18"/>
          <w:szCs w:val="18"/>
          <w:rtl w:val="0"/>
          <w:lang w:val="da-DK"/>
        </w:rPr>
        <w:t xml:space="preserve">LLM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accounting automation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human-in-the-loop </w:t>
      </w:r>
      <w:r>
        <w:rPr>
          <w:rFonts w:ascii="Times New Roman" w:hAnsi="Times New Roman" w:hint="default"/>
          <w:sz w:val="18"/>
          <w:szCs w:val="18"/>
          <w:rtl w:val="0"/>
          <w:lang w:val="de-DE"/>
        </w:rPr>
        <w:t xml:space="preserve">· </w:t>
      </w:r>
      <w:r>
        <w:rPr>
          <w:rFonts w:ascii="Times New Roman" w:hAnsi="Times New Roman"/>
          <w:sz w:val="18"/>
          <w:szCs w:val="18"/>
          <w:rtl w:val="0"/>
          <w:lang w:val="pt-PT"/>
        </w:rPr>
        <w:t xml:space="preserve">MCP </w:t>
      </w:r>
      <w:r>
        <w:rPr>
          <w:rFonts w:ascii="Times New Roman" w:hAnsi="Times New Roman" w:hint="default"/>
          <w:sz w:val="18"/>
          <w:szCs w:val="18"/>
          <w:rtl w:val="0"/>
          <w:lang w:val="de-DE"/>
        </w:rPr>
        <w:t xml:space="preserve">· </w:t>
      </w:r>
      <w:r>
        <w:rPr>
          <w:rFonts w:ascii="Times New Roman" w:hAnsi="Times New Roman"/>
          <w:sz w:val="18"/>
          <w:szCs w:val="18"/>
          <w:rtl w:val="0"/>
          <w:lang w:val="fr-FR"/>
        </w:rPr>
        <w:t xml:space="preserve">LangGraph </w:t>
      </w:r>
      <w:r>
        <w:rPr>
          <w:rFonts w:ascii="Times New Roman" w:hAnsi="Times New Roman" w:hint="default"/>
          <w:sz w:val="18"/>
          <w:szCs w:val="18"/>
          <w:rtl w:val="0"/>
          <w:lang w:val="de-DE"/>
        </w:rPr>
        <w:t xml:space="preserve">· </w:t>
      </w:r>
      <w:r>
        <w:rPr>
          <w:rFonts w:ascii="Times New Roman" w:hAnsi="Times New Roman"/>
          <w:sz w:val="18"/>
          <w:szCs w:val="18"/>
          <w:rtl w:val="0"/>
          <w:lang w:val="en-US"/>
        </w:rPr>
        <w:t>QuickBooks Online</w:t>
      </w:r>
    </w:p>
    <w:p>
      <w:pPr>
        <w:pStyle w:val="Body"/>
        <w:bidi w:val="0"/>
      </w:pPr>
    </w:p>
    <w:p>
      <w:pPr>
        <w:pStyle w:val="Heading"/>
        <w:spacing w:before="240"/>
      </w:pPr>
      <w:r>
        <w:rPr>
          <w:rtl w:val="0"/>
          <w:lang w:val="fr-FR"/>
        </w:rPr>
        <w:t>1. Introduction</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Autonomous agents powered by Large Language Models (LLMs) have demonstrated transformative potential across domains requiring complex, multi-step reasoning and tool use. In finance, the TradingAgents framework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established a compelling paradigm: modelling the multi-agent decision process of a professional trading firm, with specialized roles for analysts, researchers, traders, and risk managers communicating through structured state rather than unstructured natural language. This design addresses two fundamental limitations of prior systems — the absence of realistic organizational modelling, and the "telephone effect" of context corruption across long natural language histories.</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We observe that the accounting profession presents an analogous opportunity. A typical accounting firm processes hundreds of documents weekly — invoices, bank statements, tax filings, client correspondence — executing workflows that are highly structured, role-based, and subject to strict regulatory constraints. Despite a booming market for AI-assisted accounting (projected at $96.69B by 2033 </w:t>
      </w:r>
      <w:r>
        <w:rPr>
          <w:b w:val="0"/>
          <w:bCs w:val="0"/>
          <w:outline w:val="0"/>
          <w:color w:val="000000"/>
          <w:sz w:val="16"/>
          <w:szCs w:val="16"/>
          <w:u w:color="000000"/>
          <w:vertAlign w:val="superscript"/>
          <w:rtl w:val="0"/>
          <w:lang w:val="pt-PT"/>
          <w14:textFill>
            <w14:solidFill>
              <w14:srgbClr w14:val="000000"/>
            </w14:solidFill>
          </w14:textFill>
        </w:rPr>
        <w:t>[2]</w:t>
      </w:r>
      <w:r>
        <w:rPr>
          <w:b w:val="0"/>
          <w:bCs w:val="0"/>
          <w:outline w:val="0"/>
          <w:color w:val="000000"/>
          <w:sz w:val="20"/>
          <w:szCs w:val="20"/>
          <w:u w:color="000000"/>
          <w:rtl w:val="0"/>
          <w:lang w:val="en-US"/>
          <w14:textFill>
            <w14:solidFill>
              <w14:srgbClr w14:val="000000"/>
            </w14:solidFill>
          </w14:textFill>
        </w:rPr>
        <w:t>), existing solutions are either monolithic commercial products with vendor lock-in, or isolated single-agent tools that address narrow tasks without organizational coherence.</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This paper introduces </w:t>
      </w:r>
      <w:r>
        <w:rPr>
          <w:outline w:val="0"/>
          <w:color w:val="000000"/>
          <w:sz w:val="20"/>
          <w:szCs w:val="20"/>
          <w:u w:color="000000"/>
          <w:rtl w:val="0"/>
          <w:lang w:val="en-US"/>
          <w14:textFill>
            <w14:solidFill>
              <w14:srgbClr w14:val="000000"/>
            </w14:solidFill>
          </w14:textFill>
        </w:rPr>
        <w:t>AccountingAgents</w:t>
      </w:r>
      <w:r>
        <w:rPr>
          <w:b w:val="0"/>
          <w:bCs w:val="0"/>
          <w:outline w:val="0"/>
          <w:color w:val="000000"/>
          <w:sz w:val="20"/>
          <w:szCs w:val="20"/>
          <w:u w:color="000000"/>
          <w:rtl w:val="0"/>
          <w:lang w:val="en-US"/>
          <w14:textFill>
            <w14:solidFill>
              <w14:srgbClr w14:val="000000"/>
            </w14:solidFill>
          </w14:textFill>
        </w:rPr>
        <w:t>, a multi-agent LLM framework that replicates the collaborative structure of a professional accounting firm. Our primary contributions are: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role-specialized multi-agent architecture mirroring real accounting firm workflows built on LangGraph StateGraph with a structured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Native integration with official MCP servers (QuickBooks Online, Gmail, Google Drive, Google Calendar) eliminating fragile custom API wrappers;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An asynchronous Human-in-the-Loop (HITL) mechanism using LangGraph interrupt(), Gmail notifications, and FastAPI webhooks enabling mobile approval without a dedicated console;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four-level HITL escalation model calibrated to accounting risk profiles (automated, notify, approve, transfer);</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Open-source positioning serving small-to-medium firms underserved by enterprise solutions.</w:t>
      </w:r>
    </w:p>
    <w:p>
      <w:pPr>
        <w:pStyle w:val="List Paragraph"/>
        <w:spacing w:after="80"/>
      </w:pPr>
    </w:p>
    <w:p>
      <w:pPr>
        <w:pStyle w:val="Heading"/>
        <w:spacing w:before="240"/>
      </w:pPr>
      <w:r>
        <w:rPr>
          <w:rtl w:val="0"/>
          <w:lang w:val="en-US"/>
        </w:rPr>
        <w:t>2. Related Work</w:t>
      </w:r>
    </w:p>
    <w:p>
      <w:pPr>
        <w:pStyle w:val="Heading 2"/>
        <w:spacing w:before="240" w:after="120"/>
      </w:pPr>
      <w:r>
        <w:rPr>
          <w:rtl w:val="0"/>
          <w:lang w:val="en-US"/>
        </w:rPr>
        <w:t>2.1 Multi-Agent LLM Frameworks in Finance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proposes a stock trading framework with five specialized teams — Analysts, Researchers (Bull/Bear debaters), Traders, Risk Managers, and a Fund Manager — communicating via structured outputs. This design yields measurable improvements in Sharpe ratio and maximum drawdown over single-agent baselines. FinDebate </w:t>
      </w:r>
      <w:r>
        <w:rPr>
          <w:b w:val="0"/>
          <w:bCs w:val="0"/>
          <w:outline w:val="0"/>
          <w:color w:val="000000"/>
          <w:sz w:val="16"/>
          <w:szCs w:val="16"/>
          <w:u w:color="000000"/>
          <w:vertAlign w:val="superscript"/>
          <w:rtl w:val="0"/>
          <w:lang w:val="pt-PT"/>
          <w14:textFill>
            <w14:solidFill>
              <w14:srgbClr w14:val="000000"/>
            </w14:solidFill>
          </w14:textFill>
        </w:rPr>
        <w:t>[3]</w:t>
      </w:r>
      <w:r>
        <w:rPr>
          <w:b w:val="0"/>
          <w:bCs w:val="0"/>
          <w:outline w:val="0"/>
          <w:color w:val="000000"/>
          <w:sz w:val="20"/>
          <w:szCs w:val="20"/>
          <w:u w:color="000000"/>
          <w:rtl w:val="0"/>
          <w:lang w:val="en-US"/>
          <w14:textFill>
            <w14:solidFill>
              <w14:srgbClr w14:val="000000"/>
            </w14:solidFill>
          </w14:textFill>
        </w:rPr>
        <w:t xml:space="preserve"> extends debate-driven reasoning to financial analysis reports. A recent arXiv benchmark </w:t>
      </w:r>
      <w:r>
        <w:rPr>
          <w:b w:val="0"/>
          <w:bCs w:val="0"/>
          <w:outline w:val="0"/>
          <w:color w:val="000000"/>
          <w:sz w:val="16"/>
          <w:szCs w:val="16"/>
          <w:u w:color="000000"/>
          <w:vertAlign w:val="superscript"/>
          <w:rtl w:val="0"/>
          <w:lang w:val="pt-PT"/>
          <w14:textFill>
            <w14:solidFill>
              <w14:srgbClr w14:val="000000"/>
            </w14:solidFill>
          </w14:textFill>
        </w:rPr>
        <w:t>[4]</w:t>
      </w:r>
      <w:r>
        <w:rPr>
          <w:b w:val="0"/>
          <w:bCs w:val="0"/>
          <w:outline w:val="0"/>
          <w:color w:val="000000"/>
          <w:sz w:val="20"/>
          <w:szCs w:val="20"/>
          <w:u w:color="000000"/>
          <w:rtl w:val="0"/>
          <w:lang w:val="en-US"/>
          <w14:textFill>
            <w14:solidFill>
              <w14:srgbClr w14:val="000000"/>
            </w14:solidFill>
          </w14:textFill>
        </w:rPr>
        <w:t xml:space="preserve"> evaluates four multi-agent orchestration architectures (sequential pipeline, parallel fan-out, hierarchical supervisor-worker, reflexive self-correcting) on 10,000 SEC filings, finding hierarchical architectures occupy the most favorable cost-accuracy Pareto frontier (F1 0.921 at 1.4x cost). AccountingAgents adopts a hierarchical supervisor-worker architecture, consistent with these findings.</w:t>
      </w:r>
    </w:p>
    <w:p>
      <w:pPr>
        <w:pStyle w:val="Heading 2"/>
        <w:spacing w:before="240" w:after="120"/>
      </w:pPr>
      <w:r>
        <w:rPr>
          <w:rtl w:val="0"/>
          <w:lang w:val="en-US"/>
        </w:rPr>
        <w:t>2.2 AI in Accounting</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Commercial solutions such as Intuit Assist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xml:space="preserve">, Pilot AI </w:t>
      </w:r>
      <w:r>
        <w:rPr>
          <w:b w:val="0"/>
          <w:bCs w:val="0"/>
          <w:outline w:val="0"/>
          <w:color w:val="000000"/>
          <w:sz w:val="16"/>
          <w:szCs w:val="16"/>
          <w:u w:color="000000"/>
          <w:vertAlign w:val="superscript"/>
          <w:rtl w:val="0"/>
          <w:lang w:val="pt-PT"/>
          <w14:textFill>
            <w14:solidFill>
              <w14:srgbClr w14:val="000000"/>
            </w14:solidFill>
          </w14:textFill>
        </w:rPr>
        <w:t>[6]</w:t>
      </w:r>
      <w:r>
        <w:rPr>
          <w:b w:val="0"/>
          <w:bCs w:val="0"/>
          <w:outline w:val="0"/>
          <w:color w:val="000000"/>
          <w:sz w:val="20"/>
          <w:szCs w:val="20"/>
          <w:u w:color="000000"/>
          <w:rtl w:val="0"/>
          <w:lang w:val="en-US"/>
          <w14:textFill>
            <w14:solidFill>
              <w14:srgbClr w14:val="000000"/>
            </w14:solidFill>
          </w14:textFill>
        </w:rPr>
        <w:t xml:space="preserve">, Docyt, and FloQast provide AI-assisted bookkeeping within closed ecosystems. Intuit reports that its AI reduces reconciliation time by ~3x and that 74% of customers post transactions faster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However, these systems are opaque, expensive for small firms, and not calibrated to regional regulatory contexts (e.g., Canadian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 xml:space="preserve">bec). On the open-source side, panaversity/accounts_ai </w:t>
      </w:r>
      <w:r>
        <w:rPr>
          <w:b w:val="0"/>
          <w:bCs w:val="0"/>
          <w:outline w:val="0"/>
          <w:color w:val="000000"/>
          <w:sz w:val="16"/>
          <w:szCs w:val="16"/>
          <w:u w:color="000000"/>
          <w:vertAlign w:val="superscript"/>
          <w:rtl w:val="0"/>
          <w:lang w:val="pt-PT"/>
          <w14:textFill>
            <w14:solidFill>
              <w14:srgbClr w14:val="000000"/>
            </w14:solidFill>
          </w14:textFill>
        </w:rPr>
        <w:t>[7]</w:t>
      </w:r>
      <w:r>
        <w:rPr>
          <w:b w:val="0"/>
          <w:bCs w:val="0"/>
          <w:outline w:val="0"/>
          <w:color w:val="000000"/>
          <w:sz w:val="20"/>
          <w:szCs w:val="20"/>
          <w:u w:color="000000"/>
          <w:rtl w:val="0"/>
          <w:lang w:val="en-US"/>
          <w14:textFill>
            <w14:solidFill>
              <w14:srgbClr w14:val="000000"/>
            </w14:solidFill>
          </w14:textFill>
        </w:rPr>
        <w:t xml:space="preserve"> proposes an AI accounting co-pilot but remains at the architectural design stage without experimental validation. To our knowledge, no published academic work proposes a complete multi-agent LLM framework modelled on accounting firm organizational structure.</w:t>
      </w:r>
    </w:p>
    <w:p>
      <w:pPr>
        <w:pStyle w:val="Heading 2"/>
        <w:spacing w:before="240" w:after="120"/>
      </w:pPr>
      <w:r>
        <w:rPr>
          <w:rtl w:val="0"/>
          <w:lang w:val="en-US"/>
        </w:rPr>
        <w:t>2.3 Human-in-the-Loop in Agentic Systems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HITL mechanisms in agentic systems have been studied in the context of code generation (AlphaGPT </w:t>
      </w:r>
      <w:r>
        <w:rPr>
          <w:b w:val="0"/>
          <w:bCs w:val="0"/>
          <w:outline w:val="0"/>
          <w:color w:val="000000"/>
          <w:sz w:val="16"/>
          <w:szCs w:val="16"/>
          <w:u w:color="000000"/>
          <w:vertAlign w:val="superscript"/>
          <w:rtl w:val="0"/>
          <w:lang w:val="pt-PT"/>
          <w14:textFill>
            <w14:solidFill>
              <w14:srgbClr w14:val="000000"/>
            </w14:solidFill>
          </w14:textFill>
        </w:rPr>
        <w:t>[8]</w:t>
      </w:r>
      <w:r>
        <w:rPr>
          <w:b w:val="0"/>
          <w:bCs w:val="0"/>
          <w:outline w:val="0"/>
          <w:color w:val="000000"/>
          <w:sz w:val="20"/>
          <w:szCs w:val="20"/>
          <w:u w:color="000000"/>
          <w:rtl w:val="0"/>
          <w:lang w:val="en-US"/>
          <w14:textFill>
            <w14:solidFill>
              <w14:srgbClr w14:val="000000"/>
            </w14:solidFill>
          </w14:textFill>
        </w:rPr>
        <w:t xml:space="preserve">) and general task automation. LangGraph's interrupt() primitive </w:t>
      </w:r>
      <w:r>
        <w:rPr>
          <w:b w:val="0"/>
          <w:bCs w:val="0"/>
          <w:outline w:val="0"/>
          <w:color w:val="000000"/>
          <w:sz w:val="16"/>
          <w:szCs w:val="16"/>
          <w:u w:color="000000"/>
          <w:vertAlign w:val="superscript"/>
          <w:rtl w:val="0"/>
          <w:lang w:val="pt-PT"/>
          <w14:textFill>
            <w14:solidFill>
              <w14:srgbClr w14:val="000000"/>
            </w14:solidFill>
          </w14:textFill>
        </w:rPr>
        <w:t>[9]</w:t>
      </w:r>
      <w:r>
        <w:rPr>
          <w:b w:val="0"/>
          <w:bCs w:val="0"/>
          <w:outline w:val="0"/>
          <w:color w:val="000000"/>
          <w:sz w:val="20"/>
          <w:szCs w:val="20"/>
          <w:u w:color="000000"/>
          <w:rtl w:val="0"/>
          <w:lang w:val="en-US"/>
          <w14:textFill>
            <w14:solidFill>
              <w14:srgbClr w14:val="000000"/>
            </w14:solidFill>
          </w14:textFill>
        </w:rPr>
        <w:t xml:space="preserve"> provides a first-class HITL abstraction: threads are suspended, state is persisted via a checkpointer, and execution resumes upon external signal. Our contribution extends this to an asynchronous, mobile-friendly approval loop via any near-real-time communication mechanism (e.g., email, instant messaging), addressing the practical constraint that accounting supervisors are rarely at a workstation.</w:t>
      </w:r>
    </w:p>
    <w:p>
      <w:pPr>
        <w:pStyle w:val="Heading 2"/>
        <w:spacing w:before="240" w:after="120"/>
      </w:pPr>
    </w:p>
    <w:p>
      <w:pPr>
        <w:pStyle w:val="Heading"/>
        <w:spacing w:before="240"/>
      </w:pPr>
      <w:r>
        <w:rPr>
          <w:rtl w:val="0"/>
          <w:lang w:val="en-US"/>
        </w:rPr>
        <w:t>3. AccountingAgents Framework</w:t>
      </w:r>
    </w:p>
    <w:p>
      <w:pPr>
        <w:pStyle w:val="Heading 2"/>
        <w:spacing w:before="240" w:after="120"/>
      </w:pPr>
      <w:r>
        <w:rPr>
          <w:rtl w:val="0"/>
          <w:lang w:val="en-US"/>
        </w:rPr>
        <w:t>3.1 Design Principles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AccountingAgents is governed by three principles inherited from TradingAgents and adapted to the accounting domain:</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Structured state as the sole communication channel. All agents read from and write to a typed SharedState (Python TypedDict), eliminating context corruption across long conversation histories.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Delta-based updates. Each agent node returns only the fields it modifies; LangGraph merges these automatically into the global 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Framework complexity must be justified. A framework is adopted only when the complexity it manages exceeds the complexity it introduces.</w:t>
      </w:r>
    </w:p>
    <w:p>
      <w:pPr>
        <w:pStyle w:val="Heading 2"/>
        <w:spacing w:before="240" w:after="120"/>
      </w:pPr>
      <w:r>
        <w:rPr>
          <w:rtl w:val="0"/>
          <w:lang w:val="en-US"/>
        </w:rPr>
        <w:t>3.2 Overall Framework Organization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framework comprises seven specialized agents, organized sequentially with conditional routing by the Supervisor. Figure 1 illustrates the overall architecture.</w:t>
      </w:r>
    </w:p>
    <w:p>
      <w:pPr>
        <w:pStyle w:val="Heading 2"/>
        <w:spacing w:before="240" w:after="120"/>
      </w:pPr>
    </w:p>
    <w:p>
      <w:pPr>
        <w:pStyle w:val="Heading 2"/>
        <w:spacing w:before="240" w:after="120"/>
      </w:pPr>
      <w:r>
        <w:drawing xmlns:a="http://schemas.openxmlformats.org/drawingml/2006/main">
          <wp:inline distT="0" distB="0" distL="0" distR="0">
            <wp:extent cx="5905500" cy="4191000"/>
            <wp:effectExtent l="0" t="0" r="0" b="0"/>
            <wp:docPr id="1073741825" name="officeArt object" descr="9d075aada48fc896c8393bfab4ee2187a26e34d7.png"/>
            <wp:cNvGraphicFramePr/>
            <a:graphic xmlns:a="http://schemas.openxmlformats.org/drawingml/2006/main">
              <a:graphicData uri="http://schemas.openxmlformats.org/drawingml/2006/picture">
                <pic:pic xmlns:pic="http://schemas.openxmlformats.org/drawingml/2006/picture">
                  <pic:nvPicPr>
                    <pic:cNvPr id="1073741825" name="9d075aada48fc896c8393bfab4ee2187a26e34d7.png" descr="9d075aada48fc896c8393bfab4ee2187a26e34d7.png"/>
                    <pic:cNvPicPr>
                      <a:picLocks noChangeAspect="1"/>
                    </pic:cNvPicPr>
                  </pic:nvPicPr>
                  <pic:blipFill>
                    <a:blip r:embed="rId4">
                      <a:extLst/>
                    </a:blip>
                    <a:stretch>
                      <a:fillRect/>
                    </a:stretch>
                  </pic:blipFill>
                  <pic:spPr>
                    <a:xfrm>
                      <a:off x="0" y="0"/>
                      <a:ext cx="5905500" cy="4191000"/>
                    </a:xfrm>
                    <a:prstGeom prst="rect">
                      <a:avLst/>
                    </a:prstGeom>
                    <a:ln w="12700" cap="flat">
                      <a:noFill/>
                      <a:miter lim="400000"/>
                    </a:ln>
                    <a:effectLst/>
                  </pic:spPr>
                </pic:pic>
              </a:graphicData>
            </a:graphic>
          </wp:inline>
        </w:drawing>
      </w:r>
    </w:p>
    <w:p>
      <w:pPr>
        <w:pStyle w:val="Heading 2"/>
        <w:spacing w:before="240" w:after="120"/>
      </w:pPr>
    </w:p>
    <w:p>
      <w:pPr>
        <w:pStyle w:val="Heading 2"/>
        <w:spacing w:before="240" w:after="120"/>
      </w:pPr>
      <w:r>
        <w:rPr>
          <w:rtl w:val="0"/>
          <w:lang w:val="fr-FR"/>
        </w:rPr>
        <w:t>3.3 Agent Roles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200"/>
        <w:gridCol w:w="2400"/>
        <w:gridCol w:w="3160"/>
      </w:tblGrid>
      <w:tr>
        <w:tblPrEx>
          <w:shd w:val="clear" w:color="auto" w:fill="4f81bd"/>
        </w:tblPrEx>
        <w:trPr>
          <w:trHeight w:val="195" w:hRule="atLeast"/>
          <w:tblHeader/>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Team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Goal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MCP Tools</w:t>
            </w:r>
            <w:r>
              <w:rPr>
                <w:rFonts w:ascii="Times New Roman" w:hAnsi="Times New Roman"/>
                <w:b w:val="1"/>
                <w:bCs w:val="1"/>
                <w:outline w:val="0"/>
                <w:color w:val="ffffff"/>
                <w:sz w:val="18"/>
                <w:szCs w:val="18"/>
                <w:u w:color="ffffff"/>
                <w:shd w:val="nil" w:color="auto" w:fill="auto"/>
                <w:rtl w:val="0"/>
                <w:lang w:val="fr-FR"/>
                <w14:textFill>
                  <w14:solidFill>
                    <w14:srgbClr w14:val="FFFFFF"/>
                  </w14:solidFill>
                </w14:textFill>
              </w:rPr>
              <w:t xml:space="preserve"> for the MVP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 Ingestion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Ingestion Agent</w:t>
            </w:r>
          </w:p>
          <w:p>
            <w:pPr>
              <w:pStyle w:val="Default"/>
              <w:bidi w:val="0"/>
            </w:pPr>
            <w:r>
              <w:rPr>
                <w:rFonts w:ascii="Times New Roman" w:hAnsi="Times New Roman"/>
                <w:sz w:val="17"/>
                <w:szCs w:val="17"/>
                <w:u w:color="000000"/>
                <w:shd w:val="nil" w:color="auto" w:fill="auto"/>
                <w:rtl w:val="0"/>
                <w:lang w:val="fr-FR"/>
              </w:rPr>
              <w:t>Document Classifier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Capture &amp; classify incoming financial documents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a-DK"/>
              </w:rPr>
              <w:t>LLM</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II. Reconciliation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Reconciliation Agent</w:t>
            </w:r>
          </w:p>
          <w:p>
            <w:pPr>
              <w:pStyle w:val="Default"/>
              <w:bidi w:val="0"/>
            </w:pPr>
            <w:r>
              <w:rPr>
                <w:rFonts w:ascii="Times New Roman" w:hAnsi="Times New Roman"/>
                <w:sz w:val="17"/>
                <w:szCs w:val="17"/>
                <w:u w:color="000000"/>
                <w:shd w:val="nil" w:color="auto" w:fill="auto"/>
                <w:rtl w:val="0"/>
                <w:lang w:val="en-US"/>
              </w:rPr>
              <w:t>Gap Detector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Match transactions vs. bank statements; flag discrepancies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Drive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III. Reporting</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Reporting Agent</w:t>
            </w:r>
          </w:p>
          <w:p>
            <w:pPr>
              <w:pStyle w:val="Default"/>
              <w:bidi w:val="0"/>
            </w:pPr>
            <w:r>
              <w:rPr>
                <w:rFonts w:ascii="Times New Roman" w:hAnsi="Times New Roman"/>
                <w:sz w:val="17"/>
                <w:szCs w:val="17"/>
                <w:u w:color="000000"/>
                <w:shd w:val="nil" w:color="auto" w:fill="auto"/>
                <w:rtl w:val="0"/>
                <w:lang w:val="en-US"/>
              </w:rPr>
              <w:t>Compliance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Generate P&amp;L, cash flow; monitor fiscal deadlines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992"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IV. AR / AP / Client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de-DE"/>
              </w:rPr>
              <w:t>AR Agent</w:t>
            </w:r>
          </w:p>
          <w:p>
            <w:pPr>
              <w:pStyle w:val="Default"/>
              <w:bidi w:val="0"/>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s-ES_tradnl"/>
              </w:rPr>
              <w:t>AP / Payables Agent</w:t>
            </w:r>
          </w:p>
          <w:p>
            <w:pPr>
              <w:pStyle w:val="Default"/>
              <w:bidi w:val="0"/>
            </w:pPr>
            <w:r>
              <w:rPr>
                <w:rFonts w:ascii="Times New Roman" w:hAnsi="Times New Roman"/>
                <w:sz w:val="17"/>
                <w:szCs w:val="17"/>
                <w:u w:color="000000"/>
                <w:shd w:val="nil" w:color="auto" w:fill="auto"/>
                <w:rtl w:val="0"/>
                <w:lang w:val="en-US"/>
              </w:rPr>
              <w:t>Onboarding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Track overdue invoices; approve vendor bills &amp; payments; create client profiles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V. Supervisor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it-IT"/>
              </w:rPr>
              <w:t>Supervisor</w:t>
            </w:r>
          </w:p>
          <w:p>
            <w:pPr>
              <w:pStyle w:val="Default"/>
              <w:bidi w:val="0"/>
            </w:pPr>
            <w:r>
              <w:rPr>
                <w:rFonts w:ascii="Times New Roman" w:hAnsi="Times New Roman"/>
                <w:sz w:val="17"/>
                <w:szCs w:val="17"/>
                <w:u w:color="000000"/>
                <w:shd w:val="nil" w:color="auto" w:fill="auto"/>
                <w:rtl w:val="0"/>
                <w:lang w:val="en-US"/>
              </w:rPr>
              <w:t>Decision Router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Orchestrate state, routing, error handling</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LangGraph StateGraph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checkpointer</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VI. HITL</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HITL Notifier</w:t>
            </w:r>
          </w:p>
          <w:p>
            <w:pPr>
              <w:pStyle w:val="Default"/>
              <w:bidi w:val="0"/>
            </w:pPr>
            <w:r>
              <w:rPr>
                <w:rFonts w:ascii="Times New Roman" w:hAnsi="Times New Roman"/>
                <w:sz w:val="17"/>
                <w:szCs w:val="17"/>
                <w:u w:color="000000"/>
                <w:shd w:val="nil" w:color="auto" w:fill="auto"/>
                <w:rtl w:val="0"/>
                <w:lang w:val="en-US"/>
              </w:rPr>
              <w:t>Webhook Resumption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Async approval via Gmail; resume suspended thread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FastAPI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SqliteSaver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1: AccountingAgents role definitions.</w:t>
      </w:r>
    </w:p>
    <w:p>
      <w:pPr>
        <w:pStyle w:val="Heading 2"/>
        <w:spacing w:before="240" w:after="120"/>
      </w:pPr>
      <w:r>
        <w:rPr>
          <w:rtl w:val="0"/>
          <w:lang w:val="en-US"/>
        </w:rPr>
        <w:t>3.4 SharedState Design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All inter-agent communication flows exclusively through a structured </w:t>
      </w:r>
      <w:r>
        <w:rPr>
          <w:outline w:val="0"/>
          <w:color w:val="000000"/>
          <w:sz w:val="20"/>
          <w:szCs w:val="20"/>
          <w:u w:color="000000"/>
          <w:rtl w:val="0"/>
          <w:lang w:val="en-US"/>
          <w14:textFill>
            <w14:solidFill>
              <w14:srgbClr w14:val="000000"/>
            </w14:solidFill>
          </w14:textFill>
        </w:rPr>
        <w:t>SharedState</w:t>
      </w:r>
      <w:r>
        <w:rPr>
          <w:b w:val="0"/>
          <w:bCs w:val="0"/>
          <w:outline w:val="0"/>
          <w:color w:val="000000"/>
          <w:sz w:val="20"/>
          <w:szCs w:val="20"/>
          <w:u w:color="000000"/>
          <w:rtl w:val="0"/>
          <w:lang w:val="en-US"/>
          <w14:textFill>
            <w14:solidFill>
              <w14:srgbClr w14:val="000000"/>
            </w14:solidFill>
          </w14:textFill>
        </w:rPr>
        <w:t xml:space="preserve"> TypedDict. This design eliminates the "telephone effect" identified in 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 the progressive corruption of context that occurs when agents communicate through natural language message histories. The SharedState fields are partitioned into two categories: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Business fields cover document ingestion, transaction data, reconciliation gaps, AR/AP state, reporting artifacts, routing signals, and error logs.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HITL fields (hitl_pending, hitl_decision, thread_id, timeout_at) manage the suspension and resumption lifecycle.</w:t>
      </w:r>
    </w:p>
    <w:p>
      <w:pPr>
        <w:pStyle w:val="List Paragraph"/>
        <w:spacing w:after="80"/>
      </w:pPr>
      <w:r>
        <w:rPr>
          <w:outline w:val="0"/>
          <w:color w:val="000000"/>
          <w:u w:color="000000"/>
          <w:rtl w:val="0"/>
          <w:lang w:val="en-US"/>
          <w14:textFill>
            <w14:solidFill>
              <w14:srgbClr w14:val="000000"/>
            </w14:solidFill>
          </w14:textFill>
        </w:rPr>
        <w:t>Each agent node returns only a delta — the subset of fields it modifies — which LangGraph automatically merges into the global state. This ensures agents remain decoupled and that state evolution is auditable.</w:t>
      </w:r>
    </w:p>
    <w:p>
      <w:pPr>
        <w:pStyle w:val="Heading"/>
        <w:spacing w:before="240"/>
      </w:pPr>
      <w:r>
        <w:rPr>
          <w:rtl w:val="0"/>
          <w:lang w:val="fr-FR"/>
        </w:rPr>
        <w:t>4. Asynchronous Human-in-the-Loop</w:t>
      </w:r>
    </w:p>
    <w:p>
      <w:pPr>
        <w:pStyle w:val="Heading 2"/>
        <w:spacing w:before="240" w:after="120"/>
      </w:pPr>
      <w:r>
        <w:rPr>
          <w:rtl w:val="0"/>
        </w:rPr>
        <w:t>4.1 Motivation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 operations carry fiduciary and legal obligations that preclude fully autonomous execution of high-stakes actions — client escalations, reconciliation corrections, vendor payment approvals, new client onboarding — without human oversight. However, a HITL mechanism requiring a supervising accountant to monitor a console is impractical: accounting professionals are frequently in client meetings, on-site visits, or otherwise away from a workstation.</w:t>
      </w:r>
    </w:p>
    <w:p>
      <w:pPr>
        <w:pStyle w:val="Heading 2"/>
        <w:spacing w:before="240" w:after="120"/>
      </w:pPr>
      <w:r>
        <w:rPr>
          <w:rtl w:val="0"/>
          <w:lang w:val="en-US"/>
        </w:rPr>
        <w:t>4.2 Four-Level Escalation Model</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We define four escalation levels calibrated to accounting risk profiles: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800"/>
        <w:gridCol w:w="3180"/>
        <w:gridCol w:w="3180"/>
      </w:tblGrid>
      <w:tr>
        <w:tblPrEx>
          <w:shd w:val="clear" w:color="auto" w:fill="4f81bd"/>
        </w:tblPrEx>
        <w:trPr>
          <w:trHeight w:val="195" w:hRule="atLeast"/>
          <w:tblHeader/>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Level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Mode</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Trigger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Example</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Automatic</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Routine, low-risk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First AR reminder, standard report, small vendor bill &lt; $500</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Notify only</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Action taken; cancellable within window</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Invoice created, client profile drafted, recurring AP payment</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Approve (HITL)</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High-value or irreversible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AR escalation &gt;$5k, reconciliation gap, vendor payment &gt;$2k</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nl-NL"/>
              </w:rPr>
              <w:t>Transfer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Outside known rules</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Client dispute, regulatory anomaly, unrecognized vendor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2: Four-level HITL escalation model.</w:t>
      </w:r>
    </w:p>
    <w:p>
      <w:pPr>
        <w:pStyle w:val="Heading 2"/>
        <w:spacing w:before="240" w:after="120"/>
      </w:pPr>
      <w:r>
        <w:rPr>
          <w:rtl w:val="0"/>
          <w:lang w:val="fr-FR"/>
        </w:rPr>
        <w:t>4.3 Asynchronous HITL Cycle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N3 HITL cycle proceeds as follows: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Agent detects an exception condition (e.g., reconciliation gap &gt; threshold, AR escalation required, vendor payment &gt; approval threshold).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Supervisor calls interrupt(), persisting the complete thread state via a pluggable checkpointer backend.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messaging MCP server sends a structured notification (e.g., email, instant message) to the supervising accountant, including client context, agent suggestion, and three action links (Approve / Modify / Block).</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accountant responds with a single click from any device (iPhone, desktop).</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click triggers a webhook callback to a lightweight API endpoint, delivering the thread identifier and decision payload.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LangGraph resumes the suspended thread at the exact interruption point, injecting the decision into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If no response is received within 4 hours, a timeout handler injects status: "timeout" and the Supervisor escalates automatically.</w:t>
      </w:r>
    </w:p>
    <w:p>
      <w:pPr>
        <w:pStyle w:val="List Paragraph"/>
        <w:spacing w:after="80"/>
      </w:pPr>
      <w:r>
        <w:rPr>
          <w:outline w:val="0"/>
          <w:color w:val="000000"/>
          <w:u w:color="000000"/>
          <w:rtl w:val="0"/>
          <w:lang w:val="en-US"/>
          <w14:textFill>
            <w14:solidFill>
              <w14:srgbClr w14:val="000000"/>
            </w14:solidFill>
          </w14:textFill>
        </w:rPr>
        <w:t>This design requires zero additional tooling beyond components already in the stack: the messaging MCP server, the checkpointer backend, and a minimal webhook endpoint.</w:t>
      </w:r>
    </w:p>
    <w:p>
      <w:pPr>
        <w:pStyle w:val="Heading"/>
        <w:spacing w:before="240"/>
      </w:pPr>
      <w:r>
        <w:rPr>
          <w:rtl w:val="0"/>
          <w:lang w:val="en-US"/>
        </w:rPr>
        <w:t>5. MCP Tool Integration</w:t>
      </w:r>
    </w:p>
    <w:p>
      <w:pPr>
        <w:pStyle w:val="Heading"/>
        <w:spacing w:before="240"/>
      </w:pPr>
      <w:r>
        <w:rPr>
          <w:b w:val="0"/>
          <w:bCs w:val="0"/>
          <w:outline w:val="0"/>
          <w:color w:val="000000"/>
          <w:sz w:val="20"/>
          <w:szCs w:val="20"/>
          <w:u w:color="000000"/>
          <w:rtl w:val="0"/>
          <w:lang w:val="en-US"/>
          <w14:textFill>
            <w14:solidFill>
              <w14:srgbClr w14:val="000000"/>
            </w14:solidFill>
          </w14:textFill>
        </w:rPr>
        <w:t>AccountingAgents is MCP-native by design. Rather than implementing custom API wrappers for each external service — an approach that creates fragile, maintenance-heavy integrations — all tool access is mediated through official Model Context Protocol servers. This provides two key benefits: (1) authentication and authorization are handled by established OAuth2 flows, and (2) tool availability and capability evolve with the MCP specification independently of the agent framework.</w:t>
      </w:r>
    </w:p>
    <w:p>
      <w:pPr>
        <w:pStyle w:val="Heading"/>
        <w:spacing w:before="240"/>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 xml:space="preserve">The five MCP servers in the MVP stack are: </w:t>
      </w:r>
      <w:r>
        <w:rPr>
          <w:outline w:val="0"/>
          <w:color w:val="000000"/>
          <w:sz w:val="20"/>
          <w:szCs w:val="20"/>
          <w:u w:color="000000"/>
          <w:rtl w:val="0"/>
          <w:lang w:val="de-DE"/>
          <w14:textFill>
            <w14:solidFill>
              <w14:srgbClr w14:val="000000"/>
            </w14:solidFill>
          </w14:textFill>
        </w:rPr>
        <w:t>Gmail MCP</w:t>
      </w:r>
      <w:r>
        <w:rPr>
          <w:b w:val="0"/>
          <w:bCs w:val="0"/>
          <w:outline w:val="0"/>
          <w:color w:val="000000"/>
          <w:sz w:val="20"/>
          <w:szCs w:val="20"/>
          <w:u w:color="000000"/>
          <w:rtl w:val="0"/>
          <w:lang w:val="en-US"/>
          <w14:textFill>
            <w14:solidFill>
              <w14:srgbClr w14:val="000000"/>
            </w14:solidFill>
          </w14:textFill>
        </w:rPr>
        <w:t xml:space="preserve"> (gmailmcp.googleapis.com) for all email I/O including HITL notifications; </w:t>
      </w:r>
      <w:r>
        <w:rPr>
          <w:outline w:val="0"/>
          <w:color w:val="000000"/>
          <w:sz w:val="20"/>
          <w:szCs w:val="20"/>
          <w:u w:color="000000"/>
          <w:rtl w:val="0"/>
          <w:lang w:val="en-US"/>
          <w14:textFill>
            <w14:solidFill>
              <w14:srgbClr w14:val="000000"/>
            </w14:solidFill>
          </w14:textFill>
        </w:rPr>
        <w:t>QBO MCP</w:t>
      </w:r>
      <w:r>
        <w:rPr>
          <w:b w:val="0"/>
          <w:bCs w:val="0"/>
          <w:outline w:val="0"/>
          <w:color w:val="000000"/>
          <w:sz w:val="20"/>
          <w:szCs w:val="20"/>
          <w:u w:color="000000"/>
          <w:rtl w:val="0"/>
          <w:lang w:val="en-US"/>
          <w14:textFill>
            <w14:solidFill>
              <w14:srgbClr w14:val="000000"/>
            </w14:solidFill>
          </w14:textFill>
        </w:rPr>
        <w:t xml:space="preserve"> (intuit/quickbooks-online-mcp-server </w:t>
      </w:r>
      <w:r>
        <w:rPr>
          <w:b w:val="0"/>
          <w:bCs w:val="0"/>
          <w:outline w:val="0"/>
          <w:color w:val="000000"/>
          <w:sz w:val="16"/>
          <w:szCs w:val="16"/>
          <w:u w:color="000000"/>
          <w:vertAlign w:val="superscript"/>
          <w:rtl w:val="0"/>
          <w:lang w:val="pt-PT"/>
          <w14:textFill>
            <w14:solidFill>
              <w14:srgbClr w14:val="000000"/>
            </w14:solidFill>
          </w14:textFill>
        </w:rPr>
        <w:t>[10]</w:t>
      </w:r>
      <w:r>
        <w:rPr>
          <w:b w:val="0"/>
          <w:bCs w:val="0"/>
          <w:outline w:val="0"/>
          <w:color w:val="000000"/>
          <w:sz w:val="20"/>
          <w:szCs w:val="20"/>
          <w:u w:color="000000"/>
          <w:rtl w:val="0"/>
          <w:lang w:val="en-US"/>
          <w14:textFill>
            <w14:solidFill>
              <w14:srgbClr w14:val="000000"/>
            </w14:solidFill>
          </w14:textFill>
        </w:rPr>
        <w:t xml:space="preserve">) providing CRUD operations on Account, Bill, Customer, Invoice, Vendor, and 7 additional entities; </w:t>
      </w:r>
      <w:r>
        <w:rPr>
          <w:outline w:val="0"/>
          <w:color w:val="000000"/>
          <w:sz w:val="20"/>
          <w:szCs w:val="20"/>
          <w:u w:color="000000"/>
          <w:rtl w:val="0"/>
          <w:lang w:val="en-US"/>
          <w14:textFill>
            <w14:solidFill>
              <w14:srgbClr w14:val="000000"/>
            </w14:solidFill>
          </w14:textFill>
        </w:rPr>
        <w:t>Google Drive MCP</w:t>
      </w:r>
      <w:r>
        <w:rPr>
          <w:b w:val="0"/>
          <w:bCs w:val="0"/>
          <w:outline w:val="0"/>
          <w:color w:val="000000"/>
          <w:sz w:val="20"/>
          <w:szCs w:val="20"/>
          <w:u w:color="000000"/>
          <w:rtl w:val="0"/>
          <w:lang w:val="en-US"/>
          <w14:textFill>
            <w14:solidFill>
              <w14:srgbClr w14:val="000000"/>
            </w14:solidFill>
          </w14:textFill>
        </w:rPr>
        <w:t xml:space="preserve"> for document storage; </w:t>
      </w:r>
      <w:r>
        <w:rPr>
          <w:outline w:val="0"/>
          <w:color w:val="000000"/>
          <w:sz w:val="20"/>
          <w:szCs w:val="20"/>
          <w:u w:color="000000"/>
          <w:rtl w:val="0"/>
          <w:lang w:val="it-IT"/>
          <w14:textFill>
            <w14:solidFill>
              <w14:srgbClr w14:val="000000"/>
            </w14:solidFill>
          </w14:textFill>
        </w:rPr>
        <w:t>Google Calendar MCP</w:t>
      </w:r>
      <w:r>
        <w:rPr>
          <w:b w:val="0"/>
          <w:bCs w:val="0"/>
          <w:outline w:val="0"/>
          <w:color w:val="000000"/>
          <w:sz w:val="20"/>
          <w:szCs w:val="20"/>
          <w:u w:color="000000"/>
          <w:rtl w:val="0"/>
          <w:lang w:val="en-US"/>
          <w14:textFill>
            <w14:solidFill>
              <w14:srgbClr w14:val="000000"/>
            </w14:solidFill>
          </w14:textFill>
        </w:rPr>
        <w:t xml:space="preserve"> for fiscal deadline monitoring; and </w:t>
      </w:r>
      <w:r>
        <w:rPr>
          <w:outline w:val="0"/>
          <w:color w:val="000000"/>
          <w:sz w:val="20"/>
          <w:szCs w:val="20"/>
          <w:u w:color="000000"/>
          <w:rtl w:val="0"/>
          <w14:textFill>
            <w14:solidFill>
              <w14:srgbClr w14:val="000000"/>
            </w14:solidFill>
          </w14:textFill>
        </w:rPr>
        <w:t>Zapier MCP</w:t>
      </w:r>
      <w:r>
        <w:rPr>
          <w:b w:val="0"/>
          <w:bCs w:val="0"/>
          <w:outline w:val="0"/>
          <w:color w:val="000000"/>
          <w:sz w:val="20"/>
          <w:szCs w:val="20"/>
          <w:u w:color="000000"/>
          <w:rtl w:val="0"/>
          <w:lang w:val="en-US"/>
          <w14:textFill>
            <w14:solidFill>
              <w14:srgbClr w14:val="000000"/>
            </w14:solidFill>
          </w14:textFill>
        </w:rPr>
        <w:t xml:space="preserve"> as a general-purpose bridge to services lacking native MCP servers.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1"/>
        <w:spacing w:before="0" w:line="240" w:lineRule="auto"/>
        <w:rPr>
          <w:rFonts w:ascii="Times Roman" w:cs="Times Roman" w:hAnsi="Times Roman" w:eastAsia="Times Roman"/>
        </w:rPr>
      </w:pPr>
      <w:r>
        <w:rPr>
          <w:rFonts w:ascii="Times New Roman" w:hAnsi="Times New Roman"/>
          <w:outline w:val="0"/>
          <w:color w:val="000000"/>
          <w:sz w:val="20"/>
          <w:szCs w:val="20"/>
          <w:u w:color="000000"/>
          <w:rtl w:val="0"/>
          <w:lang w:val="en-US"/>
          <w14:textFill>
            <w14:solidFill>
              <w14:srgbClr w14:val="000000"/>
            </w14:solidFill>
          </w14:textFill>
        </w:rPr>
        <w:t>Additional MCP servers can be substituted or added without modifying the agent logic.</w:t>
      </w:r>
    </w:p>
    <w:p>
      <w:pPr>
        <w:pStyle w:val="Heading"/>
        <w:spacing w:before="240"/>
      </w:pPr>
      <w:r>
        <w:rPr>
          <w:rtl w:val="0"/>
          <w:lang w:val="en-US"/>
        </w:rPr>
        <w:t>6. Limitations and Future Work</w:t>
      </w:r>
    </w:p>
    <w:p>
      <w:pPr>
        <w:pStyle w:val="Heading"/>
        <w:spacing w:before="240"/>
      </w:pPr>
      <w:r>
        <w:rPr>
          <w:b w:val="0"/>
          <w:bCs w:val="0"/>
          <w:outline w:val="0"/>
          <w:color w:val="000000"/>
          <w:sz w:val="20"/>
          <w:szCs w:val="20"/>
          <w:u w:color="000000"/>
          <w:rtl w:val="0"/>
          <w:lang w:val="en-US"/>
          <w14:textFill>
            <w14:solidFill>
              <w14:srgbClr w14:val="000000"/>
            </w14:solidFill>
          </w14:textFill>
        </w:rPr>
        <w:t>The present work is a position paper describing framework design. Several limitations apply. First, we present no experimental results; a companion implementation paper will evaluate agent accuracy, HITL approval rates, and time savings against a baseline of manual processing. Second, the four-level escalation thresholds are defined heuristically; future work should calibrate these empirically per firm profile. Third, the framework currently targets QBO; extension to Xero, Sage, and Microsoft Dynamics 365 would broaden applicability. Fourth, Canadian regulatory specifics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bec) are noted as a design consideration but not yet implemented as explicit compliance rules.</w:t>
      </w:r>
    </w:p>
    <w:p>
      <w:pPr>
        <w:pStyle w:val="Heading"/>
        <w:spacing w:before="240"/>
      </w:pPr>
      <w:r>
        <w:rPr>
          <w:rtl w:val="0"/>
          <w:lang w:val="it-IT"/>
        </w:rPr>
        <w:t>7. Conclusion</w:t>
      </w:r>
    </w:p>
    <w:p>
      <w:pPr>
        <w:pStyle w:val="Heading"/>
        <w:spacing w:before="240"/>
      </w:pPr>
      <w:r>
        <w:rPr>
          <w:b w:val="0"/>
          <w:bCs w:val="0"/>
          <w:outline w:val="0"/>
          <w:color w:val="000000"/>
          <w:sz w:val="20"/>
          <w:szCs w:val="20"/>
          <w:u w:color="000000"/>
          <w:rtl w:val="0"/>
          <w:lang w:val="en-US"/>
          <w14:textFill>
            <w14:solidFill>
              <w14:srgbClr w14:val="000000"/>
            </w14:solidFill>
          </w14:textFill>
        </w:rPr>
        <w:t>We have presented AccountingAgents, a multi-agent LLM framework modelled on the organizational structure of professional accounting firms. The framework addresses the two core limitations identified in prior work — absence of realistic organizational modelling and inefficient communication interfaces — by adopting the structured SharedState design pioneered by TradingAgents and extending it to the accounting domain. The asynchronous HITL mechanism represents a practical contribution to the deployment of agentic systems in regulated, high-stakes environments where human oversight is legally required but operators are mobile. We invite the research community to build on this framework and to contribute experimental validation.</w:t>
      </w:r>
    </w:p>
    <w:p>
      <w:pPr>
        <w:pStyle w:val="Heading"/>
        <w:spacing w:before="240"/>
      </w:pPr>
    </w:p>
    <w:p>
      <w:pPr>
        <w:pStyle w:val="Heading"/>
        <w:spacing w:before="240"/>
      </w:pPr>
      <w:r>
        <w:rPr>
          <w:rtl w:val="0"/>
          <w:lang w:val="fr-FR"/>
        </w:rPr>
        <w:t>References</w:t>
      </w:r>
    </w:p>
    <w:p>
      <w:pPr>
        <w:pStyle w:val="Heading"/>
        <w:spacing w:before="240"/>
      </w:pPr>
      <w:r>
        <w:rPr>
          <w:sz w:val="17"/>
          <w:szCs w:val="17"/>
          <w:rtl w:val="0"/>
          <w:lang w:val="en-US"/>
        </w:rPr>
        <w:t>[1] Xiao, Y., Sun, E., Luo, D., &amp; Wang, W. (2025). TradingAgents: Multi-Agents LLM Financial Trading Framework. arXiv:2412.20138.</w:t>
      </w:r>
    </w:p>
    <w:p>
      <w:pPr>
        <w:pStyle w:val="Heading"/>
        <w:spacing w:before="240"/>
      </w:pPr>
      <w:r>
        <w:rPr>
          <w:sz w:val="17"/>
          <w:szCs w:val="17"/>
          <w:rtl w:val="0"/>
          <w:lang w:val="en-US"/>
        </w:rPr>
        <w:t>[2] Grand View Research (2024). AI in Accounting Market Size &amp; Growth Report 2033.</w:t>
      </w:r>
    </w:p>
    <w:p>
      <w:pPr>
        <w:pStyle w:val="Heading"/>
        <w:spacing w:before="240"/>
      </w:pPr>
      <w:r>
        <w:rPr>
          <w:sz w:val="17"/>
          <w:szCs w:val="17"/>
          <w:rtl w:val="0"/>
          <w:lang w:val="en-US"/>
        </w:rPr>
        <w:t>[3] FinDebate: Multi-Agent Collaborative Intelligence for Financial Analysis. arXiv:2509.17395 (2025).</w:t>
      </w:r>
    </w:p>
    <w:p>
      <w:pPr>
        <w:pStyle w:val="Heading"/>
        <w:spacing w:before="240"/>
      </w:pPr>
      <w:r>
        <w:rPr>
          <w:sz w:val="17"/>
          <w:szCs w:val="17"/>
          <w:rtl w:val="0"/>
          <w:lang w:val="en-US"/>
        </w:rPr>
        <w:t>[4] Kulkarni, S. &amp; Kulkarni, Y. (2026). Benchmarking Multi-Agent LLM Architectures for Financial Document Processing. arXiv:2603.22651.</w:t>
      </w:r>
    </w:p>
    <w:p>
      <w:pPr>
        <w:pStyle w:val="Heading"/>
        <w:spacing w:before="240"/>
      </w:pPr>
      <w:r>
        <w:rPr>
          <w:sz w:val="17"/>
          <w:szCs w:val="17"/>
          <w:rtl w:val="0"/>
          <w:lang w:val="en-US"/>
        </w:rPr>
        <w:t>[5] Intuit QuickBooks. AI Agents for Intelligent Business Automation. intuit.com/enterprise/ai-agents (2025).</w:t>
      </w:r>
    </w:p>
    <w:p>
      <w:pPr>
        <w:pStyle w:val="Heading"/>
        <w:spacing w:before="240"/>
      </w:pPr>
      <w:r>
        <w:rPr>
          <w:sz w:val="17"/>
          <w:szCs w:val="17"/>
          <w:rtl w:val="0"/>
          <w:lang w:val="en-US"/>
        </w:rPr>
        <w:t>[6] Pilot AI. World's First Fully Autonomous AI Accountant for SMBs. Press release, February 2026.</w:t>
      </w:r>
      <w:r>
        <w:rPr>
          <w:sz w:val="17"/>
          <w:szCs w:val="17"/>
          <w:rtl w:val="0"/>
          <w:lang w:val="fr-FR"/>
        </w:rPr>
        <w:t xml:space="preserve"> </w:t>
      </w:r>
      <w:r>
        <w:rPr>
          <w:sz w:val="17"/>
          <w:szCs w:val="17"/>
          <w:rtl w:val="0"/>
          <w:lang w:val="en-US"/>
        </w:rPr>
        <w:t>https://www.globenewswire.com/news-release/2026/02/04/3232133/0/en/Pilot-Unveils-AI-Accountant-A-Major-Leap-Toward-Artificial-General-Intelligence-in-Accounting.html</w:t>
      </w:r>
    </w:p>
    <w:p>
      <w:pPr>
        <w:pStyle w:val="Heading"/>
        <w:spacing w:before="240"/>
      </w:pPr>
      <w:r>
        <w:rPr>
          <w:sz w:val="17"/>
          <w:szCs w:val="17"/>
          <w:rtl w:val="0"/>
          <w:lang w:val="en-US"/>
        </w:rPr>
        <w:t>[7] panaversity. accounts_ai: AI-based accounting co-pilot. github.com/panaversity/accounts_ai (2024).</w:t>
      </w:r>
    </w:p>
    <w:p>
      <w:pPr>
        <w:pStyle w:val="Heading"/>
        <w:spacing w:before="240"/>
      </w:pPr>
      <w:r>
        <w:rPr>
          <w:sz w:val="17"/>
          <w:szCs w:val="17"/>
          <w:rtl w:val="0"/>
          <w:lang w:val="en-US"/>
        </w:rPr>
        <w:t>[8] Wang, X. et al. (2023). AlphaGPT: Human-in-the-Loop Perspective on Research-Driven Alpha Mining for Quantitative Investments.</w:t>
      </w:r>
    </w:p>
    <w:p>
      <w:pPr>
        <w:pStyle w:val="Heading"/>
        <w:spacing w:before="240"/>
      </w:pPr>
      <w:r>
        <w:rPr>
          <w:sz w:val="17"/>
          <w:szCs w:val="17"/>
          <w:rtl w:val="0"/>
          <w:lang w:val="en-US"/>
        </w:rPr>
        <w:t>[9] LangChain Inc. (2024). LangGraph: Agent Orchestration Framework. langchain.com/langgraph.</w:t>
      </w:r>
    </w:p>
    <w:p>
      <w:pPr>
        <w:pStyle w:val="Heading"/>
        <w:spacing w:before="240"/>
      </w:pPr>
      <w:r>
        <w:rPr>
          <w:sz w:val="17"/>
          <w:szCs w:val="17"/>
          <w:rtl w:val="0"/>
          <w:lang w:val="en-US"/>
        </w:rPr>
        <w:t>[10] Intuit. quickbooks-online-mcp-server. github.com/intuit/quickbooks-online-mcp-server (2025).</w:t>
      </w:r>
    </w:p>
    <w:sectPr>
      <w:headerReference w:type="default" r:id="rId5"/>
      <w:footerReference w:type="default" r:id="rId6"/>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