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val="pt-BR"/>
        </w:rPr>
      </w:pPr>
      <w:r>
        <w:rPr>
          <w:b/>
          <w:bCs/>
          <w:sz w:val="28"/>
          <w:szCs w:val="28"/>
          <w:lang w:val="pt-BR"/>
        </w:rPr>
        <w:t>JIRA LC-342 BLOQUEIO DE EMISSÃO DE PEDIDOS DE COMPRAS</w:t>
      </w:r>
    </w:p>
    <w:p>
      <w:pPr>
        <w:rPr>
          <w:lang w:val="pt-BR"/>
        </w:rPr>
      </w:pPr>
    </w:p>
    <w:p>
      <w:pPr>
        <w:numPr>
          <w:ilvl w:val="0"/>
          <w:numId w:val="1"/>
        </w:numPr>
        <w:rPr>
          <w:lang w:val="pt-BR"/>
        </w:rPr>
      </w:pPr>
      <w:r>
        <w:rPr>
          <w:lang w:val="pt-BR"/>
        </w:rPr>
        <w:t>ALTERAÇÃO DE OBJETOS NO SQL SERVER:</w:t>
      </w:r>
    </w:p>
    <w:p>
      <w:pPr>
        <w:rPr>
          <w:lang w:val="pt-BR"/>
        </w:rPr>
      </w:pPr>
    </w:p>
    <w:p>
      <w:pPr>
        <w:spacing w:beforeLines="0" w:afterLines="0"/>
        <w:ind w:firstLine="420" w:firstLineChars="0"/>
        <w:jc w:val="left"/>
        <w:rPr>
          <w:rFonts w:hint="default" w:ascii="Consolas" w:hAnsi="Consolas" w:eastAsia="Consolas"/>
          <w:color w:val="auto"/>
          <w:sz w:val="19"/>
        </w:rPr>
      </w:pPr>
      <w:r>
        <w:rPr>
          <w:rFonts w:hint="default" w:ascii="Consolas" w:hAnsi="Consolas" w:eastAsia="Consolas"/>
          <w:color w:val="0000FF"/>
          <w:sz w:val="19"/>
        </w:rPr>
        <w:t>ALTER</w:t>
      </w:r>
      <w:r>
        <w:rPr>
          <w:rFonts w:hint="default" w:ascii="Consolas" w:hAnsi="Consolas" w:eastAsia="Consolas"/>
          <w:color w:val="auto"/>
          <w:sz w:val="19"/>
        </w:rPr>
        <w:t xml:space="preserve"> </w:t>
      </w:r>
      <w:r>
        <w:rPr>
          <w:rFonts w:hint="default" w:ascii="Consolas" w:hAnsi="Consolas" w:eastAsia="Consolas"/>
          <w:color w:val="0000FF"/>
          <w:sz w:val="19"/>
        </w:rPr>
        <w:t>TABLE</w:t>
      </w:r>
      <w:r>
        <w:rPr>
          <w:rFonts w:hint="default" w:ascii="Consolas" w:hAnsi="Consolas" w:eastAsia="Consolas"/>
          <w:color w:val="auto"/>
          <w:sz w:val="19"/>
        </w:rPr>
        <w:t xml:space="preserve"> FORNECEDORES </w:t>
      </w:r>
    </w:p>
    <w:p>
      <w:pPr>
        <w:spacing w:beforeLines="0" w:afterLines="0"/>
        <w:ind w:firstLine="420" w:firstLineChars="0"/>
        <w:jc w:val="left"/>
        <w:rPr>
          <w:rFonts w:hint="default" w:ascii="Consolas" w:hAnsi="Consolas" w:eastAsia="Consolas"/>
          <w:color w:val="auto"/>
          <w:sz w:val="19"/>
        </w:rPr>
      </w:pPr>
      <w:r>
        <w:rPr>
          <w:rFonts w:hint="default" w:ascii="Consolas" w:hAnsi="Consolas" w:eastAsia="Consolas"/>
          <w:color w:val="auto"/>
          <w:sz w:val="19"/>
        </w:rPr>
        <w:tab/>
      </w:r>
      <w:r>
        <w:rPr>
          <w:rFonts w:hint="default" w:ascii="Consolas" w:hAnsi="Consolas" w:eastAsia="Consolas"/>
          <w:color w:val="0000FF"/>
          <w:sz w:val="19"/>
        </w:rPr>
        <w:t>ADD</w:t>
      </w:r>
      <w:r>
        <w:rPr>
          <w:rFonts w:hint="default" w:ascii="Consolas" w:hAnsi="Consolas" w:eastAsia="Consolas"/>
          <w:color w:val="auto"/>
          <w:sz w:val="19"/>
        </w:rPr>
        <w:t xml:space="preserve"> ERP_BLOQUEIO_AUDITORIA </w:t>
      </w:r>
      <w:r>
        <w:rPr>
          <w:rFonts w:hint="default" w:ascii="Consolas" w:hAnsi="Consolas" w:eastAsia="Consolas"/>
          <w:color w:val="0000FF"/>
          <w:sz w:val="19"/>
        </w:rPr>
        <w:t>BIT</w:t>
      </w:r>
      <w:r>
        <w:rPr>
          <w:rFonts w:hint="default" w:ascii="Consolas" w:hAnsi="Consolas" w:eastAsia="Consolas"/>
          <w:color w:val="auto"/>
          <w:sz w:val="19"/>
        </w:rPr>
        <w:t xml:space="preserve"> </w:t>
      </w:r>
      <w:r>
        <w:rPr>
          <w:rFonts w:hint="default" w:ascii="Consolas" w:hAnsi="Consolas" w:eastAsia="Consolas"/>
          <w:color w:val="808080"/>
          <w:sz w:val="19"/>
        </w:rPr>
        <w:t>NULL</w:t>
      </w:r>
      <w:r>
        <w:rPr>
          <w:rFonts w:hint="default" w:ascii="Consolas" w:hAnsi="Consolas" w:eastAsia="Consolas"/>
          <w:color w:val="auto"/>
          <w:sz w:val="19"/>
        </w:rPr>
        <w:t xml:space="preserve"> </w:t>
      </w:r>
      <w:r>
        <w:rPr>
          <w:rFonts w:hint="default" w:ascii="Consolas" w:hAnsi="Consolas" w:eastAsia="Consolas"/>
          <w:color w:val="0000FF"/>
          <w:sz w:val="19"/>
        </w:rPr>
        <w:t>CONSTRAINT</w:t>
      </w:r>
      <w:r>
        <w:rPr>
          <w:rFonts w:hint="default" w:ascii="Consolas" w:hAnsi="Consolas" w:eastAsia="Consolas"/>
          <w:color w:val="auto"/>
          <w:sz w:val="19"/>
        </w:rPr>
        <w:t xml:space="preserve"> DF_FORNECEDORES_ERP_BLOQUEIO_AUDITORIA </w:t>
      </w:r>
      <w:r>
        <w:rPr>
          <w:rFonts w:hint="default" w:ascii="Consolas" w:hAnsi="Consolas" w:eastAsia="Consolas"/>
          <w:color w:val="0000FF"/>
          <w:sz w:val="19"/>
        </w:rPr>
        <w:t>DEFAULT</w:t>
      </w:r>
      <w:r>
        <w:rPr>
          <w:rFonts w:hint="default" w:ascii="Consolas" w:hAnsi="Consolas" w:eastAsia="Consolas"/>
          <w:color w:val="808080"/>
          <w:sz w:val="19"/>
        </w:rPr>
        <w:t>(</w:t>
      </w:r>
      <w:r>
        <w:rPr>
          <w:rFonts w:hint="default" w:ascii="Consolas" w:hAnsi="Consolas" w:eastAsia="Consolas"/>
          <w:color w:val="auto"/>
          <w:sz w:val="19"/>
        </w:rPr>
        <w:t>0</w:t>
      </w:r>
      <w:r>
        <w:rPr>
          <w:rFonts w:hint="default" w:ascii="Consolas" w:hAnsi="Consolas" w:eastAsia="Consolas"/>
          <w:color w:val="808080"/>
          <w:sz w:val="19"/>
        </w:rPr>
        <w:t>);</w:t>
      </w:r>
    </w:p>
    <w:p>
      <w:pPr>
        <w:spacing w:beforeLines="0" w:afterLines="0"/>
        <w:ind w:firstLine="420" w:firstLineChars="0"/>
        <w:jc w:val="left"/>
        <w:rPr>
          <w:rFonts w:hint="default" w:ascii="Consolas" w:hAnsi="Consolas" w:eastAsia="Consolas"/>
          <w:color w:val="auto"/>
          <w:sz w:val="19"/>
        </w:rPr>
      </w:pPr>
    </w:p>
    <w:p>
      <w:pPr>
        <w:spacing w:beforeLines="0" w:afterLines="0"/>
        <w:ind w:firstLine="420" w:firstLineChars="0"/>
        <w:jc w:val="left"/>
        <w:rPr>
          <w:rFonts w:hint="default" w:ascii="Consolas" w:hAnsi="Consolas" w:eastAsia="Consolas"/>
          <w:color w:val="auto"/>
          <w:sz w:val="19"/>
        </w:rPr>
      </w:pPr>
      <w:r>
        <w:rPr>
          <w:rFonts w:hint="default" w:ascii="Consolas" w:hAnsi="Consolas" w:eastAsia="Consolas"/>
          <w:color w:val="0000FF"/>
          <w:sz w:val="19"/>
        </w:rPr>
        <w:t>GO</w:t>
      </w:r>
    </w:p>
    <w:p>
      <w:pPr>
        <w:spacing w:beforeLines="0" w:afterLines="0"/>
        <w:ind w:firstLine="420" w:firstLineChars="0"/>
        <w:jc w:val="left"/>
        <w:rPr>
          <w:rFonts w:hint="default" w:ascii="Consolas" w:hAnsi="Consolas" w:eastAsia="Consolas"/>
          <w:color w:val="auto"/>
          <w:sz w:val="19"/>
        </w:rPr>
      </w:pPr>
    </w:p>
    <w:p>
      <w:pPr>
        <w:spacing w:beforeLines="0" w:afterLines="0"/>
        <w:ind w:firstLine="420" w:firstLineChars="0"/>
        <w:jc w:val="left"/>
        <w:rPr>
          <w:rFonts w:hint="default" w:ascii="Consolas" w:hAnsi="Consolas" w:eastAsia="Consolas"/>
          <w:color w:val="auto"/>
          <w:sz w:val="19"/>
        </w:rPr>
      </w:pPr>
      <w:r>
        <w:rPr>
          <w:rFonts w:hint="default" w:ascii="Consolas" w:hAnsi="Consolas" w:eastAsia="Consolas"/>
          <w:color w:val="FF00FF"/>
          <w:sz w:val="19"/>
        </w:rPr>
        <w:t>UPDATE</w:t>
      </w:r>
      <w:r>
        <w:rPr>
          <w:rFonts w:hint="default" w:ascii="Consolas" w:hAnsi="Consolas" w:eastAsia="Consolas"/>
          <w:color w:val="auto"/>
          <w:sz w:val="19"/>
        </w:rPr>
        <w:t xml:space="preserve"> FORNECEDORES </w:t>
      </w:r>
      <w:r>
        <w:rPr>
          <w:rFonts w:hint="default" w:ascii="Consolas" w:hAnsi="Consolas" w:eastAsia="Consolas"/>
          <w:color w:val="0000FF"/>
          <w:sz w:val="19"/>
        </w:rPr>
        <w:t>SET</w:t>
      </w:r>
      <w:r>
        <w:rPr>
          <w:rFonts w:hint="default" w:ascii="Consolas" w:hAnsi="Consolas" w:eastAsia="Consolas"/>
          <w:color w:val="auto"/>
          <w:sz w:val="19"/>
        </w:rPr>
        <w:t xml:space="preserve"> ERP_BLOQUEIO_AUDITORIA</w:t>
      </w:r>
      <w:r>
        <w:rPr>
          <w:rFonts w:hint="default" w:ascii="Consolas" w:hAnsi="Consolas" w:eastAsia="Consolas"/>
          <w:color w:val="808080"/>
          <w:sz w:val="19"/>
        </w:rPr>
        <w:t>=</w:t>
      </w:r>
      <w:r>
        <w:rPr>
          <w:rFonts w:hint="default" w:ascii="Consolas" w:hAnsi="Consolas" w:eastAsia="Consolas"/>
          <w:color w:val="auto"/>
          <w:sz w:val="19"/>
        </w:rPr>
        <w:t xml:space="preserve">0 </w:t>
      </w:r>
      <w:r>
        <w:rPr>
          <w:rFonts w:hint="default" w:ascii="Consolas" w:hAnsi="Consolas" w:eastAsia="Consolas"/>
          <w:color w:val="0000FF"/>
          <w:sz w:val="19"/>
        </w:rPr>
        <w:t>WHERE</w:t>
      </w:r>
      <w:r>
        <w:rPr>
          <w:rFonts w:hint="default" w:ascii="Consolas" w:hAnsi="Consolas" w:eastAsia="Consolas"/>
          <w:color w:val="auto"/>
          <w:sz w:val="19"/>
        </w:rPr>
        <w:t xml:space="preserve"> 1</w:t>
      </w:r>
      <w:r>
        <w:rPr>
          <w:rFonts w:hint="default" w:ascii="Consolas" w:hAnsi="Consolas" w:eastAsia="Consolas"/>
          <w:color w:val="808080"/>
          <w:sz w:val="19"/>
        </w:rPr>
        <w:t>=</w:t>
      </w:r>
      <w:r>
        <w:rPr>
          <w:rFonts w:hint="default" w:ascii="Consolas" w:hAnsi="Consolas" w:eastAsia="Consolas"/>
          <w:color w:val="auto"/>
          <w:sz w:val="19"/>
        </w:rPr>
        <w:t>1</w:t>
      </w:r>
    </w:p>
    <w:p>
      <w:pPr>
        <w:spacing w:beforeLines="0" w:afterLines="0"/>
        <w:ind w:firstLine="420" w:firstLineChars="0"/>
        <w:jc w:val="left"/>
        <w:rPr>
          <w:rFonts w:hint="default" w:ascii="Consolas" w:hAnsi="Consolas" w:eastAsia="Consolas"/>
          <w:color w:val="0000FF"/>
          <w:sz w:val="19"/>
        </w:rPr>
      </w:pPr>
      <w:r>
        <w:rPr>
          <w:rFonts w:hint="default" w:ascii="Consolas" w:hAnsi="Consolas" w:eastAsia="Consolas"/>
          <w:color w:val="0000FF"/>
          <w:sz w:val="19"/>
        </w:rPr>
        <w:t>GO</w:t>
      </w:r>
    </w:p>
    <w:p>
      <w:pPr>
        <w:rPr>
          <w:lang w:val="pt-BR"/>
        </w:rPr>
      </w:pPr>
    </w:p>
    <w:p>
      <w:pPr>
        <w:numPr>
          <w:ilvl w:val="0"/>
          <w:numId w:val="1"/>
        </w:numPr>
        <w:ind w:left="0" w:leftChars="0" w:firstLine="0" w:firstLineChars="0"/>
        <w:rPr>
          <w:lang w:val="pt-BR"/>
        </w:rPr>
      </w:pPr>
      <w:r>
        <w:rPr>
          <w:lang w:val="pt-BR"/>
        </w:rPr>
        <w:t>Criação de Transação para a tela nova de bloqueio de fornecedores:</w:t>
      </w:r>
    </w:p>
    <w:p>
      <w:pPr>
        <w:numPr>
          <w:numId w:val="0"/>
        </w:numPr>
        <w:ind w:leftChars="0"/>
        <w:rPr>
          <w:lang w:val="pt-BR"/>
        </w:rPr>
      </w:pPr>
      <w:r>
        <w:drawing>
          <wp:inline distT="0" distB="0" distL="114300" distR="114300">
            <wp:extent cx="5114290" cy="4057015"/>
            <wp:effectExtent l="0" t="0" r="1016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4290" cy="4057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pt-BR"/>
        </w:rPr>
      </w:pPr>
    </w:p>
    <w:p>
      <w:pPr>
        <w:rPr>
          <w:lang w:val="pt-BR"/>
        </w:rPr>
      </w:pPr>
      <w:r>
        <w:rPr>
          <w:lang w:val="pt-BR"/>
        </w:rPr>
        <w:br w:type="page"/>
      </w:r>
    </w:p>
    <w:p>
      <w:pPr>
        <w:rPr>
          <w:lang w:val="pt-BR"/>
        </w:rPr>
      </w:pPr>
    </w:p>
    <w:p>
      <w:pPr>
        <w:numPr>
          <w:ilvl w:val="0"/>
          <w:numId w:val="1"/>
        </w:numPr>
        <w:ind w:left="0" w:leftChars="0" w:firstLine="0" w:firstLineChars="0"/>
        <w:rPr>
          <w:lang w:val="pt-BR"/>
        </w:rPr>
      </w:pPr>
      <w:r>
        <w:rPr>
          <w:lang w:val="pt-BR"/>
        </w:rPr>
        <w:t>CRIAÇÃO DE PARAMETRO PARA CONTROLE DE ACESSO A TELA</w:t>
      </w:r>
    </w:p>
    <w:p>
      <w:pPr>
        <w:numPr>
          <w:numId w:val="0"/>
        </w:numPr>
        <w:ind w:leftChars="0"/>
        <w:rPr>
          <w:lang w:val="pt-BR"/>
        </w:rPr>
      </w:pPr>
      <w:r>
        <w:drawing>
          <wp:inline distT="0" distB="0" distL="114300" distR="114300">
            <wp:extent cx="5273675" cy="3429635"/>
            <wp:effectExtent l="0" t="0" r="3175" b="184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29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lang w:val="pt-BR"/>
        </w:rPr>
      </w:pPr>
      <w:r>
        <w:rPr>
          <w:lang w:val="pt-BR"/>
        </w:rPr>
        <w:t>Acesso Parametrizável por Usuário:</w:t>
      </w:r>
    </w:p>
    <w:p>
      <w:r>
        <w:drawing>
          <wp:inline distT="0" distB="0" distL="114300" distR="114300">
            <wp:extent cx="5273675" cy="3396615"/>
            <wp:effectExtent l="0" t="0" r="3175" b="133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96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pt-BR"/>
        </w:rPr>
      </w:pPr>
      <w:r>
        <w:rPr>
          <w:lang w:val="pt-BR"/>
        </w:rPr>
        <w:br w:type="page"/>
      </w:r>
    </w:p>
    <w:p>
      <w:pPr>
        <w:numPr>
          <w:ilvl w:val="0"/>
          <w:numId w:val="1"/>
        </w:numPr>
        <w:ind w:left="0" w:leftChars="0" w:firstLine="0" w:firstLineChars="0"/>
        <w:rPr>
          <w:lang w:val="pt-BR"/>
        </w:rPr>
      </w:pPr>
      <w:r>
        <w:rPr>
          <w:lang w:val="pt-BR"/>
        </w:rPr>
        <w:t>Tela de Bloqueio de Fornecedores para Pedido de Compras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6643370" cy="2884170"/>
            <wp:effectExtent l="0" t="0" r="5080" b="1143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2884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ilvl w:val="0"/>
          <w:numId w:val="1"/>
        </w:numPr>
        <w:ind w:left="0" w:leftChars="0" w:firstLine="0" w:firstLineChars="0"/>
        <w:rPr>
          <w:lang w:val="pt-BR"/>
        </w:rPr>
      </w:pPr>
      <w:r>
        <w:rPr>
          <w:lang w:val="pt-BR"/>
        </w:rPr>
        <w:t>Tela de Pedidos exibindo a funcionalidade de bloqueio do Fornecedor: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6638925" cy="3016885"/>
            <wp:effectExtent l="0" t="0" r="9525" b="1206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016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lang w:val="pt-BR"/>
        </w:rPr>
      </w:pPr>
      <w:r>
        <w:rPr>
          <w:lang w:val="pt-BR"/>
        </w:rPr>
        <w:t>Se fornecedor estiver bloqueado na Tela 999412, não será possível utiliza-lo para emitir pedidos.</w:t>
      </w:r>
    </w:p>
    <w:p>
      <w:pPr>
        <w:numPr>
          <w:numId w:val="0"/>
        </w:numPr>
        <w:ind w:leftChars="0"/>
        <w:rPr>
          <w:lang w:val="pt-BR"/>
        </w:rPr>
      </w:pPr>
      <w:r>
        <w:rPr>
          <w:lang w:val="pt-BR"/>
        </w:rPr>
        <w:br w:type="page"/>
      </w:r>
    </w:p>
    <w:p>
      <w:pPr>
        <w:numPr>
          <w:numId w:val="0"/>
        </w:numPr>
        <w:ind w:leftChars="0"/>
        <w:rPr>
          <w:lang w:val="pt-BR"/>
        </w:rPr>
      </w:pPr>
      <w:r>
        <w:rPr>
          <w:lang w:val="pt-BR"/>
        </w:rPr>
        <w:t>Método WHEN do objeto tv_FORNECEDOR da tela de Pedido de Compras</w:t>
      </w:r>
      <w:bookmarkStart w:id="0" w:name="_GoBack"/>
      <w:bookmarkEnd w:id="0"/>
    </w:p>
    <w:p>
      <w:pPr>
        <w:numPr>
          <w:numId w:val="0"/>
        </w:numPr>
        <w:ind w:leftChars="0"/>
        <w:rPr>
          <w:lang w:val="pt-BR"/>
        </w:rPr>
      </w:pPr>
      <w:r>
        <w:drawing>
          <wp:inline distT="0" distB="0" distL="114300" distR="114300">
            <wp:extent cx="6640195" cy="3001645"/>
            <wp:effectExtent l="0" t="0" r="8255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001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FD314"/>
    <w:multiLevelType w:val="singleLevel"/>
    <w:tmpl w:val="082FD314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74C72AF"/>
    <w:rsid w:val="408E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Office_10.2.0.7478_F1E327BC-269C-435d-A152-05C5408002CA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2018-10-08T14:23:00Z</dcterms:created>
  <dc:creator>Paulo Eduardo Devidé</dc:creator>
  <cp:lastModifiedBy>Paulo Eduardo Devidé</cp:lastModifiedBy>
  <dcterms:modified xsi:type="dcterms:W3CDTF">2018-10-08T16:34:26Z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1046-10.2.0.7478</vt:lpwstr>
  </property>
</Properties>
</file>