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Before and After the Map: Industrial Siting and the Making of Environmental Inequality in Denver, 1880–2020</w:t>
      </w:r>
    </w:p>
    <w:p>
      <w:pPr>
        <w:spacing w:after="60"/>
        <w:jc w:val="center"/>
      </w:pPr>
      <w:r>
        <w:rPr>
          <w:rFonts w:ascii="Times New Roman" w:cs="Times New Roman" w:eastAsia="Times New Roman" w:hAnsi="Times New Roman"/>
          <w:sz w:val="24"/>
          <w:szCs w:val="24"/>
        </w:rPr>
        <w:t xml:space="preserve">Priyanka deSouza</w:t>
      </w:r>
    </w:p>
    <w:p>
      <w:pPr>
        <w:spacing w:after="360"/>
        <w:jc w:val="center"/>
      </w:pPr>
      <w:r>
        <w:rPr>
          <w:rFonts w:ascii="Times New Roman" w:cs="Times New Roman" w:eastAsia="Times New Roman" w:hAnsi="Times New Roman"/>
          <w:i/>
          <w:iCs/>
          <w:sz w:val="22"/>
          <w:szCs w:val="22"/>
        </w:rPr>
        <w:t xml:space="preserve">[Affiliation and correspondence address]</w:t>
      </w:r>
    </w:p>
    <w:p>
      <w:pPr>
        <w:spacing w:after="160" w:line="300"/>
        <w:jc w:val="both"/>
      </w:pPr>
      <w:r>
        <w:rPr>
          <w:rFonts w:ascii="Times New Roman" w:cs="Times New Roman" w:eastAsia="Times New Roman" w:hAnsi="Times New Roman"/>
          <w:b/>
          <w:bCs/>
          <w:i w:val="false"/>
          <w:iCs w:val="false"/>
          <w:sz w:val="22"/>
          <w:szCs w:val="22"/>
        </w:rPr>
        <w:t xml:space="preserve">Abstract.</w:t>
      </w:r>
      <w:r>
        <w:rPr>
          <w:rFonts w:ascii="Times New Roman" w:cs="Times New Roman" w:eastAsia="Times New Roman" w:hAnsi="Times New Roman"/>
          <w:b w:val="false"/>
          <w:bCs w:val="false"/>
          <w:i w:val="false"/>
          <w:iCs w:val="false"/>
          <w:sz w:val="22"/>
          <w:szCs w:val="22"/>
        </w:rPr>
        <w:t xml:space="preserve"> Environmental inequality is usually measured where regulatory inventories begin, in the 1980s, long after the industrial geography that produces it was laid down. This paper reconstructs that geography for Denver from its first state business directory (1871) to the present and asks what came first: hazardous industry, the people who lived beside it, or the instruments — the 1925 zoning ordinance and the 1938 HOLC map — that are often credited with creating the pattern. Three sources are linked: the street-level hazardous trades of 34 business-directory editions (1871–1956) and 13 complete manufacturers' directory editions (1965–1992); the complete-count censuses of 1880–1940 aggregated to reconstructed enumeration districts and census tracts within 10 km of downtown for 1950–2020; and the city's 1929 zoning map, the 1938 HOLC map and today's assessor parcels. Four findings follow. First, the disparities preceded both instruments. From 1880 to 1940 districts nearer hazardous industry held more foreign-born, labouring and lodging households and fewer owners, and the hazardous trades that opened before 1940 opened in places that already had more of those households. Second, the land the appraisers graded D combined two different geographies. Black Denver became concentrated in two residential D areas northeast of downtown between 1900 and 1930, before the map, while the industrially zoned land, in D and in the ungraded industrial zones, lost Black residents and became Mexican and Hispano. The D–C Black gap describes the first geography, not the second. Third, neither instrument coincides with an acceleration that the data can detect. Per directory edition, hazardous siting after 1938 favoured D land within the range it had before (D/C 2.1, against 1.7–6.4), and after 1950 the Hispanic concentration beside industry is strong between places but does not track a tract's own changes in industry. Hazardous manufacturers that arrived after 1965 went to tracts that were less poor than those that never had one, and those tracts then gained Hispanic residents faster. Concentration of both groups in D and industrial tracts peaked around 1960 and has declined since. Fourth, four in ten of the 1965–92 sites are still industrial parcels, and most of the 168 now residential were small firms in residential buildings rather than conversions. The instruments recorded an industrial and racial geography that already existed; the data do not show that either created it or measurably accelerated it.</w:t>
      </w:r>
    </w:p>
    <w:p>
      <w:pPr>
        <w:spacing w:after="160" w:line="360"/>
        <w:jc w:val="both"/>
      </w:pPr>
      <w:r>
        <w:rPr>
          <w:rFonts w:ascii="Times New Roman" w:cs="Times New Roman" w:eastAsia="Times New Roman" w:hAnsi="Times New Roman"/>
          <w:b/>
          <w:bCs/>
          <w:i w:val="false"/>
          <w:iCs w:val="false"/>
          <w:sz w:val="22"/>
          <w:szCs w:val="22"/>
        </w:rPr>
        <w:t xml:space="preserve">Keywords:</w:t>
      </w:r>
      <w:r>
        <w:rPr>
          <w:rFonts w:ascii="Times New Roman" w:cs="Times New Roman" w:eastAsia="Times New Roman" w:hAnsi="Times New Roman"/>
          <w:b w:val="false"/>
          <w:bCs w:val="false"/>
          <w:i w:val="false"/>
          <w:iCs w:val="false"/>
          <w:sz w:val="22"/>
          <w:szCs w:val="22"/>
        </w:rPr>
        <w:t xml:space="preserve"> environmental justice; industrial geography; redlining; zoning; historical GIS; Denver</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Does hazardous industry find the poor, or do the poor find hazardous industry? The question has organised the environmental-justice literature since Been's (1994) challenge to the siting studies of the 1980s, and it has rarely been answered with evidence from the period when the answer was decided. Most studies measure exposure from inventories that begin in the 1980s — the Toxics Release Inventory, Superfund, RCRA — and composition from censuses after 1970, which places the observation window a century after the first smelters and tanneries were built in American cities and decades after the housing market had sorted people around them (Pastor, Sadd and Hipp 2001; Mohai and Saha 2015). Frickel and Elliott (2018) showed how much that window misses: in Portland, Philadelphia, Minneapolis and New Orleans the great majority of historical hazardous sites had closed before any inventory existed, most had been converted to other uses, and the inventories captured a small, recent and unrepresentative residue of the industrial land that still underlies the city. The historical origins of environmental inequality are, on this account, both the explanation of the present pattern and the part of it least often measured.</w:t>
      </w:r>
    </w:p>
    <w:p>
      <w:pPr>
        <w:spacing w:after="160" w:line="360"/>
        <w:jc w:val="both"/>
      </w:pPr>
      <w:r>
        <w:rPr>
          <w:rFonts w:ascii="Times New Roman" w:cs="Times New Roman" w:eastAsia="Times New Roman" w:hAnsi="Times New Roman"/>
          <w:b w:val="false"/>
          <w:bCs w:val="false"/>
          <w:i w:val="false"/>
          <w:iCs w:val="false"/>
          <w:sz w:val="24"/>
          <w:szCs w:val="24"/>
        </w:rPr>
        <w:t xml:space="preserve">This paper reconstructs those origins for one city over 140 years. Denver is a useful case because it is a late, planned and well-documented city: it had a state business directory listing every trade from 1871, a manufacturers' directory with industry codes from 1961, one of the earliest comprehensive zoning ordinances in the mountain West (1925), a HOLC residential security map (1938), and a public library that holds the city directories, the zone maps and the Sanborn fire-insurance atlases that let the inventory be placed on the historical street grid. It is also a city whose environmental-justice geography is well known in its present form — the Globeville, Elyria-Swansea and Sun Valley neighbourhoods along the South Platte and the rail yards are the usual exhibits — so that the question of how that geography formed can be asked against a known end-point.</w:t>
      </w:r>
    </w:p>
    <w:p>
      <w:pPr>
        <w:spacing w:after="160" w:line="360"/>
        <w:jc w:val="both"/>
      </w:pPr>
      <w:r>
        <w:rPr>
          <w:rFonts w:ascii="Times New Roman" w:cs="Times New Roman" w:eastAsia="Times New Roman" w:hAnsi="Times New Roman"/>
          <w:b w:val="false"/>
          <w:bCs w:val="false"/>
          <w:i w:val="false"/>
          <w:iCs w:val="false"/>
          <w:sz w:val="24"/>
          <w:szCs w:val="24"/>
        </w:rPr>
        <w:t xml:space="preserve">The argument runs in three steps, each with its own section of evidence. Section 3 uses the complete-count censuses of 1880–1940, aggregated to reconstructed enumeration districts, to describe who lived beside the hazardous trades in each decade before the instruments of the 1920s and 1930s existed. Section 4 brings in the 1925 zoning ordinance and the 1938 HOLC map and asks, in the design of Aaronson, Hartley and Mazumder (2021), whether the map created the pattern or recorded it, using the map's own boundaries as the comparison and controlling for rail and for what the city had already zoned. Section 4 ends with descriptive sequences on fixed geographies — which came first in each place, industry or its neighbours, and whether anything changed when the zoning or the map arrived. Section 5 carries the analysis onto census tracts from 1950 to 2020, where the group beside industry changes. Section 6 asks what became of the sites themselves, matching every one to the parcel that stands there today. Section 7 draws the steps together and sets out what the evidence can and cannot support.</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contribution is partly substantive and partly methodological. Substantively, the paper shows that a class and nativity gradient around hazardous industry in Denver predates zoning, covenants and redlining; that each of those instruments marked the same corridor; that the group most concentrated beside it after 1950 was Hispanic; and that the corridor persists in the parcel record. Methodologically, it demonstrates a reproducible chain — OCR of directory scans, geocoding to historical streets, district reconstruction from full-count microdata, texture classification of a hatched zoning map, and parcel matching — that can be run for any city with a directory series and a Sanborn atlas, and it sets out what such a chain needs in order not to overclaim: one definition of hazardous industry throughout, one study area, fixed-geography checks on every trend, and comparisons of firm density within one source rather than across a change of source. The code and the derived data are published (microdata and address files are not redistributed), and a companion web application shows every site, district, grade and parcel behind the tables.</w:t>
      </w:r>
    </w:p>
    <w:p>
      <w:pPr>
        <w:pStyle w:val="Heading1"/>
        <w:spacing w:after="160" w:before="360"/>
      </w:pPr>
      <w:r>
        <w:rPr>
          <w:rFonts w:ascii="Times New Roman" w:cs="Times New Roman" w:eastAsia="Times New Roman" w:hAnsi="Times New Roman"/>
          <w:b/>
          <w:bCs/>
          <w:color w:val="000000"/>
          <w:sz w:val="26"/>
          <w:szCs w:val="26"/>
        </w:rPr>
        <w:t xml:space="preserve">2. Data and methods</w:t>
      </w:r>
    </w:p>
    <w:p>
      <w:pPr>
        <w:spacing w:after="160" w:line="360"/>
        <w:jc w:val="both"/>
      </w:pPr>
      <w:r>
        <w:rPr>
          <w:rFonts w:ascii="Times New Roman" w:cs="Times New Roman" w:eastAsia="Times New Roman" w:hAnsi="Times New Roman"/>
          <w:b/>
          <w:bCs/>
          <w:i w:val="false"/>
          <w:iCs w:val="false"/>
          <w:sz w:val="24"/>
          <w:szCs w:val="24"/>
        </w:rPr>
        <w:t xml:space="preserve">Hazardous industry, 1871–1992.</w:t>
      </w:r>
      <w:r>
        <w:rPr>
          <w:rFonts w:ascii="Times New Roman" w:cs="Times New Roman" w:eastAsia="Times New Roman" w:hAnsi="Times New Roman"/>
          <w:b w:val="false"/>
          <w:bCs w:val="false"/>
          <w:i w:val="false"/>
          <w:iCs w:val="false"/>
          <w:sz w:val="24"/>
          <w:szCs w:val="24"/>
        </w:rPr>
        <w:t xml:space="preserve"> The inventory follows Frickel and Elliott (2018) in using city and state directories rather than regulatory lists as the primary record of where hazardous manufacturing stood, and uses their set of hazardous sectors throughout: the same sector definition selects the business-directory trades, the manufacturers and the firms counted in every model and map. Two series are used. The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 34 editions scanned by the Denver Public Library) lists every business by town and trade; the hazardous trades — smelting and refining, foundries and metal working, chemicals and paints, petroleum, tanneries, rendering, gas works, printing and plating — were extracted by OCR and keyword matching, and those with a street address (321 in Denver; the rest are placed at the town centre and excluded from every spatial analysis) were geocoded against the historical street grid. The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(Business Research Division, University of Colorado, 1961–2002) lists every manufacturer with its address and SIC code. Only the thirteen editions whose scans are complete (1965–68, 1970, 1973–74, 1977, 1980, 1983, 1988, 1990, 1992) are used anywhere in the paper; they yield 3,171 Colorado sites in the hazardous sectors after linking listings across editions within 30 m, 976 of them in the City and County of Denver. Twelve further editions survive only in part and are excluded. Thirty-four listings, almost all in the 1965 edition, had been placed by the geocoder's direction-loose pass on the unprefixed north-Denver street of a south-Denver address ("4000 S. Kalamath" on north Kalamath Street, in the industrial corridor); every Denver listing whose point lies on the wrong side of the street-grid baselines for its own direction was set to unlocated, removing 19 sites. "Firms of the decade" for a census year are the listings of the ten years ending at it. Business-directory editions are uneven (none survives for 1893–1909, and only 1910 for the decade ending in 1910), so the number of firms of the decade before 1940 reflects which editions exist as much as how many firms there were, and counts of firms are not compared across censuses; for 2000–2020 the last complete decade, 1983–92, is carried forward, so those years measure proximity to historically listed sites, not to active manufacturing.</w:t>
      </w:r>
    </w:p>
    <w:p>
      <w:pPr>
        <w:spacing w:after="160" w:line="360"/>
        <w:jc w:val="both"/>
      </w:pPr>
      <w:r>
        <w:rPr>
          <w:rFonts w:ascii="Times New Roman" w:cs="Times New Roman" w:eastAsia="Times New Roman" w:hAnsi="Times New Roman"/>
          <w:b/>
          <w:bCs/>
          <w:i w:val="false"/>
          <w:iCs w:val="false"/>
          <w:sz w:val="24"/>
          <w:szCs w:val="24"/>
        </w:rPr>
        <w:t xml:space="preserve">Benchmarks.</w:t>
      </w:r>
      <w:r>
        <w:rPr>
          <w:rFonts w:ascii="Times New Roman" w:cs="Times New Roman" w:eastAsia="Times New Roman" w:hAnsi="Times New Roman"/>
          <w:b w:val="false"/>
          <w:bCs w:val="false"/>
          <w:i w:val="false"/>
          <w:iCs w:val="false"/>
          <w:sz w:val="24"/>
          <w:szCs w:val="24"/>
        </w:rPr>
        <w:t xml:space="preserve"> The directories were compared with the public establishment counts. Against County Business Patterns (CBP), the complete editions list 0.61 (1992) to 1.16 (1980) as many Colorado hazardous-sector establishments as CBP counts (1977 0.77, 1983 1.07, 1988 0.98, 1990 0.99); the partial editions list 0.39–0.87. Across counties, the log directory count and the log CBP count correlate at 0.85 for all manufacturing and 0.88 for the hazardous sectors (15 editions, 63 counties; Denver's ratio is 0.77). CBP counts every employer establishment and has no addresses, so the ratios are coverage rates and CBP cannot replace the directory for siting. For 1880–1940 the business directory's hazardous trades are compared with the census of manufactures' county establishment counts (NHGIS); because the directory lists only hazardous trades, the ratio is a floor on its coverage.</w:t>
      </w:r>
    </w:p>
    <w:p>
      <w:pPr>
        <w:spacing w:after="160" w:line="360"/>
        <w:jc w:val="both"/>
      </w:pPr>
      <w:r>
        <w:rPr>
          <w:rFonts w:ascii="Times New Roman" w:cs="Times New Roman" w:eastAsia="Times New Roman" w:hAnsi="Times New Roman"/>
          <w:b/>
          <w:bCs/>
          <w:i w:val="false"/>
          <w:iCs w:val="false"/>
          <w:sz w:val="24"/>
          <w:szCs w:val="24"/>
        </w:rPr>
        <w:t xml:space="preserve">Archival check.</w:t>
      </w:r>
      <w:r>
        <w:rPr>
          <w:rFonts w:ascii="Times New Roman" w:cs="Times New Roman" w:eastAsia="Times New Roman" w:hAnsi="Times New Roman"/>
          <w:b w:val="false"/>
          <w:bCs w:val="false"/>
          <w:i w:val="false"/>
          <w:iCs w:val="false"/>
          <w:sz w:val="24"/>
          <w:szCs w:val="24"/>
        </w:rPr>
        <w:t xml:space="preserve"> For twenty street-located trades listed in 1891–92 with exact addresses, the 1890 Sanborn sheets (Library of Congress) were read lot by lot. On five the sheet shows the trade at the geocoded lot (foundries on Blake and Delgany, the Colorado Lead Works, a tin shop on Stout); on five it shows a related use on the lot or immediately adjoining; on six it shows something else (a laundry, offices, a stable, a warehouse, a vacant lot); four are inconclusive (excavations or a lumber yard). Ten of the sixteen conclusive cases therefore place industrial work at or beside the geocode. The mismatches are what one would expect from directory addresses that name an office or a residence, and from a sheet surveyed a year or two before the listing; they are a reason to read the street-level results as neighbourhood-scale rather than lot-scale.</w:t>
      </w:r>
    </w:p>
    <w:p>
      <w:pPr>
        <w:spacing w:after="160" w:line="360"/>
        <w:jc w:val="both"/>
      </w:pPr>
      <w:r>
        <w:rPr>
          <w:rFonts w:ascii="Times New Roman" w:cs="Times New Roman" w:eastAsia="Times New Roman" w:hAnsi="Times New Roman"/>
          <w:b/>
          <w:bCs/>
          <w:i w:val="false"/>
          <w:iCs w:val="false"/>
          <w:sz w:val="24"/>
          <w:szCs w:val="24"/>
        </w:rPr>
        <w:t xml:space="preserve">Population, 1880–1940.</w:t>
      </w:r>
      <w:r>
        <w:rPr>
          <w:rFonts w:ascii="Times New Roman" w:cs="Times New Roman" w:eastAsia="Times New Roman" w:hAnsi="Times New Roman"/>
          <w:b w:val="false"/>
          <w:bCs w:val="false"/>
          <w:i w:val="false"/>
          <w:iCs w:val="false"/>
          <w:sz w:val="24"/>
          <w:szCs w:val="24"/>
        </w:rPr>
        <w:t xml:space="preserve"> The complete-count censuses (Ruggles et al., IPUMS USA) give every person's enumeration district (ED) but no address, and no public source maps the EDs of 1900–1940. They were reconstructed by placing the household heads that IPUMS can match to street addresses on the historical street grid and tessellating the city so that each ED's polygon contains its matched households (73% of the 1900 population is placed at street level); 1880 uses the Urban Transition Historical GIS of Brown University, which geocoded that census to buildings, rebuilt the same way so that all six censuses are constructed alike. The EDs are those of Denver itself (Arapahoe County before 1902, the City and County of Denver after), and the mapped populations reproduce the county totals (for example 316,385 of 322,780 in 1940). The resulting districts (17 in 1880, 128–325 in 1900–1940) carry race, Hispanic origin, nativity, occupation (laborers; Duncan's SEI), tenure, rent and household structure. A measure is left missing in a census that did not ask the question rather than set to zero (ownership in 1880; SEI in the 1900 extract; rent and residence five years earlier only in 1940). Hispanic origin before 1980 is the IPUMS HISPAN variable, which IPUMS infers from birthplace, parents' birthplace and Spanish surname; it is not a self-identification and is not the same measure as the tract Hispanic counts of 1960 onwards, so the two series are compared in direction, not level. "Boarders and lodgers" are household members unrelated to the head (IPUMS RELATE 12–13). Only aggregates leave the project.</w:t>
      </w:r>
    </w:p>
    <w:p>
      <w:pPr>
        <w:spacing w:after="160" w:line="360"/>
        <w:jc w:val="both"/>
      </w:pPr>
      <w:r>
        <w:rPr>
          <w:rFonts w:ascii="Times New Roman" w:cs="Times New Roman" w:eastAsia="Times New Roman" w:hAnsi="Times New Roman"/>
          <w:b/>
          <w:bCs/>
          <w:i w:val="false"/>
          <w:iCs w:val="false"/>
          <w:sz w:val="24"/>
          <w:szCs w:val="24"/>
        </w:rPr>
        <w:t xml:space="preserve">Population, 1950–2020.</w:t>
      </w:r>
      <w:r>
        <w:rPr>
          <w:rFonts w:ascii="Times New Roman" w:cs="Times New Roman" w:eastAsia="Times New Roman" w:hAnsi="Times New Roman"/>
          <w:b w:val="false"/>
          <w:bCs w:val="false"/>
          <w:i w:val="false"/>
          <w:iCs w:val="false"/>
          <w:sz w:val="24"/>
          <w:szCs w:val="24"/>
        </w:rPr>
        <w:t xml:space="preserve"> The study area for every tract analysis is one fixed set: the 147 census tracts (2010 boundaries) whose centroid lies within 10 km of downtown Denver. For 1990–2020 population, race and Hispanic origin come from the NHGIS standardised time series, already on 2010 tracts. Every other census and measure is moved from that census's own tracts to 2010 tracts by area weighting: counts are interpolated first and shares computed afterwards, with each share's denominator (persons, households, persons for whom poverty status is determined, and so on) interpolated from the same table as its numerator; medians are averaged with weights of occupied units times overlap area. Dollar measures are in 2020 prices; rent is gross rent from 1960 and contract rent for 1940–50. Tracts with fewer than 200 residents are dropped from every measure. Hispanic origin is first reported on tracts in 1960 (Spanish surname or language), so the tract panel has no Hispanic measure for 1940–50; the 1940 HOLC tract value used in Section 4 alone is filled from the 1940 districts and is labelled so. The 1940 tract tables report nonwhite rather than Black, and the 1940 tract "Black" figures in Section 4 are nonwhite shares.</w:t>
      </w:r>
    </w:p>
    <w:p>
      <w:pPr>
        <w:spacing w:after="160" w:line="360"/>
        <w:jc w:val="both"/>
      </w:pPr>
      <w:r>
        <w:rPr>
          <w:rFonts w:ascii="Times New Roman" w:cs="Times New Roman" w:eastAsia="Times New Roman" w:hAnsi="Times New Roman"/>
          <w:b w:val="false"/>
          <w:bCs w:val="false"/>
          <w:i w:val="false"/>
          <w:iCs w:val="false"/>
          <w:sz w:val="24"/>
          <w:szCs w:val="24"/>
        </w:rPr>
        <w:t xml:space="preserve">Not every one of the 147 tracts was tracted in every census: 97 had a population of 200 or more on 1950 tracts, 144 in 1960 and 145–147 from 1970. A trend computed over "all tracts" in each year therefore compares partly different places, and every tract result is repeated on the fixed sets of tracts observed from 1950 (95 tracts), 1960 (142) and 1970 (144).</w:t>
      </w:r>
    </w:p>
    <w:p>
      <w:pPr>
        <w:spacing w:after="160" w:line="360"/>
        <w:jc w:val="both"/>
      </w:pPr>
      <w:r>
        <w:rPr>
          <w:rFonts w:ascii="Times New Roman" w:cs="Times New Roman" w:eastAsia="Times New Roman" w:hAnsi="Times New Roman"/>
          <w:b/>
          <w:bCs/>
          <w:i w:val="false"/>
          <w:iCs w:val="false"/>
          <w:sz w:val="24"/>
          <w:szCs w:val="24"/>
        </w:rPr>
        <w:t xml:space="preserve">Instruments.</w:t>
      </w:r>
      <w:r>
        <w:rPr>
          <w:rFonts w:ascii="Times New Roman" w:cs="Times New Roman" w:eastAsia="Times New Roman" w:hAnsi="Times New Roman"/>
          <w:b w:val="false"/>
          <w:bCs w:val="false"/>
          <w:i w:val="false"/>
          <w:iCs w:val="false"/>
          <w:sz w:val="24"/>
          <w:szCs w:val="24"/>
        </w:rPr>
        <w:t xml:space="preserve"> The 1938 HOLC residential security map and area descriptions are from Mapping Inequality (Nelson, Winling et al.); 730 racially restrictive deeds of 1931–35 from the Denver Public Library's Mapping Prejudice pilot. The 1925 zoning ordinance is taken from the official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(Denver Public Library, CG4314 .D4 G44 1929), a monochrome hatched map: a texture classifier labelled 32-pixel cells of the scan as Industrial A, Industrial B or Commercial by hatch orientation and density, and the result was georeferenced from 13 of 16 candidate control points (street intersections and park corners) resolved to TIGER road intersections (affine fit in UTM 13N, RMSE 25 m). Residence E and Industrial A share a hatch and are separated only by the absence of lot lines, the classification's main uncertainty. The map sheet does not cover the whole of the 1938 graded area; zoning shares are computed only for land on the sheet, and units less than half on it are left missing. The library's other edition, the same map revised to April 1944, was registered to the 1929 scan by a ten-point affine fit and compared with it cell by cell. One texture classifier trained on the 1929 labels was applied to both scans; every cluster of disagreement of about a city block or more (118 of 226 clusters) was inspected on side-by-side crops of the two scans, and only districts visibly redrawn were accepted (8 areas). Most disagreements came from the darker 1944 print rather than from redrawn districts; changes smaller than a block, and amendments coloured by hand on the 1944 copy, are not included. Today's land use is the City and County of Denver assessor parcel layer (property class, current zone district, dwelling units, year built), matched to the nearest parcel within 40 m of each site (median 10 m). Regulatory status is from EPA FRS, TRI, SEMS and RCRA and Colorado's VCUP and environmental-covenant registers, matched by location (40–75 m), address or name; "no match" means no record in those searched inventories, not an absence of contamination or of assessment.</w:t>
      </w:r>
    </w:p>
    <w:p>
      <w:pPr>
        <w:spacing w:after="160" w:line="360"/>
        <w:jc w:val="both"/>
      </w:pPr>
      <w:r>
        <w:rPr>
          <w:rFonts w:ascii="Times New Roman" w:cs="Times New Roman" w:eastAsia="Times New Roman" w:hAnsi="Times New Roman"/>
          <w:b/>
          <w:bCs/>
          <w:i w:val="false"/>
          <w:iCs w:val="false"/>
          <w:sz w:val="24"/>
          <w:szCs w:val="24"/>
        </w:rPr>
        <w:t xml:space="preserve">Designs.</w:t>
      </w:r>
      <w:r>
        <w:rPr>
          <w:rFonts w:ascii="Times New Roman" w:cs="Times New Roman" w:eastAsia="Times New Roman" w:hAnsi="Times New Roman"/>
          <w:b w:val="false"/>
          <w:bCs w:val="false"/>
          <w:i w:val="false"/>
          <w:iCs w:val="false"/>
          <w:sz w:val="24"/>
          <w:szCs w:val="24"/>
        </w:rPr>
        <w:t xml:space="preserve"> Section 3 regresses each district measure on the log distance from the district centroid to the nearest hazardous firm of the decade, weighted by population with HC1 errors, census by census and pooled with census effects, and repeats each model with the log distance to downtown as a control, because both industry and the poorest housing were central. Segregation is measured on each census's own districts and, because the number and size of districts change, also on a fixed 500 m grid onto which each census is area-weighted. Section 4 follows Aaronson, Hartley and Mazumder (2021): for each pair of adjacent HOLC grades, units within 400 m (districts) or 800 m (tracts) of both grades are compared across the boundary, with rail distance and 1929 industrial zoning as controls; and follows Xu (2022) in regressing the change in each tract outcome on the tract's dominant 1938 class (A reference; Industrial and Commercial ungraded zones included), with the starting value, 1940 nonwhite share and 1931–40 firms controlled; the A class has only four tracts and B six, so every class contrast rests on few reference tracts. Firm densities by grade are compared per directory edition and within each source, never across the change of source in 1957–65. Whether the D–C gap trended is tested within one unit type at a time (districts 1900–40; tracts 1940–70 and 1970–2020). Section 4 then tabulates, without models, sequences on fixed geographies: a 500 m grid over the area mapped in every census 1900–1940 (309 cells, each assigned its future 1938 class and its 1929 zoning) and the 142 study tracts observed in every census from 1960, with location quotients (a group's share in a set of places divided by its share in the whole area) and comparisons of places before and after a first hazardous firm arrived. Section 5 repeats the Section 3 design on tracts and estimates a hybrid within/between panel (Marlow, Frickel and Elliott 2020) for 1970–1990, the only censuses with active complete-edition firms, with tract-clustered errors and a between-tract spatial-error model; 2000–2020 are analysed as cross-sections around the 1983–92 sites, and a reverse model asks whether composition at one census predicts the change in a tract's number of hazardous establishments by the next. Section 6 tabulates current parcel use by series and by the decade of last listing. Standard errors are HC1 in the main tables; Section 4 reports the boundary and change estimates again with Conley (2 km) spatially robust errors, narrower and wider boundary bands, and a strict version of the zoning layer.</w:t>
      </w:r>
    </w:p>
    <w:p>
      <w:pPr>
        <w:pStyle w:val="Heading1"/>
        <w:spacing w:after="160" w:before="360"/>
      </w:pPr>
      <w:r>
        <w:rPr>
          <w:rFonts w:ascii="Times New Roman" w:cs="Times New Roman" w:eastAsia="Times New Roman" w:hAnsi="Times New Roman"/>
          <w:b/>
          <w:bCs/>
          <w:color w:val="000000"/>
          <w:sz w:val="26"/>
          <w:szCs w:val="26"/>
        </w:rPr>
        <w:t xml:space="preserve">3. Who lived next to industry,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In every census from 1880 to 1940 the Denver districts with a smelter, foundry, tannery or other hazardous trade held more foreign-born and labouring residents, more boarders and lodgers and fewer owners than the rest of the city. The Black and Hispanic patterns are less uniform. Districts with a firm were more Black in 1880, 1900 and 1940 but not in 1910, 1920 or 1930, and more Hispanic from 1920. Some of what looks like proximity to industry is proximity to downtown, where both industry and the poorest housing stood. The cross-sections describe who lived where; they cannot by themselves say whether people followed industry or industry followed people.</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Each census 1880–1940 is reconstructed at the enumeration district (17 EDs in 1880, 128 in 1900, 158 in 1910, 309 in 1920, 228 in 1930, 325 in 1940). Hazardous trades are the street-level listings of the business directory in the Frickel &amp; Elliott hazardous sectors; a decade's firms are those listed in the ten years ending at the census (60, 21, 5, 103, 21 and 43 firms), and 12, 12, 4, 40, 17 and 27 districts contain one. The small number of firm districts in 1910 (4) and 1930 (17) makes those comparisons fragile.</w:t>
      </w:r>
    </w:p>
    <w:p>
      <w:pPr>
        <w:spacing w:after="160" w:line="360"/>
        <w:jc w:val="both"/>
      </w:pPr>
      <w:r>
        <w:rPr>
          <w:rFonts w:ascii="Times New Roman" w:cs="Times New Roman" w:eastAsia="Times New Roman" w:hAnsi="Times New Roman"/>
          <w:b/>
          <w:bCs/>
          <w:i w:val="false"/>
          <w:iCs w:val="false"/>
          <w:sz w:val="24"/>
          <w:szCs w:val="24"/>
        </w:rPr>
        <w:t xml:space="preserve">Composition of districts with and without a hazardous firm</w:t>
      </w:r>
      <w:r>
        <w:rPr>
          <w:rFonts w:ascii="Times New Roman" w:cs="Times New Roman" w:eastAsia="Times New Roman" w:hAnsi="Times New Roman"/>
          <w:b w:val="false"/>
          <w:bCs w:val="false"/>
          <w:i w:val="false"/>
          <w:iCs w:val="false"/>
          <w:sz w:val="24"/>
          <w:szCs w:val="24"/>
        </w:rPr>
        <w:t xml:space="preserve"> (population-weighted %).</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 Composition of Denver enumeration districts with and without a hazardous-trade firm, 1880–1940 (population-weighted %)</w:t>
      </w:r>
    </w:p>
    <w:tbl>
      <w:tblPr>
        <w:tblW w:type="dxa" w:w="13680"/>
        <w:tblBorders>
          <w:top w:val="single" w:sz="6"/>
          <w:left w:val="none"/>
          <w:bottom w:val="single" w:sz="6"/>
          <w:right w:val="none"/>
          <w:insideH w:val="single" w:color="BBBBBB" w:sz="2"/>
          <w:insideV w:val="none"/>
        </w:tblBorders>
      </w:tblPr>
      <w:tblGrid>
        <w:gridCol w:w="3010"/>
        <w:gridCol w:w="1185"/>
        <w:gridCol w:w="1185"/>
        <w:gridCol w:w="1185"/>
        <w:gridCol w:w="1185"/>
        <w:gridCol w:w="1185"/>
        <w:gridCol w:w="1185"/>
        <w:gridCol w:w="1185"/>
        <w:gridCol w:w="1185"/>
        <w:gridCol w:w="119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group</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EDs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population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Black</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foreign born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Hispanic</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laborers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owner households</w:t>
            </w:r>
          </w:p>
        </w:tc>
        <w:tc>
          <w:tcPr>
            <w:tcW w:type="dxa" w:w="119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boarders and lodgers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24,993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11,377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13.3</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122,101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30.5</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207,130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57,242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200,075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21,098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263,725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46.8</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30,990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285,395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Mean SEI (Duncan socioeconomic index of employed adults) was 29–31 in firm districts in every census with the measure, against 34–39 elsewhere; the median monthly rent in 1940 was $17 in firm districts and $52 elsewhere.</w:t>
      </w:r>
    </w:p>
    <w:p>
      <w:pPr>
        <w:spacing w:after="160" w:line="360"/>
        <w:jc w:val="both"/>
      </w:pPr>
      <w:r>
        <w:rPr>
          <w:rFonts w:ascii="Times New Roman" w:cs="Times New Roman" w:eastAsia="Times New Roman" w:hAnsi="Times New Roman"/>
          <w:b/>
          <w:bCs/>
          <w:i w:val="false"/>
          <w:iCs w:val="false"/>
          <w:sz w:val="24"/>
          <w:szCs w:val="24"/>
        </w:rPr>
        <w:t xml:space="preserve">Distance gradients.</w:t>
      </w:r>
      <w:r>
        <w:rPr>
          <w:rFonts w:ascii="Times New Roman" w:cs="Times New Roman" w:eastAsia="Times New Roman" w:hAnsi="Times New Roman"/>
          <w:b w:val="false"/>
          <w:bCs w:val="false"/>
          <w:i w:val="false"/>
          <w:iCs w:val="false"/>
          <w:sz w:val="24"/>
          <w:szCs w:val="24"/>
        </w:rPr>
        <w:t xml:space="preserve"> The table gives the change in each measure per log-metre of distance from the nearest hazardous firm, so a positive coefficient means the measure rises away from industry. The last column adds the log distance to downtown as a control.</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2. Distance gradients: change in each district measure per log metre of distance from the nearest hazardous firm, 1880–1940, with the pooled estimate controlling for distance to downtown</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 (percentage points per log 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1880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 downtown controlled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+9.21***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boarders and lodgers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 (workers)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HC1 errors. EDs per census as above. Measures the census did not ask are missing, not zero, so the pooled models for ownership, SEI and the industry of workers omit 1880 or 1900. Ownership shares are weighted by district population, not households.</w:t>
      </w:r>
    </w:p>
    <w:p>
      <w:pPr>
        <w:spacing w:after="160" w:line="360"/>
        <w:jc w:val="both"/>
      </w:pPr>
      <w:r>
        <w:rPr>
          <w:rFonts w:ascii="Times New Roman" w:cs="Times New Roman" w:eastAsia="Times New Roman" w:hAnsi="Times New Roman"/>
          <w:b w:val="false"/>
          <w:bCs w:val="false"/>
          <w:i w:val="false"/>
          <w:iCs w:val="false"/>
          <w:sz w:val="24"/>
          <w:szCs w:val="24"/>
        </w:rPr>
        <w:t xml:space="preserve">Three readings follow, each narrower than a simple story of industry and race.</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Class and nativity.</w:t>
      </w:r>
      <w:r>
        <w:rPr>
          <w:rFonts w:ascii="Times New Roman" w:cs="Times New Roman" w:eastAsia="Times New Roman" w:hAnsi="Times New Roman"/>
          <w:b w:val="false"/>
          <w:bCs w:val="false"/>
          <w:i w:val="false"/>
          <w:iCs w:val="false"/>
          <w:sz w:val="24"/>
          <w:szCs w:val="24"/>
        </w:rPr>
        <w:t xml:space="preserve"> The laborer, ownership, SEI and foreign-born gradients are present in nearly every census and survive the downtown control, although the ownership and lodging gradients shrink by half or more once centrality is held constant. This is the most secure pre-zoning pattern in the data: Denver's hazardous trades stood among the city's poorer, rented and immigrant housing well before 1925.</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Race and ethnicity.</w:t>
      </w:r>
      <w:r>
        <w:rPr>
          <w:rFonts w:ascii="Times New Roman" w:cs="Times New Roman" w:eastAsia="Times New Roman" w:hAnsi="Times New Roman"/>
          <w:b w:val="false"/>
          <w:bCs w:val="false"/>
          <w:i w:val="false"/>
          <w:iCs w:val="false"/>
          <w:sz w:val="24"/>
          <w:szCs w:val="24"/>
        </w:rPr>
        <w:t xml:space="preserve"> The Black gradient is negative in all six censuses and significant in five, and it strengthens with the downtown control (−1.48 pooled). Black Denverites were a small population, about 2.4–2.8% of the city in every census, so the gradient rests on few districts and the with/without comparison flips with them (Black shares were lower in firm districts in 1910 and 1930). The Hispanic gradient, by contrast, is a downtown gradient: it appears from 1920, steepens to −2.40 in 1940, and falls to −0.13 to −0.17 and loses significance once distance to downtown is controlled. Before 1940 Hispanic Denver was concentrated in the central districts, which were also the industrial ones; the analysis cannot distinguish proximity to the plants from proximity to the centre for this group.</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Workers.</w:t>
      </w:r>
      <w:r>
        <w:rPr>
          <w:rFonts w:ascii="Times New Roman" w:cs="Times New Roman" w:eastAsia="Times New Roman" w:hAnsi="Times New Roman"/>
          <w:b w:val="false"/>
          <w:bCs w:val="false"/>
          <w:i w:val="false"/>
          <w:iCs w:val="false"/>
          <w:sz w:val="24"/>
          <w:szCs w:val="24"/>
        </w:rPr>
        <w:t xml:space="preserve"> Without the downtown control the share of a district's workers employed in the hazardous industries does not vary with distance from the plants; with it, those workers lived closer to them (−0.77 per log m). The census gives industry of employment, not workplace, so this is consistent with, but does not prove, workers living near their plants once the pull of the centre is set aside. An earlier draft of this paper read the uncontrolled estimate as evidence against a workers'-housing account; the controlled estimate does not support that reading.</w:t>
      </w:r>
    </w:p>
    <w:p>
      <w:pPr>
        <w:spacing w:after="160" w:line="360"/>
        <w:jc w:val="both"/>
      </w:pPr>
      <w:r>
        <w:rPr>
          <w:rFonts w:ascii="Times New Roman" w:cs="Times New Roman" w:eastAsia="Times New Roman" w:hAnsi="Times New Roman"/>
          <w:b/>
          <w:bCs/>
          <w:i w:val="false"/>
          <w:iCs w:val="false"/>
          <w:sz w:val="24"/>
          <w:szCs w:val="24"/>
        </w:rPr>
        <w:t xml:space="preserve">Segregation.</w:t>
      </w:r>
      <w:r>
        <w:rPr>
          <w:rFonts w:ascii="Times New Roman" w:cs="Times New Roman" w:eastAsia="Times New Roman" w:hAnsi="Times New Roman"/>
          <w:b w:val="false"/>
          <w:bCs w:val="false"/>
          <w:i w:val="false"/>
          <w:iCs w:val="false"/>
          <w:sz w:val="24"/>
          <w:szCs w:val="24"/>
        </w:rPr>
        <w:t xml:space="preserve"> The Black–nonblack dissimilarity index across districts rose from 0.41 in 1880 to 0.82 in 1940, but the districts became smaller and more numerous over the period (17 to 325), and dissimilarity rises mechanically as units shrink. On a fixed 500 m grid the rise is smaller and still clear.</w:t>
      </w:r>
    </w:p>
    <w:p>
      <w:pPr>
        <w:spacing w:after="80" w:before="240"/>
      </w:pPr>
      <w:r>
        <w:rPr>
          <w:rFonts w:ascii="Times New Roman" w:cs="Times New Roman" w:eastAsia="Times New Roman" w:hAnsi="Times New Roman"/>
          <w:b/>
          <w:bCs/>
          <w:sz w:val="20"/>
          <w:szCs w:val="20"/>
        </w:rPr>
        <w:t xml:space="preserve">Table 3. Black–nonblack dissimilarity, 1880–1940, on each census's districts and on fixed 500 m grids</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census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dissimilarity on that census's 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1880 city (53 cells)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1900 city (309 cells)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1880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0.80</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Segregation of Black from other residents roughly doubled on the same land between 1880 and 1940, with the steepest rise in 1920–30, before the HOLC map and in the years of the city's first zoning and its covenant campaign.</w:t>
      </w:r>
    </w:p>
    <w:p>
      <w:pPr>
        <w:pStyle w:val="Heading1"/>
        <w:spacing w:after="160" w:before="360"/>
      </w:pPr>
      <w:r>
        <w:rPr>
          <w:rFonts w:ascii="Times New Roman" w:cs="Times New Roman" w:eastAsia="Times New Roman" w:hAnsi="Times New Roman"/>
          <w:b/>
          <w:bCs/>
          <w:color w:val="000000"/>
          <w:sz w:val="26"/>
          <w:szCs w:val="26"/>
        </w:rPr>
        <w:t xml:space="preserve">4. The pre-trend: before and after the map</w:t>
      </w:r>
    </w:p>
    <w:p>
      <w:pPr>
        <w:spacing w:after="160" w:line="360"/>
        <w:jc w:val="both"/>
      </w:pPr>
      <w:r>
        <w:rPr>
          <w:rFonts w:ascii="Times New Roman" w:cs="Times New Roman" w:eastAsia="Times New Roman" w:hAnsi="Times New Roman"/>
          <w:b w:val="false"/>
          <w:bCs w:val="false"/>
          <w:i w:val="false"/>
          <w:iCs w:val="false"/>
          <w:sz w:val="24"/>
          <w:szCs w:val="24"/>
        </w:rPr>
        <w:t xml:space="preserve">The 1938 HOLC map of Denver recorded an industrial geography that was already forty years old. The land graded D had held more hazardous trades per square kilometre than C land since the first decade of the century, and the 1925 ordinance had zoned it industrial sixteen times as often. A Black gap at the D–C boundaries opened in the 1920s and 1930s, before the map, but it is imprecisely estimated. After the map, hazardous manufacturing continued to concentrate in D and ungraded industrial land, and the D tracts gained Hispanic residents and lost value relative to A tracts. The analysis cannot isolate the contribution of the HOLC grading itself from zoning, FHA practice, rail and the post-war land market. The design follows Aaronson, Hartley and Mazumder (2021) and Faber (2020) in asking whether the map </w:t>
      </w:r>
      <w:r>
        <w:rPr>
          <w:rFonts w:ascii="Times New Roman" w:cs="Times New Roman" w:eastAsia="Times New Roman" w:hAnsi="Times New Roman"/>
          <w:b w:val="false"/>
          <w:bCs w:val="false"/>
          <w:i/>
          <w:iCs/>
          <w:sz w:val="24"/>
          <w:szCs w:val="24"/>
        </w:rPr>
        <w:t xml:space="preserve">created</w:t>
      </w:r>
      <w:r>
        <w:rPr>
          <w:rFonts w:ascii="Times New Roman" w:cs="Times New Roman" w:eastAsia="Times New Roman" w:hAnsi="Times New Roman"/>
          <w:b w:val="false"/>
          <w:bCs w:val="false"/>
          <w:i w:val="false"/>
          <w:iCs w:val="false"/>
          <w:sz w:val="24"/>
          <w:szCs w:val="24"/>
        </w:rPr>
        <w:t xml:space="preserve"> or </w:t>
      </w:r>
      <w:r>
        <w:rPr>
          <w:rFonts w:ascii="Times New Roman" w:cs="Times New Roman" w:eastAsia="Times New Roman" w:hAnsi="Times New Roman"/>
          <w:b w:val="false"/>
          <w:bCs w:val="false"/>
          <w:i/>
          <w:iCs/>
          <w:sz w:val="24"/>
          <w:szCs w:val="24"/>
        </w:rPr>
        <w:t xml:space="preserve">reinforced</w:t>
      </w:r>
      <w:r>
        <w:rPr>
          <w:rFonts w:ascii="Times New Roman" w:cs="Times New Roman" w:eastAsia="Times New Roman" w:hAnsi="Times New Roman"/>
          <w:b w:val="false"/>
          <w:bCs w:val="false"/>
          <w:i w:val="false"/>
          <w:iCs w:val="false"/>
          <w:sz w:val="24"/>
          <w:szCs w:val="24"/>
        </w:rPr>
        <w:t xml:space="preserve"> the pattern, and Fishback et al. (2024) in treating the appraisers as describing more than deciding.</w:t>
      </w:r>
    </w:p>
    <w:p>
      <w:pPr>
        <w:spacing w:after="160" w:line="360"/>
        <w:jc w:val="both"/>
      </w:pPr>
      <w:r>
        <w:rPr>
          <w:rFonts w:ascii="Times New Roman" w:cs="Times New Roman" w:eastAsia="Times New Roman" w:hAnsi="Times New Roman"/>
          <w:b/>
          <w:bCs/>
          <w:i w:val="false"/>
          <w:iCs w:val="false"/>
          <w:sz w:val="24"/>
          <w:szCs w:val="24"/>
        </w:rPr>
        <w:t xml:space="preserve">Industry by grade, before and after 1938.</w:t>
      </w:r>
      <w:r>
        <w:rPr>
          <w:rFonts w:ascii="Times New Roman" w:cs="Times New Roman" w:eastAsia="Times New Roman" w:hAnsi="Times New Roman"/>
          <w:b w:val="false"/>
          <w:bCs w:val="false"/>
          <w:i w:val="false"/>
          <w:iCs w:val="false"/>
          <w:sz w:val="24"/>
          <w:szCs w:val="24"/>
        </w:rPr>
        <w:t xml:space="preserve"> Of the 145 street-level hazardous trades listed before the map within the graded and ungraded HOLC areas, none stood in an A or B area; 11 stood in C (in 6 of 20 areas), 21 in D (in 7 of 16), and the remaining 113 in the zones the appraisers left ungraded as Industrial (20) or Commercial (93, mostly the downtown and Larimer Street fringe). The appraisers' remarks mention industry in 8 of the 16 D descriptions and 5 of the 20 C descriptions. Of the 682 hazardous-sector manufacturers of the complete 1965–1992 editions located in these areas, 48.7% were in D areas, which hold 26.0% of the land, and a further 22.6% in the ungraded Industrial areas (12.1% of the land).</w:t>
      </w:r>
    </w:p>
    <w:p>
      <w:pPr>
        <w:spacing w:after="160" w:line="360"/>
        <w:jc w:val="both"/>
      </w:pPr>
      <w:r>
        <w:rPr>
          <w:rFonts w:ascii="Times New Roman" w:cs="Times New Roman" w:eastAsia="Times New Roman" w:hAnsi="Times New Roman"/>
          <w:b/>
          <w:bCs/>
          <w:i w:val="false"/>
          <w:iCs w:val="false"/>
          <w:sz w:val="24"/>
          <w:szCs w:val="24"/>
        </w:rPr>
        <w:t xml:space="preserve">Hazardous firms per km² per directory edition, by grade.</w:t>
      </w:r>
      <w:r>
        <w:rPr>
          <w:rFonts w:ascii="Times New Roman" w:cs="Times New Roman" w:eastAsia="Times New Roman" w:hAnsi="Times New Roman"/>
          <w:b w:val="false"/>
          <w:bCs w:val="false"/>
          <w:i w:val="false"/>
          <w:iCs w:val="false"/>
          <w:sz w:val="24"/>
          <w:szCs w:val="24"/>
        </w:rPr>
        <w:t xml:space="preserve"> The two sources differ in what they list, so each period's density is per edition and the defensible comparison is within a row.</w:t>
      </w:r>
    </w:p>
    <w:p>
      <w:pPr>
        <w:spacing w:after="80" w:before="240"/>
      </w:pPr>
      <w:r>
        <w:rPr>
          <w:rFonts w:ascii="Times New Roman" w:cs="Times New Roman" w:eastAsia="Times New Roman" w:hAnsi="Times New Roman"/>
          <w:b/>
          <w:bCs/>
          <w:sz w:val="20"/>
          <w:szCs w:val="20"/>
        </w:rPr>
        <w:t xml:space="preserve">Table 4. Hazardous firms per km² per directory edition, by HOLC grade and source</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period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source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editions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A</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D/C</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1891–1905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1906–1920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1921–1937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1938–1956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1965–1980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0.149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1981–1992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Within the business directory the D/C ratio was 6.4 before 1920, 1.7 in 1921–37 and 2.1 after the map: there is no sign that hazardous trades moved toward D land faster after 1938 than before. Within the manufacturers' directory D held 14–17 times the C density per edition. The jump between the two sources is mostly a difference in what they list (one listing per firm per edition, small trades before 1957; every manufacturer in the hazardous sectors after 1965) and cannot be read as a post-map acceleration.</w:t>
      </w:r>
    </w:p>
    <w:p>
      <w:pPr>
        <w:spacing w:after="160" w:line="360"/>
        <w:jc w:val="both"/>
      </w:pPr>
      <w:r>
        <w:rPr>
          <w:rFonts w:ascii="Times New Roman" w:cs="Times New Roman" w:eastAsia="Times New Roman" w:hAnsi="Times New Roman"/>
          <w:b w:val="false"/>
          <w:bCs w:val="false"/>
          <w:i w:val="false"/>
          <w:iCs w:val="false"/>
          <w:sz w:val="24"/>
          <w:szCs w:val="24"/>
        </w:rPr>
        <w:t xml:space="preserve">Covenants were recorded in every grade (40 deeds in A areas, 26 in B, 144 in C and 216 in D; 440 of the 730 name Black residents, 27 also bar manufacturing). Within D, the 11 districts with a covenant held 1.1% Black residents in 1930 against 8.9% in the 51 without, consistent with covenants guarding white blocks within and beside the D areas.</w:t>
      </w:r>
    </w:p>
    <w:p>
      <w:pPr>
        <w:spacing w:after="160" w:line="360"/>
        <w:jc w:val="both"/>
      </w:pPr>
      <w:r>
        <w:rPr>
          <w:rFonts w:ascii="Times New Roman" w:cs="Times New Roman" w:eastAsia="Times New Roman" w:hAnsi="Times New Roman"/>
          <w:b/>
          <w:bCs/>
          <w:i w:val="false"/>
          <w:iCs w:val="false"/>
          <w:sz w:val="24"/>
          <w:szCs w:val="24"/>
        </w:rPr>
        <w:t xml:space="preserve">The 1925 zoning ordinance.</w:t>
      </w:r>
      <w:r>
        <w:rPr>
          <w:rFonts w:ascii="Times New Roman" w:cs="Times New Roman" w:eastAsia="Times New Roman" w:hAnsi="Times New Roman"/>
          <w:b w:val="false"/>
          <w:bCs w:val="false"/>
          <w:i w:val="false"/>
          <w:iCs w:val="false"/>
          <w:sz w:val="24"/>
          <w:szCs w:val="24"/>
        </w:rPr>
        <w:t xml:space="preserve"> Denver zoned thirteen years before the HOLC map. On the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28.4 km² of the city was zoned Industrial A or B and 3.6 km² Commercial. Of the D land on the map sheet, 16.0% was zoned industrial in 1929; of the C land 1.6%, B 0.2% and A 0.7%. The 1925 ordinance is the first map of the same geography, drawn around the industrial corridor that Section 3 shows was in place by 1900–1920.</w:t>
      </w:r>
    </w:p>
    <w:p>
      <w:pPr>
        <w:spacing w:after="80" w:before="240"/>
      </w:pPr>
      <w:r>
        <w:rPr>
          <w:rFonts w:ascii="Times New Roman" w:cs="Times New Roman" w:eastAsia="Times New Roman" w:hAnsi="Times New Roman"/>
          <w:b/>
          <w:bCs/>
          <w:sz w:val="20"/>
          <w:szCs w:val="20"/>
        </w:rPr>
        <w:t xml:space="preserve">Table 5. The 1925 zoning ordinance (1929 map) by HOLC grade, land on the map sheet only</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HOLC grade (1938)</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areas</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on the 1929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km² on the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industrial, 1929</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commercial, 1929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A</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13.4</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4.8</w:t>
            </w:r>
          </w:p>
        </w:tc>
      </w:tr>
    </w:tbl>
    <w:p>
      <w:pPr>
        <w:spacing w:after="120"/>
      </w:pPr>
    </w:p>
    <w:p>
      <w:pPr>
        <w:spacing w:after="160" w:line="360"/>
        <w:jc w:val="both"/>
      </w:pPr>
      <w:r>
        <w:rPr>
          <w:rFonts w:ascii="Times New Roman" w:cs="Times New Roman" w:eastAsia="Times New Roman" w:hAnsi="Times New Roman"/>
          <w:b/>
          <w:bCs/>
          <w:i w:val="false"/>
          <w:iCs w:val="false"/>
          <w:sz w:val="24"/>
          <w:szCs w:val="24"/>
        </w:rPr>
        <w:t xml:space="preserve">1929 to 1944.</w:t>
      </w:r>
      <w:r>
        <w:rPr>
          <w:rFonts w:ascii="Times New Roman" w:cs="Times New Roman" w:eastAsia="Times New Roman" w:hAnsi="Times New Roman"/>
          <w:b w:val="false"/>
          <w:bCs w:val="false"/>
          <w:i w:val="false"/>
          <w:iCs w:val="false"/>
          <w:sz w:val="24"/>
          <w:szCs w:val="24"/>
        </w:rPr>
        <w:t xml:space="preserve"> The districts barely moved across the years of the HOLC survey. Between the January 1929 and April 1944 revisions no industrial district was added. About 0.47 km² of Industrial A (2% of it) was redrawn: as commercial districts near W 41st Avenue, as business blocks in River North (Brighton Boulevard and 36th Street) and by the rail yards near E 40th Avenue, and as apartment blocks (Residence D) in two small areas. On the land both sheets cover, the share of D land zoned industrial went from 16.2% to 15.9%, and of C land from 1.6% to 1.5%. The zoning the appraisers saw in 1938 was in substance the zoning of 1929, and it was not extended into the areas they graded D by 1944.</w:t>
      </w:r>
    </w:p>
    <w:p>
      <w:pPr>
        <w:spacing w:after="160" w:line="360"/>
        <w:jc w:val="both"/>
      </w:pPr>
      <w:r>
        <w:rPr>
          <w:rFonts w:ascii="Times New Roman" w:cs="Times New Roman" w:eastAsia="Times New Roman" w:hAnsi="Times New Roman"/>
          <w:b/>
          <w:bCs/>
          <w:i w:val="false"/>
          <w:iCs w:val="false"/>
          <w:sz w:val="24"/>
          <w:szCs w:val="24"/>
        </w:rPr>
        <w:t xml:space="preserve">Boundary design.</w:t>
      </w:r>
      <w:r>
        <w:rPr>
          <w:rFonts w:ascii="Times New Roman" w:cs="Times New Roman" w:eastAsia="Times New Roman" w:hAnsi="Times New Roman"/>
          <w:b w:val="false"/>
          <w:bCs w:val="false"/>
          <w:i w:val="false"/>
          <w:iCs w:val="false"/>
          <w:sz w:val="24"/>
          <w:szCs w:val="24"/>
        </w:rPr>
        <w:t xml:space="preserve"> For each pair of adjacent grades the units within 400 m (districts, 1900–1940) or 800 m (2010 tracts, 1940–2020) of the common boundary are compared, population-weighted, with HC1 errors; further specifications add each unit's distance to the nearest railway (TIGER rail lines), because the appraisers graded along the tracks, and its 1929 industrial-zoned share. Gaps are the lower minus the higher grade in percentage points.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6. Gaps at adjacent HOLC grade boundaries, 1900–2020 (percentage points; units within 400 m of both grades for districts, 800 m for tracts)</w:t>
      </w:r>
    </w:p>
    <w:tbl>
      <w:tblPr>
        <w:tblW w:type="dxa" w:w="13680"/>
        <w:tblBorders>
          <w:top w:val="single" w:sz="6"/>
          <w:left w:val="none"/>
          <w:bottom w:val="single" w:sz="6"/>
          <w:right w:val="none"/>
          <w:insideH w:val="single" w:color="BBBBBB" w:sz="2"/>
          <w:insideV w:val="none"/>
        </w:tblBorders>
      </w:tblPr>
      <w:tblGrid>
        <w:gridCol w:w="3010"/>
        <w:gridCol w:w="711"/>
        <w:gridCol w:w="711"/>
        <w:gridCol w:w="711"/>
        <w:gridCol w:w="711"/>
        <w:gridCol w:w="711"/>
        <w:gridCol w:w="711"/>
        <w:gridCol w:w="711"/>
        <w:gridCol w:w="711"/>
        <w:gridCol w:w="711"/>
        <w:gridCol w:w="711"/>
        <w:gridCol w:w="711"/>
        <w:gridCol w:w="711"/>
        <w:gridCol w:w="711"/>
        <w:gridCol w:w="711"/>
        <w:gridCol w:w="716"/>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pair</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outcome</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(districts)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(tracts)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7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0.031</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(HC1) unless a Conley row. District comparisons: 10 D and 12 C districts in 1900 rising to 35/35 in 1920, 25/24 in 1930 and 36/31 in 1940; tract comparisons: 13–15 tracts a side. The 1940 tract "Black" is nonwhite and the 1940 tract Hispanic share is filled from the 1940 districts. The zoning adjustment adds each unit's 1929 industrial-zoned share.</w:t>
      </w:r>
    </w:p>
    <w:p>
      <w:pPr>
        <w:spacing w:after="160" w:line="360"/>
        <w:jc w:val="both"/>
      </w:pPr>
      <w:r>
        <w:rPr>
          <w:rFonts w:ascii="Times New Roman" w:cs="Times New Roman" w:eastAsia="Times New Roman" w:hAnsi="Times New Roman"/>
          <w:b w:val="false"/>
          <w:bCs w:val="false"/>
          <w:i w:val="false"/>
          <w:iCs w:val="false"/>
          <w:sz w:val="24"/>
          <w:szCs w:val="24"/>
        </w:rPr>
        <w:t xml:space="preserve">Three features of the table carry the argument, each with its uncertainty.</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A D–C Black gap opened before the map, in two areas.</w:t>
      </w:r>
      <w:r>
        <w:rPr>
          <w:rFonts w:ascii="Times New Roman" w:cs="Times New Roman" w:eastAsia="Times New Roman" w:hAnsi="Times New Roman"/>
          <w:b w:val="false"/>
          <w:bCs w:val="false"/>
          <w:i w:val="false"/>
          <w:iCs w:val="false"/>
          <w:sz w:val="24"/>
          <w:szCs w:val="24"/>
        </w:rPr>
        <w:t xml:space="preserve"> It is −1.0 in 1900, +0.3 in 1910, +1.2 in 1920, +4.2 in 1930 and +5.9 in 1940 at the district level; adjusted for rail and zoning it is significant in 1920, 1930 and 1940. Within districts the gap rose by 1.5 points a decade over 1900–40 (p = 0.01). The gap is positive at every bandwidth from 1920 and grows with the band (1930: +1.4, +4.2 and +8.3 at 200, 400 and 800 m; 1940: +3.1, +5.9, +11.2). With Conley errors, however, no single census's gap is significant (p = 0.17–0.28). The appraisers drew the D–C line along a boundary that was becoming a racial one, but the evidence for that is the consistency of the sign and its growth across censuses, not the precision of any one estimate. The gap is also local: in 1940 two D areas northeast of downtown held 98% of the Black residents of all sixteen D areas, and one of them had no industrially zoned land (see the descriptive sequences below).</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On tracts the Black gap rose to 1960 and then closed.</w:t>
      </w:r>
      <w:r>
        <w:rPr>
          <w:rFonts w:ascii="Times New Roman" w:cs="Times New Roman" w:eastAsia="Times New Roman" w:hAnsi="Times New Roman"/>
          <w:b w:val="false"/>
          <w:bCs w:val="false"/>
          <w:i w:val="false"/>
          <w:iCs w:val="false"/>
          <w:sz w:val="24"/>
          <w:szCs w:val="24"/>
        </w:rPr>
        <w:t xml:space="preserve"> The D–C Black gap on tracts climbs from +6.7 (1940, nonwhite) to +17.6 (1960) and falls to zero by 2010–20. None of the tract gaps is significant with fifteen tracts a side, and within the tract series the 1940–70 rise is not significant (+3.4 points a decade, p = 0.08) while the 1970–2020 decline is (−2.3, p = 0.005). The Hispanic gap opens in 1940 and stays large through 2010; it is significant in 1940, 1960, 2000 and 2010 with Conley errors, rose within tracts over 1940–70 (+3.8 a decade, p = 0.02) and fell after 1970 (−2.1, p = 0.03). Rail and zoning controls halve the post-1960 Hispanic gaps.</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The C–B boundary acquired a Black gap only after 1960.</w:t>
      </w:r>
      <w:r>
        <w:rPr>
          <w:rFonts w:ascii="Times New Roman" w:cs="Times New Roman" w:eastAsia="Times New Roman" w:hAnsi="Times New Roman"/>
          <w:b w:val="false"/>
          <w:bCs w:val="false"/>
          <w:i w:val="false"/>
          <w:iCs w:val="false"/>
          <w:sz w:val="24"/>
          <w:szCs w:val="24"/>
        </w:rPr>
        <w:t xml:space="preserve"> Within ±0.6 points from 1900 to 1960, it is +3.7 to +4.4 points in 1980–2000 and significant with Conley errors in 1970–90. The map's middle boundary separated two kinds of white neighbourhood when it was drawn and became a racial boundary a generation later, as Denver's Black population grew into the B and C areas of northeast Denver.</w:t>
      </w:r>
    </w:p>
    <w:p>
      <w:pPr>
        <w:spacing w:after="160" w:line="360"/>
        <w:jc w:val="both"/>
      </w:pPr>
      <w:r>
        <w:rPr>
          <w:rFonts w:ascii="Times New Roman" w:cs="Times New Roman" w:eastAsia="Times New Roman" w:hAnsi="Times New Roman"/>
          <w:b/>
          <w:bCs/>
          <w:i w:val="false"/>
          <w:iCs w:val="false"/>
          <w:sz w:val="24"/>
          <w:szCs w:val="24"/>
        </w:rPr>
        <w:t xml:space="preserve">Change by grade (Xu-style).</w:t>
      </w:r>
      <w:r>
        <w:rPr>
          <w:rFonts w:ascii="Times New Roman" w:cs="Times New Roman" w:eastAsia="Times New Roman" w:hAnsi="Times New Roman"/>
          <w:b w:val="false"/>
          <w:bCs w:val="false"/>
          <w:i w:val="false"/>
          <w:iCs w:val="false"/>
          <w:sz w:val="24"/>
          <w:szCs w:val="24"/>
        </w:rPr>
        <w:t xml:space="preserve"> Following Xu's (2022) Chicago design, the 2010 tracts are assigned their dominant 1938 class — A, B, C, D, or the ungraded Industrial and Commercial zones — and the change in each outcome is regressed on class with A as the reference, controlling for the starting level, 1940 nonwhite share and the hazardous firms of 1931–40 (HC1 errors; 63–70 tracts).</w:t>
      </w:r>
    </w:p>
    <w:p>
      <w:pPr>
        <w:spacing w:after="80" w:before="240"/>
      </w:pPr>
      <w:r>
        <w:rPr>
          <w:rFonts w:ascii="Times New Roman" w:cs="Times New Roman" w:eastAsia="Times New Roman" w:hAnsi="Times New Roman"/>
          <w:b/>
          <w:bCs/>
          <w:sz w:val="20"/>
          <w:szCs w:val="20"/>
        </w:rPr>
        <w:t xml:space="preserve">Table 7. Change in tract outcomes by dominant 1938 class, relative to A tracts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relative to A tracts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period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 (1940 nonwhite)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(first measured 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The 1940 Hispanic level is filled from the 1940 districts for 65 tracts. With Conley errors the D estimates for Hispanic share (1940–2010, p &lt; 0.001), poverty (1970–2010, p = 0.017) and log value (1940–2010, p = 0.003) remain significant. Adding the 1929 industrial-zoned share leaves the D estimates close to these (Hispanic 1940–2010 +42.9; poverty +13.0; log value −0.67); the zoning share's own coefficient is imprecise because, with 63–70 tracts, zoning is concentrated in the D and Industrial classes and the two cannot be separated.</w:t>
      </w:r>
    </w:p>
    <w:p>
      <w:pPr>
        <w:spacing w:after="160" w:line="360"/>
        <w:jc w:val="both"/>
      </w:pPr>
      <w:r>
        <w:rPr>
          <w:rFonts w:ascii="Times New Roman" w:cs="Times New Roman" w:eastAsia="Times New Roman" w:hAnsi="Times New Roman"/>
          <w:b w:val="false"/>
          <w:bCs w:val="false"/>
          <w:i w:val="false"/>
          <w:iCs w:val="false"/>
          <w:sz w:val="24"/>
          <w:szCs w:val="24"/>
        </w:rPr>
        <w:t xml:space="preserve">The ordering A &lt; C &lt; D holds for the Hispanic share and poverty (larger increases) and for home value (larger relative declines), and the ungraded Industrial zones are at or beyond D on poverty and value. No class differs from A in the change of Black share or ownership, as in Xu's Chicago estimates: the D tracts that were 8% nonwhite in 1940 were not where Denver's Black population grew after 1950. The map and the ordinance marked the </w:t>
      </w:r>
      <w:r>
        <w:rPr>
          <w:rFonts w:ascii="Times New Roman" w:cs="Times New Roman" w:eastAsia="Times New Roman" w:hAnsi="Times New Roman"/>
          <w:b w:val="false"/>
          <w:bCs w:val="false"/>
          <w:i/>
          <w:iCs/>
          <w:sz w:val="24"/>
          <w:szCs w:val="24"/>
        </w:rPr>
        <w:t xml:space="preserve">location</w:t>
      </w:r>
      <w:r>
        <w:rPr>
          <w:rFonts w:ascii="Times New Roman" w:cs="Times New Roman" w:eastAsia="Times New Roman" w:hAnsi="Times New Roman"/>
          <w:b w:val="false"/>
          <w:bCs w:val="false"/>
          <w:i w:val="false"/>
          <w:iCs w:val="false"/>
          <w:sz w:val="24"/>
          <w:szCs w:val="24"/>
        </w:rPr>
        <w:t xml:space="preserve"> of industrial disadvantage; which group came to occupy it was decided afterwards, by processes these models do not identify. Mortgage outcomes today follow the same order only weakly (HMDA denial rates 2018–21: 6.0% in D tracts, 5.2% in C).</w:t>
      </w:r>
    </w:p>
    <w:p>
      <w:pPr>
        <w:spacing w:after="160" w:line="360"/>
        <w:jc w:val="both"/>
      </w:pPr>
      <w:r>
        <w:rPr>
          <w:rFonts w:ascii="Times New Roman" w:cs="Times New Roman" w:eastAsia="Times New Roman" w:hAnsi="Times New Roman"/>
          <w:b/>
          <w:bCs/>
          <w:i w:val="false"/>
          <w:iCs w:val="false"/>
          <w:sz w:val="24"/>
          <w:szCs w:val="24"/>
        </w:rPr>
        <w:t xml:space="preserve">What came first: descriptive sequences on fixed geography.</w:t>
      </w:r>
      <w:r>
        <w:rPr>
          <w:rFonts w:ascii="Times New Roman" w:cs="Times New Roman" w:eastAsia="Times New Roman" w:hAnsi="Times New Roman"/>
          <w:b w:val="false"/>
          <w:bCs w:val="false"/>
          <w:i w:val="false"/>
          <w:iCs w:val="false"/>
          <w:sz w:val="24"/>
          <w:szCs w:val="24"/>
        </w:rPr>
        <w:t xml:space="preserve"> The models above compare places at one time. The tables below follow the same places through time, without models, to ask three questions directly: did the disparities precede the zoning and the map, did hazardous industry arrive where disadvantaged residents already lived or the reverse, and did anything speed up when the instruments arrived. Before 1940 the places are 309 cells of a 500 m grid over the area mapped in every census from 1900, each assigned its future 1938 class (the class covering most of the cell) and its 1929 zoning (zoned industrial where at least a quarter of the cell is). The location quotient is a group's share of the population in those cells divided by its share of the population of the whole grid, so 1 means no concentration and changes in the city's composition do not move it.</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8. Location quotients by future 1938 class and 1929 zoning, 500 m grid over the 1900 city, 1900–1940</w:t>
      </w:r>
    </w:p>
    <w:tbl>
      <w:tblPr>
        <w:tblW w:type="dxa" w:w="13680"/>
        <w:tblBorders>
          <w:top w:val="single" w:sz="6"/>
          <w:left w:val="none"/>
          <w:bottom w:val="single" w:sz="6"/>
          <w:right w:val="none"/>
          <w:insideH w:val="single" w:color="BBBBBB" w:sz="2"/>
          <w:insideV w:val="none"/>
        </w:tblBorders>
      </w:tblPr>
      <w:tblGrid>
        <w:gridCol w:w="3010"/>
        <w:gridCol w:w="970"/>
        <w:gridCol w:w="970"/>
        <w:gridCol w:w="970"/>
        <w:gridCol w:w="970"/>
        <w:gridCol w:w="970"/>
        <w:gridCol w:w="970"/>
        <w:gridCol w:w="970"/>
        <w:gridCol w:w="970"/>
        <w:gridCol w:w="970"/>
        <w:gridCol w:w="970"/>
        <w:gridCol w:w="97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future class or 1929 zoning</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cells</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Black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Hispanic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A</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B</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ungraded 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not 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Each census's district counts are area-weighted onto the cells; the zoning rows use the cells on the 1929 map sheet. Labourers and owners follow the same order: in every census the future D and industrial cells had 0.9–2.2 times the city's share of labourers, and the future A and B cells 1.5–2.2 times its share of owner-occupiers.</w:t>
      </w:r>
    </w:p>
    <w:p>
      <w:pPr>
        <w:spacing w:after="160" w:line="360"/>
        <w:jc w:val="both"/>
      </w:pPr>
      <w:r>
        <w:rPr>
          <w:rFonts w:ascii="Times New Roman" w:cs="Times New Roman" w:eastAsia="Times New Roman" w:hAnsi="Times New Roman"/>
          <w:b w:val="false"/>
          <w:bCs w:val="false"/>
          <w:i w:val="false"/>
          <w:iCs w:val="false"/>
          <w:sz w:val="24"/>
          <w:szCs w:val="24"/>
        </w:rPr>
        <w:t xml:space="preserve">Two geographies are visible from 1900. The land the 1925 ordinance would zone industrial began with more than its share of Black residents (1.43 in 1900) and lost them steadily, to 0.27 by 1940, while its Mexican and Hispano share rose from about the city's share to three to five times it by 1920–30. The land the appraisers would grade D moved the other way for Black residents: from about the city's share in 1900 to three times it by 1930. Most of that rise happened between 1910 and 1930 and none of it after 1930, so it preceded the HOLC map entirely and was largely in place before the 1925 ordinance. Within the future D land the two geographies separate cleanly.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9. Black and Hispanic shares in the future D, ungraded industrial and C land by 1929 zoning, 1920–1940 (500 m grid)</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1929 zoning within the future class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cells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Hispanic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population change 1920–40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10.51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14.70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ungraded industrial,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C,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Black Denver's concentration was in the residential, not the industrial, part of the future D land, and in two areas: in 1940 two D areas northeast of downtown, one 14% zoned industrial and one with no industrially zoned land, held 98% of the Black residents of the sixteen D areas. Both had passed twice the city's Black share by 1910 and 1920. Of the sixteen D areas, seven had a listed hazardous trade before 1938 — one from 1891, four first listed in 1911–14; because no directory edition survives for 1893–1909, those first listings are upper bounds on when the trades arrived. The Hispanic share rose in all four groups between 1930 and 1940, earliest and furthest in the industrially zoned land. Some of the 1930–40 rise, which is city-wide (1.0% to 4.1%), may reflect differences in how IPUMS infers Hispanic origin in the two censuses as well as the migration of Hispanos from southern Colorado and New Mexico in the 1930s, so the 1930 and 1940 levels should be compared with caution.</w:t>
      </w:r>
    </w:p>
    <w:p>
      <w:pPr>
        <w:spacing w:after="160" w:line="360"/>
        <w:jc w:val="both"/>
      </w:pPr>
      <w:r>
        <w:rPr>
          <w:rFonts w:ascii="Times New Roman" w:cs="Times New Roman" w:eastAsia="Times New Roman" w:hAnsi="Times New Roman"/>
          <w:b w:val="false"/>
          <w:bCs w:val="false"/>
          <w:i/>
          <w:iCs/>
          <w:sz w:val="24"/>
          <w:szCs w:val="24"/>
        </w:rPr>
        <w:t xml:space="preserve">Which came first in each place?</w:t>
      </w:r>
      <w:r>
        <w:rPr>
          <w:rFonts w:ascii="Times New Roman" w:cs="Times New Roman" w:eastAsia="Times New Roman" w:hAnsi="Times New Roman"/>
          <w:b w:val="false"/>
          <w:bCs w:val="false"/>
          <w:i w:val="false"/>
          <w:iCs w:val="false"/>
          <w:sz w:val="24"/>
          <w:szCs w:val="24"/>
        </w:rPr>
        <w:t xml:space="preserve"> For each decade, places with no hazardous firm ever listed are divided into those where a first firm was listed in the next decade and those where none was. Their composition at the start of the decade shows whether industry arrived where disadvantaged residents already lived; the change over the decade shows whether composition then changed differently.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10. Places before and after a first hazardous firm: composition at the start of the decade and change over it</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places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decade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places (n)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foreign born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owner-occupied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Black</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Hispanic</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owner-occupied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4.87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−9.39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first hazardous manufacturer listed 1973–80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none listed 1965–92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listed 1965–70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−5.53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Population-weighted shares. Grid cells: business-directory trades; too few first arrivals occurred in 1900–1910 (1, because no edition survives for 1893–1909) and 1920–1930 (3) to tabulate. Tracts: the 142 study tracts observed in every census from 1960, with first arrival judged within the manufacturers' directory only (no listing in the 1965–70 editions, first listing in 1973–80), so the comparison does not cross the change of source. The tracts first listed in 1983–92 (7) are omitted. Poverty in 1970: 10.5% in the arrival tracts, 15.3% in tracts that never had a hazardous manufacturer.</w:t>
      </w:r>
    </w:p>
    <w:p>
      <w:pPr>
        <w:spacing w:after="160" w:line="360"/>
        <w:jc w:val="both"/>
      </w:pPr>
      <w:r>
        <w:rPr>
          <w:rFonts w:ascii="Times New Roman" w:cs="Times New Roman" w:eastAsia="Times New Roman" w:hAnsi="Times New Roman"/>
          <w:b w:val="false"/>
          <w:bCs w:val="false"/>
          <w:i w:val="false"/>
          <w:iCs w:val="false"/>
          <w:sz w:val="24"/>
          <w:szCs w:val="24"/>
        </w:rPr>
        <w:t xml:space="preserve">The two periods point in different directions. Before 1940 the trades that opened did so in places that already had more Black residents and fewer owners than places that never got one, and composition then changed little differently. After 1965 hazardous manufacturers arrived in tracts that were less poor and more owner-occupied than tracts that never had one, and those tracts then gained Hispanic residents faster (+11.2 points against +7.0) and lost owners faster (−9.1 against −2.0). The post-1965 sequence is consistent with residents following industry, or with both following cheap land, but with 24 arrival tracts it is a description, not an estimate.</w:t>
      </w:r>
    </w:p>
    <w:p>
      <w:pPr>
        <w:spacing w:after="160" w:line="360"/>
        <w:jc w:val="both"/>
      </w:pPr>
      <w:r>
        <w:rPr>
          <w:rFonts w:ascii="Times New Roman" w:cs="Times New Roman" w:eastAsia="Times New Roman" w:hAnsi="Times New Roman"/>
          <w:b w:val="false"/>
          <w:bCs w:val="false"/>
          <w:i/>
          <w:iCs/>
          <w:sz w:val="24"/>
          <w:szCs w:val="24"/>
        </w:rPr>
        <w:t xml:space="preserve">Did anything speed up?</w:t>
      </w:r>
      <w:r>
        <w:rPr>
          <w:rFonts w:ascii="Times New Roman" w:cs="Times New Roman" w:eastAsia="Times New Roman" w:hAnsi="Times New Roman"/>
          <w:b w:val="false"/>
          <w:bCs w:val="false"/>
          <w:i w:val="false"/>
          <w:iCs w:val="false"/>
          <w:sz w:val="24"/>
          <w:szCs w:val="24"/>
        </w:rPr>
        <w:t xml:space="preserve"> On tracts, the location quotients by 1938 class show when concentration peaked.</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11. Location quotients by dominant 1938 class, fixed set of 142 study tracts, 1940–2020</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dominant 1938 class (tracts)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measure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4.57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B (6)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 (36)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0.94</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Tracts at least 40% inside the HOLC areas, within the fixed set of 142 study tracts; the 1940 Black share is nonwhite. Hispanic origin is first reported on tracts in 1960.</w:t>
      </w:r>
    </w:p>
    <w:p>
      <w:pPr>
        <w:spacing w:after="160" w:line="360"/>
        <w:jc w:val="both"/>
      </w:pPr>
      <w:r>
        <w:rPr>
          <w:rFonts w:ascii="Times New Roman" w:cs="Times New Roman" w:eastAsia="Times New Roman" w:hAnsi="Times New Roman"/>
          <w:b w:val="false"/>
          <w:bCs w:val="false"/>
          <w:i w:val="false"/>
          <w:iCs w:val="false"/>
          <w:sz w:val="24"/>
          <w:szCs w:val="24"/>
        </w:rPr>
        <w:t xml:space="preserve">Black concentration in the D tracts rose a little after the map, to a peak in 1960, and then fell as Denver's Black population moved east into B and C tracts of northeast Denver. Hispanic concentration in D and industrial tracts was at its highest in 1960, the first year it can be measured on tracts, and has fallen since; poverty in the industrial tracts remains twice the city's rate. None of the series turns at 1938, and the steepest change in any of them, the Black rise into the future D land, happened between 1910 and 1930.</w:t>
      </w:r>
    </w:p>
    <w:p>
      <w:pPr>
        <w:spacing w:after="160" w:line="360"/>
        <w:jc w:val="both"/>
      </w:pPr>
      <w:r>
        <w:rPr>
          <w:rFonts w:ascii="Times New Roman" w:cs="Times New Roman" w:eastAsia="Times New Roman" w:hAnsi="Times New Roman"/>
          <w:b/>
          <w:bCs/>
          <w:i w:val="false"/>
          <w:iCs w:val="false"/>
          <w:sz w:val="24"/>
          <w:szCs w:val="24"/>
        </w:rPr>
        <w:t xml:space="preserve">Interpretation.</w:t>
      </w:r>
      <w:r>
        <w:rPr>
          <w:rFonts w:ascii="Times New Roman" w:cs="Times New Roman" w:eastAsia="Times New Roman" w:hAnsi="Times New Roman"/>
          <w:b w:val="false"/>
          <w:bCs w:val="false"/>
          <w:i w:val="false"/>
          <w:iCs w:val="false"/>
          <w:sz w:val="24"/>
          <w:szCs w:val="24"/>
        </w:rPr>
        <w:t xml:space="preserve"> The evidence answers the three questions as follows, each within the limits of the data. </w:t>
      </w:r>
      <w:r>
        <w:rPr>
          <w:rFonts w:ascii="Times New Roman" w:cs="Times New Roman" w:eastAsia="Times New Roman" w:hAnsi="Times New Roman"/>
          <w:b w:val="false"/>
          <w:bCs w:val="false"/>
          <w:i/>
          <w:iCs/>
          <w:sz w:val="24"/>
          <w:szCs w:val="24"/>
        </w:rPr>
        <w:t xml:space="preserve">Did the zoning or the map create the disparities?</w:t>
      </w:r>
      <w:r>
        <w:rPr>
          <w:rFonts w:ascii="Times New Roman" w:cs="Times New Roman" w:eastAsia="Times New Roman" w:hAnsi="Times New Roman"/>
          <w:b w:val="false"/>
          <w:bCs w:val="false"/>
          <w:i w:val="false"/>
          <w:iCs w:val="false"/>
          <w:sz w:val="24"/>
          <w:szCs w:val="24"/>
        </w:rPr>
        <w:t xml:space="preserve"> No. The class and nativity gradient around hazardous industry is present from 1880; the trades that opened before 1940 opened where poorer, Black and immigrant households already lived; the Black concentration in the future D land had tripled before the map and was largely in place before the ordinance; and the industrially zoned land had been the city's most immigrant and labouring land since 1900. </w:t>
      </w:r>
      <w:r>
        <w:rPr>
          <w:rFonts w:ascii="Times New Roman" w:cs="Times New Roman" w:eastAsia="Times New Roman" w:hAnsi="Times New Roman"/>
          <w:b w:val="false"/>
          <w:bCs w:val="false"/>
          <w:i/>
          <w:iCs/>
          <w:sz w:val="24"/>
          <w:szCs w:val="24"/>
        </w:rPr>
        <w:t xml:space="preserve">What preceded the disparities?</w:t>
      </w:r>
      <w:r>
        <w:rPr>
          <w:rFonts w:ascii="Times New Roman" w:cs="Times New Roman" w:eastAsia="Times New Roman" w:hAnsi="Times New Roman"/>
          <w:b w:val="false"/>
          <w:bCs w:val="false"/>
          <w:i w:val="false"/>
          <w:iCs w:val="false"/>
          <w:sz w:val="24"/>
          <w:szCs w:val="24"/>
        </w:rPr>
        <w:t xml:space="preserve"> The industrial corridor along the Platte and the rail yards, and the housing market that put the city's poorest, newest and Black residents near the centre and the tracks. The two later diverged: Black residents concentrated in residential blocks northeast of downtown, Mexican and Hispano residents in the industrial blocks. </w:t>
      </w:r>
      <w:r>
        <w:rPr>
          <w:rFonts w:ascii="Times New Roman" w:cs="Times New Roman" w:eastAsia="Times New Roman" w:hAnsi="Times New Roman"/>
          <w:b w:val="false"/>
          <w:bCs w:val="false"/>
          <w:i/>
          <w:iCs/>
          <w:sz w:val="24"/>
          <w:szCs w:val="24"/>
        </w:rPr>
        <w:t xml:space="preserve">Did the instruments or later siting accelerate the disparities?</w:t>
      </w:r>
      <w:r>
        <w:rPr>
          <w:rFonts w:ascii="Times New Roman" w:cs="Times New Roman" w:eastAsia="Times New Roman" w:hAnsi="Times New Roman"/>
          <w:b w:val="false"/>
          <w:bCs w:val="false"/>
          <w:i w:val="false"/>
          <w:iCs w:val="false"/>
          <w:sz w:val="24"/>
          <w:szCs w:val="24"/>
        </w:rPr>
        <w:t xml:space="preserve">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Black concentration in D rose most in 1910–30, before the map; the D–C gaps that are significant after 1940 are Hispanic ones, and both the Hispanic and Black concentrations in D and industrial tracts peaked around 1960 and then declined. What the instruments did was record the geography, in an ordinance that zoned for industry the land industry already occupied and an appraisal that marked the same land as hazardous to lend in. Whether that recording slowed the decline of the concentrations, prevented investment, or kept industry in place cannot be identified from these data: the zoning and the appraisers' Industrial designation overlap too closely, the boundary gaps are imprecise, and there is no comparison city without the instruments.</w:t>
      </w:r>
    </w:p>
    <w:p>
      <w:pPr>
        <w:pStyle w:val="Heading1"/>
        <w:spacing w:after="160" w:before="360"/>
      </w:pPr>
      <w:r>
        <w:rPr>
          <w:rFonts w:ascii="Times New Roman" w:cs="Times New Roman" w:eastAsia="Times New Roman" w:hAnsi="Times New Roman"/>
          <w:b/>
          <w:bCs/>
          <w:color w:val="000000"/>
          <w:sz w:val="26"/>
          <w:szCs w:val="26"/>
        </w:rPr>
        <w:t xml:space="preserve">5. After the full count, 1950–2020</w:t>
      </w:r>
    </w:p>
    <w:p>
      <w:pPr>
        <w:spacing w:after="160" w:line="360"/>
        <w:jc w:val="both"/>
      </w:pPr>
      <w:r>
        <w:rPr>
          <w:rFonts w:ascii="Times New Roman" w:cs="Times New Roman" w:eastAsia="Times New Roman" w:hAnsi="Times New Roman"/>
          <w:b w:val="false"/>
          <w:bCs w:val="false"/>
          <w:i w:val="false"/>
          <w:iCs w:val="false"/>
          <w:sz w:val="24"/>
          <w:szCs w:val="24"/>
        </w:rPr>
        <w:t xml:space="preserve">On census tracts — a coarser unit, with exposure measured from the directory sites — the group most concentrated beside hazardous industry is Hispanic. Between 1960 and 2010 the Hispanic share of a tract fell 6 to 11 points (5.7 in 2010) for every log-metre of distance from the nearest hazardous firm of the decade. That gradient holds on fixed tract sets and, at a smaller size, with distance to downtown controlled. The White share rose away from industry from 1980; the Black share shows no gradient in any census. Poverty fell away from industry in every census in which it is measured. The ownership gradient was strong in 1950–60 but is largely a downtown gradient. For 2000–2020 the firms are those of the last complete directory decade (1983–92), so those columns measure composition around historically listed sites, not active manufacturing.</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The 147 tracts (2010 boundaries) whose centroid lies within 10 km of downtown, with tracts under 200 residents dropped (97 tracts in 1950, 144 in 1960, 145–147 thereafter). Hazardous firms are the business-directory trades to 1956 and the hazardous-sector manufacturers of the complete directory editions from 1965 (2000–2020 use 1983–92). Population-weighted regressions of each tract measure on log distance to the nearest firm, HC1 errors, with and without the log distance to downtown.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12. Tract-level distance gradients, 147 tracts within 10 km of downtown, 1950–2020, with and without a downtown control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per log m of distance from the nearest hazardous firm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Tracts per census as above. On the fixed sets of tracts observed from 1950 (95), 1960 (142) and 1970 (144) every Hispanic coefficient from 1960 to 2000 is between −6.0 and −12.0 and significant, and the Black coefficient is never significant. Rent gradients are reported in the application; the 1980 rent coefficient changes sign (−0.36) against every other census, which we have not resolved and do not interpret.</w:t>
      </w:r>
    </w:p>
    <w:p>
      <w:pPr>
        <w:spacing w:after="160" w:line="360"/>
        <w:jc w:val="both"/>
      </w:pPr>
      <w:r>
        <w:rPr>
          <w:rFonts w:ascii="Times New Roman" w:cs="Times New Roman" w:eastAsia="Times New Roman" w:hAnsi="Times New Roman"/>
          <w:b/>
          <w:bCs/>
          <w:i w:val="false"/>
          <w:iCs w:val="false"/>
          <w:sz w:val="24"/>
          <w:szCs w:val="24"/>
        </w:rPr>
        <w:t xml:space="preserve">Share of the decade's hazardous firms in the tracts housing the top population quartile on each measure</w:t>
      </w:r>
      <w:r>
        <w:rPr>
          <w:rFonts w:ascii="Times New Roman" w:cs="Times New Roman" w:eastAsia="Times New Roman" w:hAnsi="Times New Roman"/>
          <w:b w:val="false"/>
          <w:bCs w:val="false"/>
          <w:i w:val="false"/>
          <w:iCs w:val="false"/>
          <w:sz w:val="24"/>
          <w:szCs w:val="24"/>
        </w:rPr>
        <w:t xml:space="preserve"> (25% of people; a value of 25 would mean no concentration).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13. Share of each decade's hazardous firms in the tracts housing the top population quartile on each measure</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measure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Firms located in the study tracts: 139 (1950), 46 (1960), 669 (1970), 907 (1980), 835 (1990), 861–873 (2000–2020, the 1983–92 sites). The 1950 and 1960 counts are business-directory trades and are not comparable in number with the later manufacturers.</w:t>
      </w:r>
    </w:p>
    <w:p>
      <w:pPr>
        <w:spacing w:after="160" w:line="360"/>
        <w:jc w:val="both"/>
      </w:pPr>
      <w:r>
        <w:rPr>
          <w:rFonts w:ascii="Times New Roman" w:cs="Times New Roman" w:eastAsia="Times New Roman" w:hAnsi="Times New Roman"/>
          <w:b w:val="false"/>
          <w:bCs w:val="false"/>
          <w:i w:val="false"/>
          <w:iCs w:val="false"/>
          <w:sz w:val="24"/>
          <w:szCs w:val="24"/>
        </w:rPr>
        <w:t xml:space="preserve">Three things stand out. First, Hispanic and poor residents were the most concentrated beside industry from 1960 on: the most Hispanic quarter of the population lived in tracts holding 51–69% of the firms in every census from 1960 to 1990. Second, the Black share of firm-adjacent tracts was highest in 1960–70 (48–50% of firms in the top-quartile-Black tracts) and lower afterwards, but the Black distance gradient is never significant, so the city-wide hand-over from Black to Hispanic neighbours that the D–C boundary suggests is a matter of the quartile shares, not of the gradients. Black–nonblack dissimilarity across these tracts fell from 0.78–0.85 in 1950–70 to 0.41 in 2020. Third, the ownership gradient is the one most changed by the downtown control: owners lived away from industry because they lived away from the centre.</w:t>
      </w:r>
    </w:p>
    <w:p>
      <w:pPr>
        <w:spacing w:after="160" w:line="360"/>
        <w:jc w:val="both"/>
      </w:pPr>
      <w:r>
        <w:rPr>
          <w:rFonts w:ascii="Times New Roman" w:cs="Times New Roman" w:eastAsia="Times New Roman" w:hAnsi="Times New Roman"/>
          <w:b/>
          <w:bCs/>
          <w:i w:val="false"/>
          <w:iCs w:val="false"/>
          <w:sz w:val="24"/>
          <w:szCs w:val="24"/>
        </w:rPr>
        <w:t xml:space="preserve">Within and between tracts.</w:t>
      </w:r>
      <w:r>
        <w:rPr>
          <w:rFonts w:ascii="Times New Roman" w:cs="Times New Roman" w:eastAsia="Times New Roman" w:hAnsi="Times New Roman"/>
          <w:b w:val="false"/>
          <w:bCs w:val="false"/>
          <w:i w:val="false"/>
          <w:iCs w:val="false"/>
          <w:sz w:val="24"/>
          <w:szCs w:val="24"/>
        </w:rPr>
        <w:t xml:space="preserve"> The panel uses the three censuses with active complete-edition firms, 1970, 1980 and 1990 (437 tract-years, 147 tracts). It separates a tract's own change in hazardous-firm density from its average density.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14. Hazardous industry and tract composition: within and between tracts (1970–1990), legacy-site cross-sections (2000–2020) and the reverse model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within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spatial-error</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legacy firms (gone before the census), between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reverse: composition → change in hazardous firms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+8.21***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−1.60*</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Within and between: hybrid panel, 1970–90, coefficients per log unit of hazardous firms per km², tract-clustered errors. Spatial-error between-tract model: λ = 0.58–0.94. 2000–2020: cross-sections on the log density of 1983–92 sites (145–147 tracts, HC1). Reverse: change in the tract's number of active hazardous establishments to the next census per percentage point (per log unit for value) of its composition, controlling for current firm density, population density, distance to downtown and census (290 tract-decades).</w:t>
      </w:r>
    </w:p>
    <w:p>
      <w:pPr>
        <w:spacing w:after="160" w:line="360"/>
        <w:jc w:val="both"/>
      </w:pPr>
      <w:r>
        <w:rPr>
          <w:rFonts w:ascii="Times New Roman" w:cs="Times New Roman" w:eastAsia="Times New Roman" w:hAnsi="Times New Roman"/>
          <w:b w:val="false"/>
          <w:bCs w:val="false"/>
          <w:i w:val="false"/>
          <w:iCs w:val="false"/>
          <w:sz w:val="24"/>
          <w:szCs w:val="24"/>
        </w:rPr>
        <w:t xml:space="preserve">Between tracts, places with more hazardous industry had higher Hispanic and poverty shares and lower White shares and home values. The Hispanic and poverty associations survive the spatial-error model; the White and value associations do not. Within tracts nothing is significant: a decade in which a tract gained or lost firms was not a decade in which its composition changed. The association is therefore a property of places, set before 1970 and persisting, rather than a response to new industry. In 2000–2020 the tracts around the 1983–92 sites were still more Hispanic, foreign-born and poor and less White, owned and valuable. The reverse model runs the other way as well: tracts with higher Hispanic and poverty shares, and lower home values, at one census gained more (or lost fewer) hazardous establishments by the next. Composition and industry are associated in both directions, and these models do not identify which came first.</w:t>
      </w:r>
    </w:p>
    <w:p>
      <w:pPr>
        <w:pStyle w:val="Heading1"/>
        <w:spacing w:after="160" w:before="360"/>
      </w:pPr>
      <w:r>
        <w:rPr>
          <w:rFonts w:ascii="Times New Roman" w:cs="Times New Roman" w:eastAsia="Times New Roman" w:hAnsi="Times New Roman"/>
          <w:b/>
          <w:bCs/>
          <w:color w:val="000000"/>
          <w:sz w:val="26"/>
          <w:szCs w:val="26"/>
        </w:rPr>
        <w:t xml:space="preserve">6. What became of the sites</w:t>
      </w:r>
    </w:p>
    <w:p>
      <w:pPr>
        <w:spacing w:after="160" w:line="360"/>
        <w:jc w:val="both"/>
      </w:pPr>
      <w:r>
        <w:rPr>
          <w:rFonts w:ascii="Times New Roman" w:cs="Times New Roman" w:eastAsia="Times New Roman" w:hAnsi="Times New Roman"/>
          <w:b w:val="false"/>
          <w:bCs w:val="false"/>
          <w:i w:val="false"/>
          <w:iCs w:val="false"/>
          <w:sz w:val="24"/>
          <w:szCs w:val="24"/>
        </w:rPr>
        <w:t xml:space="preserve">Of the 976 hazardous-sector manufacturing sites listed in Denver between 1965 and 1992, 38% are still industrial parcels today, 25% are commercial, 17% residential and 13% vacant, and half are still zoned industrial. Of the 321 pre-1960 hazardous trades, 53% are now commercial, 19% residential and 11.5% industrial, and only 17% remain in an industrial zone. Only 17% of the later sites, but 41% of the earlier ones, carry a building newer than their last directory listing. 168 of the later sites are residential parcels holding 4,606 dwelling units; 67 of those 168 (40%) have no matching record in the cleanup datasets searched, which does not establish that they were never assessed or remediated.</w:t>
      </w:r>
    </w:p>
    <w:p>
      <w:pPr>
        <w:spacing w:after="160" w:line="360"/>
        <w:jc w:val="both"/>
      </w:pPr>
      <w:r>
        <w:rPr>
          <w:rFonts w:ascii="Times New Roman" w:cs="Times New Roman" w:eastAsia="Times New Roman" w:hAnsi="Times New Roman"/>
          <w:b/>
          <w:bCs/>
          <w:i w:val="false"/>
          <w:iCs w:val="false"/>
          <w:sz w:val="24"/>
          <w:szCs w:val="24"/>
        </w:rPr>
        <w:t xml:space="preserve">Method.</w:t>
      </w:r>
      <w:r>
        <w:rPr>
          <w:rFonts w:ascii="Times New Roman" w:cs="Times New Roman" w:eastAsia="Times New Roman" w:hAnsi="Times New Roman"/>
          <w:b w:val="false"/>
          <w:bCs w:val="false"/>
          <w:i w:val="false"/>
          <w:iCs w:val="false"/>
          <w:sz w:val="24"/>
          <w:szCs w:val="24"/>
        </w:rPr>
        <w:t xml:space="preserve"> Every geocoded site in the City and County of Denver (976 from the 1965–1992 manufacturers' directory in the Frickel &amp; Elliott hazardous sectors, and 321 street-level hazardous trades of the 1891–1956 business directories; one of each has no parcel within 40 m) is matched to the nearest assessor parcel within 40 m (median distance 10 m). A match identifies the parcel at the geocoded address today, not necessarily the historical lot: street-centreline geocodes, consolidated or subdivided parcels and multi-building sites all need checking against the Sanborn sheets before an individual site is cited. The parcel carries the assessor's property class, the current zone district, the dwelling-unit count and the year the present building was built. "Redeveloped" means the building post-dates the site's last directory year. This is the land-use-conversion question Frickel &amp; Elliott (2008) posed for a sample of Portland and Philadelphia sites, answered here for the whole Denver inventory.</w:t>
      </w:r>
    </w:p>
    <w:p>
      <w:pPr>
        <w:spacing w:after="80" w:before="240"/>
      </w:pPr>
      <w:r>
        <w:rPr>
          <w:rFonts w:ascii="Times New Roman" w:cs="Times New Roman" w:eastAsia="Times New Roman" w:hAnsi="Times New Roman"/>
          <w:b/>
          <w:bCs/>
          <w:sz w:val="20"/>
          <w:szCs w:val="20"/>
        </w:rPr>
        <w:t xml:space="preserve">Table 15. Current parcel use of former hazardous sites, City and County of Denver</w:t>
      </w:r>
    </w:p>
    <w:tbl>
      <w:tblPr>
        <w:tblW w:type="dxa" w:w="9360"/>
        <w:tblBorders>
          <w:top w:val="single" w:sz="6"/>
          <w:left w:val="none"/>
          <w:bottom w:val="single" w:sz="6"/>
          <w:right w:val="none"/>
          <w:insideH w:val="single" w:color="BBBBBB" w:sz="2"/>
          <w:insideV w:val="none"/>
        </w:tblBorders>
      </w:tblPr>
      <w:tblGrid>
        <w:gridCol w:w="2808"/>
        <w:gridCol w:w="3276"/>
        <w:gridCol w:w="3276"/>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current parcel use</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manufacturers' directory sites 1965–1992 (n = 975 matched)</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business-directory hazardous trades 1891–1956 (n = 320 matched)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 utility</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 / office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Vacant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Civic / school / health</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Park / open space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Still zoned industrial (current zone district)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51.2%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Building newer than last listing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16.7%</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Median year built of present building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1963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1953</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The fate of a site depends on when it was last listed. Of the sites that disappeared from the directory in the 1960s, 25% are residential today and 23% industrial; of those still listed in the 1990s, 14% are residential and 46% industrial. Earlier cohorts have had longer to convert, so the rows are not a conversion rate; they show what stands today on the sites of each cohort. A site's last directory listing is the last edition that recorded it, not a confirmed closure date, and a newer building is a redevelopment indicator, not proof the industrial use ended then.</w:t>
      </w:r>
    </w:p>
    <w:p>
      <w:pPr>
        <w:spacing w:after="80" w:before="240"/>
      </w:pPr>
      <w:r>
        <w:rPr>
          <w:rFonts w:ascii="Times New Roman" w:cs="Times New Roman" w:eastAsia="Times New Roman" w:hAnsi="Times New Roman"/>
          <w:b/>
          <w:bCs/>
          <w:sz w:val="20"/>
          <w:szCs w:val="20"/>
        </w:rPr>
        <w:t xml:space="preserve">Table 16. Current use of the 1965–1992 sites by decade of last listing</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decade of last listing</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sites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 / utility</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 / office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residential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vacant</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civic, school, park</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1990s (listed in 1990 or 1992; includes the one site with no parcel match)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Two results matter for the argument of Sections 4 and 5. First, the industrial corridor of the 1960s–90s is largely still there: four in ten sites are industrial parcels and half are still in an industrial zone district, so the industrial land beside the Hispanic neighbourhoods of 1970–2000 has not been removed, only thinned at its edges. Second, the pre-1960 trades — the smelters, foundries, tanneries and rendering works of the Platte bottoms and the downtown fringe — have almost all turned over: half are commercial, one in five residential, and 41% have been rebuilt. These resemble the "relict" sites of Elliott &amp; Frickel (2013): their last listings fall decades before the regulatory inventories searched here began, which is consistent with, though does not by itself explain, their absence from those inventories.</w:t>
      </w:r>
    </w:p>
    <w:p>
      <w:pPr>
        <w:spacing w:after="160" w:line="360"/>
        <w:jc w:val="both"/>
      </w:pPr>
      <w:r>
        <w:rPr>
          <w:rFonts w:ascii="Times New Roman" w:cs="Times New Roman" w:eastAsia="Times New Roman" w:hAnsi="Times New Roman"/>
          <w:b/>
          <w:bCs/>
          <w:i w:val="false"/>
          <w:iCs w:val="false"/>
          <w:sz w:val="24"/>
          <w:szCs w:val="24"/>
        </w:rPr>
        <w:t xml:space="preserve">Residential sites are mostly not conversions.</w:t>
      </w:r>
      <w:r>
        <w:rPr>
          <w:rFonts w:ascii="Times New Roman" w:cs="Times New Roman" w:eastAsia="Times New Roman" w:hAnsi="Times New Roman"/>
          <w:b w:val="false"/>
          <w:bCs w:val="false"/>
          <w:i w:val="false"/>
          <w:iCs w:val="false"/>
          <w:sz w:val="24"/>
          <w:szCs w:val="24"/>
        </w:rPr>
        <w:t xml:space="preserve"> For 114 of the 168 residential sites of 1965–92 the present building was built in or before the site's last listing year (47 were built later; 7 have no date). Most of these are therefore small firms that operated in or beside houses and apartment buildings, or geocodes that fell on a neighbouring dwelling, rather than factories later replaced by housing. Of the 67 residential sites with no cleanup record, 51 are of this kind. Of the 62 pre-1960 trades now residential, 29 carry a building newer than the listing. The 82 later sites now in residential (67), civic (12) or park (3) use with no cleanup record, and the 62 pre-1960 trade sites now residential, are the cases for archival follow-up: the Sanborn sheets show what stood on the lot and what it stored, and the Polk reverse directories give the sequence of occupants. The 1890 Sanborn check in Section 2 is the first step of that work.</w:t>
      </w:r>
    </w:p>
    <w:p>
      <w:pPr>
        <w:spacing w:after="160" w:line="360"/>
        <w:jc w:val="both"/>
      </w:pPr>
      <w:r>
        <w:rPr>
          <w:rFonts w:ascii="Times New Roman" w:cs="Times New Roman" w:eastAsia="Times New Roman" w:hAnsi="Times New Roman"/>
          <w:b/>
          <w:bCs/>
          <w:i w:val="false"/>
          <w:iCs w:val="false"/>
          <w:sz w:val="24"/>
          <w:szCs w:val="24"/>
        </w:rPr>
        <w:t xml:space="preserve">Zoning in 2023.</w:t>
      </w:r>
      <w:r>
        <w:rPr>
          <w:rFonts w:ascii="Times New Roman" w:cs="Times New Roman" w:eastAsia="Times New Roman" w:hAnsi="Times New Roman"/>
          <w:b w:val="false"/>
          <w:bCs w:val="false"/>
          <w:i w:val="false"/>
          <w:iCs w:val="false"/>
          <w:sz w:val="24"/>
          <w:szCs w:val="24"/>
        </w:rPr>
        <w:t xml:space="preserve"> A Denver-metro zoning layer of 3 October 2023, compiled by Makarewicz (2023) for the National Zoning Atlas, places the local district codes of 51 jurisdictions in common categories and covers 99% of the study area. It refines the zoning count above in one respect: about a quarter of the Denver sites "still zoned industrial" lie in Denver's industrial mixed-use (I-MX) districts, which allow housing. Of the 959 Denver sites of 1965–92 that fall within the layer, 39% stand in industrial districts that exclude housing, 13.5% in I-MX and 34% in other mixed-use districts with housing. Of the 278 sites in the study tracts outside Denver County, which the city's parcel data do not cover, 58% stand in industrial districts. Seven in ten pre-1960 trade sites are now in mixed-use districts with housing. The land tells the same story: of the 24.6 km² zoned Industrial A in 1929, 51% is zoned industrial without housing in 2023, 12% industrial mixed use and 24% other mixed use with housing. Industrial zoning today sits beside the same population as in 1970. In the 22 study tracts with a fifth or more of their land zoned industrial, 49% of residents were Hispanic and 18% poor in 2020, against 25% and 11.5% in the 105 tracts with none.</w:t>
      </w:r>
    </w:p>
    <w:p>
      <w:pPr>
        <w:spacing w:after="80" w:before="240"/>
      </w:pPr>
      <w:r>
        <w:rPr>
          <w:rFonts w:ascii="Times New Roman" w:cs="Times New Roman" w:eastAsia="Times New Roman" w:hAnsi="Times New Roman"/>
          <w:b/>
          <w:bCs/>
          <w:sz w:val="20"/>
          <w:szCs w:val="20"/>
        </w:rPr>
        <w:t xml:space="preserve">Table 17. Zoning in 2023 of the 1929 industrial districts and of the former hazardous sites</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2023 zoning</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 Industrial A land (24.6 km²)</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 Industrial B land (3.8 km²)</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1965–92 sites, Denver County (n = 959)</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1965–92 sites, suburban study tracts (n = 278)</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pre-1960 trades, Denver County (n = 316)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housing not allowed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59.9%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57.9%</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mixed use, housing allowed (Denver I-MX)</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Other mixed use with housing</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23.8%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33.6%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69.6%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18.3%</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Open space, civic, other</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Shares of each 1929 district's land and of each set of sites by their zoning on 3 October 2023. Sites are street-located hazardous-sector sites; the suburban column covers the study tracts outside the City and County of Denver.</w:t>
      </w:r>
    </w:p>
    <w:p>
      <w:pPr>
        <w:spacing w:after="160" w:line="360"/>
        <w:jc w:val="both"/>
      </w:pPr>
      <w:r>
        <w:rPr>
          <w:rFonts w:ascii="Times New Roman" w:cs="Times New Roman" w:eastAsia="Times New Roman" w:hAnsi="Times New Roman"/>
          <w:b/>
          <w:bCs/>
          <w:i w:val="false"/>
          <w:iCs w:val="false"/>
          <w:sz w:val="24"/>
          <w:szCs w:val="24"/>
        </w:rPr>
        <w:t xml:space="preserve">Zoning, 1929 to today.</w:t>
      </w:r>
      <w:r>
        <w:rPr>
          <w:rFonts w:ascii="Times New Roman" w:cs="Times New Roman" w:eastAsia="Times New Roman" w:hAnsi="Times New Roman"/>
          <w:b w:val="false"/>
          <w:bCs w:val="false"/>
          <w:i w:val="false"/>
          <w:iCs w:val="false"/>
          <w:sz w:val="24"/>
          <w:szCs w:val="24"/>
        </w:rPr>
        <w:t xml:space="preserve"> Four zoning maps of Denver exist in digital form: the 1925 ordinance as amended to 1929 and to 1944, the 2023 National Zoning Atlas layer, and the city's official zoning map today, which records for every district the year of the ordinance that last zoned it. The 1956 ordinance's map has not been digitised, so the series has a gap between 1944 and 2023. On the 202 km² that both historical sheets cover within the City and County of Denver, the share of land zoned industrial was 14.0% in 1929, 13.8% in 1944, 10.6% in 2023 and 10.4% today, with another 2.5% now in industrial mixed-use districts that allow housing. Industrial zoning has always been a D-grade matter: 16.3% of D land was zoned industrial in 1929, 16.1% in 1944 and 12.2% today (17.5% including I-MX), against at most 1.7% of A, B or C land then and none now.</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contraction came late. Of the 28.3 km² zoned industrial in 1929, 51% is still zoned industrial, 11% is industrial mixed use, 18% commercial or mixed use, 10% residential and 10% open space, civic land or planned unit developments. For the 13.8 km² no longer zoned industrial, the ordinance that last zoned the land passed before 2000 for under 3% of it, in 2000–09 for 12.5%, in the 2010 citywide remapping for 53%, and after 2010 for 32%. Because the city layer keeps only the latest ordinance, earlier rezonings are hidden, and land recoded in 2010 may have left industrial zoning at any time after 1944; the date is therefore an upper bound. The sites follow the land. Of the 910 hazardous-sector sites of 1965–92 on the land both sheets cover, 44% stood in an industrial district in 1929 and 35% do today, while 61% now stand where housing is allowed; of the 319 pre-1960 trades, 26% and 7%, with housing allowed on 88%.</w:t>
      </w:r>
    </w:p>
    <w:p>
      <w:pPr>
        <w:spacing w:after="80" w:before="240"/>
      </w:pPr>
      <w:r>
        <w:rPr>
          <w:rFonts w:ascii="Times New Roman" w:cs="Times New Roman" w:eastAsia="Times New Roman" w:hAnsi="Times New Roman"/>
          <w:b/>
          <w:bCs/>
          <w:sz w:val="20"/>
          <w:szCs w:val="20"/>
        </w:rPr>
        <w:t xml:space="preserve">Table 18. Land and sites zoned industrial, 1929–today</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zoned industrial (housing not allowed)</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1944</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2023</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today</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land mapped in 1929 and 1944 (202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HOLC D land (25.3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HOLC A, B and C land (54.0 km²)</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0.2–1.6%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hazardous-sector sites 1965–92 (n = 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44.2%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43.2%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35.5%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35.3%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hazardous trades before 1960 (n = 319)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Share of each unit within the part of the City and County of Denver covered by both the 1929 and 1944 map sheets. Today = the city's zoning map; 2023 = the National Zoning Atlas layer.</w:t>
      </w:r>
    </w:p>
    <w:p>
      <w:pPr>
        <w:spacing w:after="160" w:line="360"/>
        <w:jc w:val="both"/>
      </w:pPr>
      <w:r>
        <w:rPr>
          <w:rFonts w:ascii="Times New Roman" w:cs="Times New Roman" w:eastAsia="Times New Roman" w:hAnsi="Times New Roman"/>
          <w:b w:val="false"/>
          <w:bCs w:val="false"/>
          <w:i w:val="false"/>
          <w:iCs w:val="false"/>
          <w:sz w:val="24"/>
          <w:szCs w:val="24"/>
        </w:rPr>
        <w:t xml:space="preserve">Where industrial zoning was removed, the population changed. Among the 105 study tracts lying at least half on both sheets, the ten with a fifth or more of their land zoned industrial in 1929 and today were 41% Hispanic in 1970, 49% in 1990 and 44% in 2020. The seven whose industrial zoning has since been removed were 39%, 45% and 25% Hispanic; their Black share fell from 26% to 7% and their poverty rate from 33% to 14% between 1990 and 2020, and their owner-occupied share from 47% to 33%. Industrial zoning that remains still sits beside the Hispanic neighbourhoods of the 1970s; where it has been lifted, those neighbourhoods have largely been replaced. These are descriptions of places, not estimates of what rezoning caused.</w:t>
      </w:r>
    </w:p>
    <w:p>
      <w:pPr>
        <w:spacing w:after="80" w:before="240"/>
      </w:pPr>
      <w:r>
        <w:rPr>
          <w:rFonts w:ascii="Times New Roman" w:cs="Times New Roman" w:eastAsia="Times New Roman" w:hAnsi="Times New Roman"/>
          <w:b/>
          <w:bCs/>
          <w:sz w:val="20"/>
          <w:szCs w:val="20"/>
        </w:rPr>
        <w:t xml:space="preserve">Table 19. Tracts zoned industrial in 1929 and today: composition 1970–2020</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tracts (2010)</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n</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census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Hispanic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in poverty</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owner-occupied</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industrial in 1929 and today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45.7</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49.4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47.0</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industrial in 1929, not today</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44.5</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46.7</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neither</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52.6</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49.2</w:t>
            </w:r>
          </w:p>
        </w:tc>
      </w:tr>
      <w:tr>
        <w:trPr>
          <w:tblHeader w:val="false"/>
        </w:trPr>
        <w:tc>
          <w:tcPr>
            <w:tcW w:type="dxa" w:w="2059"/>
            <w:tcMar>
              <w:top w:type="dxa" w:w="40"/>
              <w:left w:type="dxa" w:w="60"/>
              <w:bottom w:type="dxa" w:w="40"/>
              <w:right w:type="dxa" w:w="60"/>
            </w:tcMar>
          </w:tcPr>
          <w:p>
            <w:pPr>
              <w:jc w:val="left"/>
            </w:pPr>
          </w:p>
        </w:tc>
        <w:tc>
          <w:tcPr>
            <w:tcW w:type="dxa" w:w="1216"/>
            <w:tcMar>
              <w:top w:type="dxa" w:w="40"/>
              <w:left w:type="dxa" w:w="60"/>
              <w:bottom w:type="dxa" w:w="40"/>
              <w:right w:type="dxa" w:w="60"/>
            </w:tcMar>
          </w:tcPr>
          <w:p>
            <w:pPr>
              <w:jc w:val="right"/>
            </w:pP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51.6</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2010 tracts within 10 km of downtown, at least half within both historical map sheets and Denver County, with 200+ residents; industrial = 20% or more of the tract's land in industrial districts. One tract became industrial after 1929 and is not shown. Population-weighted means.</w:t>
      </w:r>
    </w:p>
    <w:p>
      <w:pPr>
        <w:pStyle w:val="Heading1"/>
        <w:spacing w:after="160" w:before="360"/>
      </w:pPr>
      <w:r>
        <w:rPr>
          <w:rFonts w:ascii="Times New Roman" w:cs="Times New Roman" w:eastAsia="Times New Roman" w:hAnsi="Times New Roman"/>
          <w:b/>
          <w:bCs/>
          <w:color w:val="000000"/>
          <w:sz w:val="26"/>
          <w:szCs w:val="26"/>
        </w:rPr>
        <w:t xml:space="preserve">7. Discussion and conclusion</w:t>
      </w:r>
    </w:p>
    <w:p>
      <w:pPr>
        <w:spacing w:after="160" w:line="360"/>
        <w:jc w:val="both"/>
      </w:pPr>
      <w:r>
        <w:rPr>
          <w:rFonts w:ascii="Times New Roman" w:cs="Times New Roman" w:eastAsia="Times New Roman" w:hAnsi="Times New Roman"/>
          <w:b w:val="false"/>
          <w:bCs w:val="false"/>
          <w:i w:val="false"/>
          <w:iCs w:val="false"/>
          <w:sz w:val="24"/>
          <w:szCs w:val="24"/>
        </w:rPr>
        <w:t xml:space="preserve">The paper set out to ask whether Denver's zoning and redlining created the city's environmental inequality, what preceded it, and whether the instruments or later industrial siting accelerated it. On the first question the answer is no. The class and nativity ordering of the population around hazardous industry — labouring, immigrant, lodging and renting households near it, owners and higher-status workers away from it — is present from the earliest mapped census, survives a control for distance to downtown, and was in place decades before the city zoned, before deeds carried racial covenants and before the HOLC appraisers arrived. The hazardous trades that opened before 1940 opened where such households already lived.</w:t>
      </w:r>
    </w:p>
    <w:p>
      <w:pPr>
        <w:spacing w:after="160" w:line="360"/>
        <w:jc w:val="both"/>
      </w:pPr>
      <w:r>
        <w:rPr>
          <w:rFonts w:ascii="Times New Roman" w:cs="Times New Roman" w:eastAsia="Times New Roman" w:hAnsi="Times New Roman"/>
          <w:b w:val="false"/>
          <w:bCs w:val="false"/>
          <w:i w:val="false"/>
          <w:iCs w:val="false"/>
          <w:sz w:val="24"/>
          <w:szCs w:val="24"/>
        </w:rPr>
        <w:t xml:space="preserve">On the second question, what preceded the disparities was an industrial corridor and a housing market, and the two produced different geographies for different groups. Black Denverites, a small population, lived near the centre and the industry in 1880–1910, and between 1910 and 1930 became concentrated in residential blocks northeast of downtown that the appraisers later graded D; segregation on fixed geography doubled between 1880 and 1940, most steeply in 1920–30. The land the 1925 ordinance zoned industrial was the city's most immigrant and labouring land from 1900, lost its Black residents, and became Mexican and Hispano by 1920–30. The HOLC D grade drew both into one category, which is why a D–C Black gap and a D–C Hispanic gap both appear and why neither, read alone, describes the industrial geography.</w:t>
      </w:r>
    </w:p>
    <w:p>
      <w:pPr>
        <w:spacing w:after="160" w:line="360"/>
        <w:jc w:val="both"/>
      </w:pPr>
      <w:r>
        <w:rPr>
          <w:rFonts w:ascii="Times New Roman" w:cs="Times New Roman" w:eastAsia="Times New Roman" w:hAnsi="Times New Roman"/>
          <w:b w:val="false"/>
          <w:bCs w:val="false"/>
          <w:i w:val="false"/>
          <w:iCs w:val="false"/>
          <w:sz w:val="24"/>
          <w:szCs w:val="24"/>
        </w:rPr>
        <w:t xml:space="preserve">On the third question,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the Black concentration in D rose most before the map; and both the Black and the Hispanic concentrations in D and industrial tracts peaked around 1960 and have declined since. After 1950 the group most concentrated beside industry was Hispanic on every geography and specification tested, and D and Industrial tracts gained Hispanic residents and poverty and lost value relative to A tracts. That association is a property of places rather than of changes within them: tracts did not change composition when their industry changed, composition also predicts where the number of hazardous firms grew, and the manufacturers that arrived after 1965 went to tracts that were less poor than average and were followed by faster Hispanic growth. The corridor is still largely industrial in the parcel record.</w:t>
      </w:r>
    </w:p>
    <w:p>
      <w:pPr>
        <w:spacing w:after="160" w:line="360"/>
        <w:jc w:val="both"/>
      </w:pPr>
      <w:r>
        <w:rPr>
          <w:rFonts w:ascii="Times New Roman" w:cs="Times New Roman" w:eastAsia="Times New Roman" w:hAnsi="Times New Roman"/>
          <w:b w:val="false"/>
          <w:bCs w:val="false"/>
          <w:i w:val="false"/>
          <w:iCs w:val="false"/>
          <w:sz w:val="24"/>
          <w:szCs w:val="24"/>
        </w:rPr>
        <w:t xml:space="preserve">What remains unidentified is the effect of any one instrument. The grading, the zoning, FHA practice, the railways and the post-war land market pointed at the same land; a boundary design with fifteen tracts a side cannot pull them apart; and the pre-map D–C Black gap is consistent in sign but not significant once spatial dependence is allowed for.</w:t>
      </w:r>
    </w:p>
    <w:p>
      <w:pPr>
        <w:spacing w:after="160" w:line="360"/>
        <w:jc w:val="both"/>
      </w:pPr>
      <w:r>
        <w:rPr>
          <w:rFonts w:ascii="Times New Roman" w:cs="Times New Roman" w:eastAsia="Times New Roman" w:hAnsi="Times New Roman"/>
          <w:b w:val="false"/>
          <w:bCs w:val="false"/>
          <w:i w:val="false"/>
          <w:iCs w:val="false"/>
          <w:sz w:val="24"/>
          <w:szCs w:val="24"/>
        </w:rPr>
        <w:t xml:space="preserve">The reading we draw is closer to "recording" than to either "creation" or "reinforcement" in the terms of Aaronson, Hartley and Mazumder (2021) and Fishback et al. (2024): reinforcement may have occurred, but these data cannot show it. For Denver the question of whether the HOLC map caused the later divergence matters less than the observation that the instruments the city and the federal government produced between 1925 and 1938 recorded a corridor that was already a generation or two old, and that the corridor then held successive disadvantaged groups. That is the "churning" that Frickel and Elliott describe from the industrial side, seen from the residential side: the industrial landscape persists, and the people pass through it.</w:t>
      </w:r>
    </w:p>
    <w:p>
      <w:pPr>
        <w:spacing w:after="160" w:line="360"/>
        <w:jc w:val="both"/>
      </w:pPr>
      <w:r>
        <w:rPr>
          <w:rFonts w:ascii="Times New Roman" w:cs="Times New Roman" w:eastAsia="Times New Roman" w:hAnsi="Times New Roman"/>
          <w:b w:val="false"/>
          <w:bCs w:val="false"/>
          <w:i w:val="false"/>
          <w:iCs w:val="false"/>
          <w:sz w:val="24"/>
          <w:szCs w:val="24"/>
        </w:rPr>
        <w:t xml:space="preserve">Two implications follow for environmental-justice research. The first is about measurement. A study that begins with the regulatory inventories of the 1980s begins after Denver's pre-1960 hazardous trades had closed and their sites had been converted; it observes a Hispanic–industry association whose geography was laid down earlier. The directory series and the full-count census make the earlier period measurable, and the methods here are not specific to Denver. The checks needed along the way are part of the method: in this paper a single study area, fixed-geography checks, a downtown control, within-source density comparisons, a direction check on the geocodes and a split of the D grade by zoning each changed a result that an earlier draft had stated more strongly. The second implication is about the relict sites. One in six of the 1965–92 hazardous sites and one in five of the pre-1960 trades now stand under housing; most of the later ones were small firms in residential buildings rather than conversions, and 67 carry no record in any inventory this project searched. Whether they are contaminated is unknown; they are also largely invisible to the inventories that would find out.</w:t>
      </w:r>
    </w:p>
    <w:p>
      <w:pPr>
        <w:spacing w:after="160" w:line="360"/>
        <w:jc w:val="both"/>
      </w:pPr>
      <w:r>
        <w:rPr>
          <w:rFonts w:ascii="Times New Roman" w:cs="Times New Roman" w:eastAsia="Times New Roman" w:hAnsi="Times New Roman"/>
          <w:b w:val="false"/>
          <w:bCs w:val="false"/>
          <w:i w:val="false"/>
          <w:iCs w:val="false"/>
          <w:sz w:val="24"/>
          <w:szCs w:val="24"/>
        </w:rPr>
        <w:t xml:space="preserve">The limitations are set out where they arise and are restated here. The district reconstruction places three-quarters of the 1900 population at street level and the rest by district; Hispanic origin before 1960 is inferred, not self-reported. The directory inventory has twelve partial editions set aside and a change of source between 1956 and 1965, so firm densities are compared only within each source. The 1929 zoning layer cannot fully separate apartment from industrial hatching and does not cover the whole graded area. The tract analysis interpolates every census before 1990 by area. The pre-map Black gap at the D–C boundary is consistent but imprecise. The post-2000 exposure is to historically listed sites. The descriptive sequences use area weighting from districts to grid cells, which assumes people are spread evenly within a district. The archival check covers twenty addresses on one Sanborn edition. The next pass on this paper is the reverse-directory and later Sanborn checks of the residential sites, not further interpretation.</w:t>
      </w:r>
    </w:p>
    <w:p>
      <w:pPr>
        <w:pStyle w:val="Heading1"/>
        <w:spacing w:after="160" w:before="360"/>
      </w:pPr>
      <w:r>
        <w:rPr>
          <w:rFonts w:ascii="Times New Roman" w:cs="Times New Roman" w:eastAsia="Times New Roman" w:hAnsi="Times New Roman"/>
          <w:b/>
          <w:bCs/>
          <w:color w:val="000000"/>
          <w:sz w:val="26"/>
          <w:szCs w:val="26"/>
        </w:rPr>
        <w:t xml:space="preserve">References</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Aaronson, D., Hartley, D. and Mazumder, B. (2021) The effects of the 1930s HOLC "redlining" maps. </w:t>
      </w:r>
      <w:r>
        <w:rPr>
          <w:rFonts w:ascii="Times New Roman" w:cs="Times New Roman" w:eastAsia="Times New Roman" w:hAnsi="Times New Roman"/>
          <w:b w:val="false"/>
          <w:bCs w:val="false"/>
          <w:i/>
          <w:iCs/>
          <w:sz w:val="24"/>
          <w:szCs w:val="24"/>
        </w:rPr>
        <w:t xml:space="preserve">American Economic Journal: Economic Policy</w:t>
      </w:r>
      <w:r>
        <w:rPr>
          <w:rFonts w:ascii="Times New Roman" w:cs="Times New Roman" w:eastAsia="Times New Roman" w:hAnsi="Times New Roman"/>
          <w:b w:val="false"/>
          <w:bCs w:val="false"/>
          <w:i w:val="false"/>
          <w:iCs w:val="false"/>
          <w:sz w:val="24"/>
          <w:szCs w:val="24"/>
        </w:rPr>
        <w:t xml:space="preserve"> 13(4): 355–392.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Been, V. (1994) Locally undesirable land uses in minority neighborhoods: disproportionate siting or market dynamics? </w:t>
      </w:r>
      <w:r>
        <w:rPr>
          <w:rFonts w:ascii="Times New Roman" w:cs="Times New Roman" w:eastAsia="Times New Roman" w:hAnsi="Times New Roman"/>
          <w:b w:val="false"/>
          <w:bCs w:val="false"/>
          <w:i/>
          <w:iCs/>
          <w:sz w:val="24"/>
          <w:szCs w:val="24"/>
        </w:rPr>
        <w:t xml:space="preserve">Yale Law Journal</w:t>
      </w:r>
      <w:r>
        <w:rPr>
          <w:rFonts w:ascii="Times New Roman" w:cs="Times New Roman" w:eastAsia="Times New Roman" w:hAnsi="Times New Roman"/>
          <w:b w:val="false"/>
          <w:bCs w:val="false"/>
          <w:i w:val="false"/>
          <w:iCs w:val="false"/>
          <w:sz w:val="24"/>
          <w:szCs w:val="24"/>
        </w:rPr>
        <w:t xml:space="preserve"> 103(6): 1383–1422.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Elliott, J. R. and Frickel, S. (2013) The historical nature of cities: a study of urbanization and hazardous waste accumulation.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78(4): 521–543.</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Faber, J. W. (2020) We built this: consequences of New Deal era intervention in America's racial geography.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85(5): 739–775.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Fishback, P., Rose, J., Snowden, K. and Storrs, T. (2024) New evidence on redlining by federal housing programs in the 1930s. </w:t>
      </w:r>
      <w:r>
        <w:rPr>
          <w:rFonts w:ascii="Times New Roman" w:cs="Times New Roman" w:eastAsia="Times New Roman" w:hAnsi="Times New Roman"/>
          <w:b w:val="false"/>
          <w:bCs w:val="false"/>
          <w:i/>
          <w:iCs/>
          <w:sz w:val="24"/>
          <w:szCs w:val="24"/>
        </w:rPr>
        <w:t xml:space="preserve">Journal of Urban Economics</w:t>
      </w:r>
      <w:r>
        <w:rPr>
          <w:rFonts w:ascii="Times New Roman" w:cs="Times New Roman" w:eastAsia="Times New Roman" w:hAnsi="Times New Roman"/>
          <w:b w:val="false"/>
          <w:bCs w:val="false"/>
          <w:i w:val="false"/>
          <w:iCs w:val="false"/>
          <w:sz w:val="24"/>
          <w:szCs w:val="24"/>
        </w:rPr>
        <w:t xml:space="preserve"> 141: 103462.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(2008) Tracking industrial land use conversions: a new approach for studying relict waste and urban development. </w:t>
      </w:r>
      <w:r>
        <w:rPr>
          <w:rFonts w:ascii="Times New Roman" w:cs="Times New Roman" w:eastAsia="Times New Roman" w:hAnsi="Times New Roman"/>
          <w:b w:val="false"/>
          <w:bCs w:val="false"/>
          <w:i/>
          <w:iCs/>
          <w:sz w:val="24"/>
          <w:szCs w:val="24"/>
        </w:rPr>
        <w:t xml:space="preserve">Organization &amp; Environment</w:t>
      </w:r>
      <w:r>
        <w:rPr>
          <w:rFonts w:ascii="Times New Roman" w:cs="Times New Roman" w:eastAsia="Times New Roman" w:hAnsi="Times New Roman"/>
          <w:b w:val="false"/>
          <w:bCs w:val="false"/>
          <w:i w:val="false"/>
          <w:iCs w:val="false"/>
          <w:sz w:val="24"/>
          <w:szCs w:val="24"/>
        </w:rPr>
        <w:t xml:space="preserve"> 21(2): 128–147.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(2018) </w:t>
      </w:r>
      <w:r>
        <w:rPr>
          <w:rFonts w:ascii="Times New Roman" w:cs="Times New Roman" w:eastAsia="Times New Roman" w:hAnsi="Times New Roman"/>
          <w:b w:val="false"/>
          <w:bCs w:val="false"/>
          <w:i/>
          <w:iCs/>
          <w:sz w:val="24"/>
          <w:szCs w:val="24"/>
        </w:rPr>
        <w:t xml:space="preserve">Sites Unseen: Uncovering Hidden Hazards in American Cities</w:t>
      </w:r>
      <w:r>
        <w:rPr>
          <w:rFonts w:ascii="Times New Roman" w:cs="Times New Roman" w:eastAsia="Times New Roman" w:hAnsi="Times New Roman"/>
          <w:b w:val="false"/>
          <w:bCs w:val="false"/>
          <w:i w:val="false"/>
          <w:iCs w:val="false"/>
          <w:sz w:val="24"/>
          <w:szCs w:val="24"/>
        </w:rPr>
        <w:t xml:space="preserve">. New York: Russell Sage Foundation.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Marlow, T., Frickel, S. and Elliott, J. R. (2020) Do legacy industrial sites produce legacy effects for ethnic and racial residential segregation?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15(3): 034037.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Mohai, P. and Saha, R. (2015) Which came first, people or pollution? Assessing the disparate siting and post-siting demographic change hypotheses of environmental injustice.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10(11): 115008.</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Nelson, R. K., Winling, L., et al. </w:t>
      </w:r>
      <w:r>
        <w:rPr>
          <w:rFonts w:ascii="Times New Roman" w:cs="Times New Roman" w:eastAsia="Times New Roman" w:hAnsi="Times New Roman"/>
          <w:b w:val="false"/>
          <w:bCs w:val="false"/>
          <w:i/>
          <w:iCs/>
          <w:sz w:val="24"/>
          <w:szCs w:val="24"/>
        </w:rPr>
        <w:t xml:space="preserve">Mapping Inequality: Redlining in New Deal America</w:t>
      </w:r>
      <w:r>
        <w:rPr>
          <w:rFonts w:ascii="Times New Roman" w:cs="Times New Roman" w:eastAsia="Times New Roman" w:hAnsi="Times New Roman"/>
          <w:b w:val="false"/>
          <w:bCs w:val="false"/>
          <w:i w:val="false"/>
          <w:iCs w:val="false"/>
          <w:sz w:val="24"/>
          <w:szCs w:val="24"/>
        </w:rPr>
        <w:t xml:space="preserve">. University of Richmond Digital Scholarship Lab.</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Pastor, M., Sadd, J. and Hipp, J. (2001) Which came first? Toxic facilities, minority move-in, and environmental justice. </w:t>
      </w:r>
      <w:r>
        <w:rPr>
          <w:rFonts w:ascii="Times New Roman" w:cs="Times New Roman" w:eastAsia="Times New Roman" w:hAnsi="Times New Roman"/>
          <w:b w:val="false"/>
          <w:bCs w:val="false"/>
          <w:i/>
          <w:iCs/>
          <w:sz w:val="24"/>
          <w:szCs w:val="24"/>
        </w:rPr>
        <w:t xml:space="preserve">Journal of Urban Affairs</w:t>
      </w:r>
      <w:r>
        <w:rPr>
          <w:rFonts w:ascii="Times New Roman" w:cs="Times New Roman" w:eastAsia="Times New Roman" w:hAnsi="Times New Roman"/>
          <w:b w:val="false"/>
          <w:bCs w:val="false"/>
          <w:i w:val="false"/>
          <w:iCs w:val="false"/>
          <w:sz w:val="24"/>
          <w:szCs w:val="24"/>
        </w:rPr>
        <w:t xml:space="preserve"> 23(1): 1–21.</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Ruggles, S., et al. </w:t>
      </w:r>
      <w:r>
        <w:rPr>
          <w:rFonts w:ascii="Times New Roman" w:cs="Times New Roman" w:eastAsia="Times New Roman" w:hAnsi="Times New Roman"/>
          <w:b w:val="false"/>
          <w:bCs w:val="false"/>
          <w:i/>
          <w:iCs/>
          <w:sz w:val="24"/>
          <w:szCs w:val="24"/>
        </w:rPr>
        <w:t xml:space="preserve">IPUMS USA: Version 15.0</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IPUMS NHGIS</w:t>
      </w:r>
      <w:r>
        <w:rPr>
          <w:rFonts w:ascii="Times New Roman" w:cs="Times New Roman" w:eastAsia="Times New Roman" w:hAnsi="Times New Roman"/>
          <w:b w:val="false"/>
          <w:bCs w:val="false"/>
          <w:i w:val="false"/>
          <w:iCs w:val="false"/>
          <w:sz w:val="24"/>
          <w:szCs w:val="24"/>
        </w:rPr>
        <w:t xml:space="preserve">. Minneapolis: University of Minnesota.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Xu, W. (2022) Legacies of institutionalized redlining: a comparison between speculative and implemented mortgage risk maps in Chicago, Illinois. </w:t>
      </w:r>
      <w:r>
        <w:rPr>
          <w:rFonts w:ascii="Times New Roman" w:cs="Times New Roman" w:eastAsia="Times New Roman" w:hAnsi="Times New Roman"/>
          <w:b w:val="false"/>
          <w:bCs w:val="false"/>
          <w:i/>
          <w:iCs/>
          <w:sz w:val="24"/>
          <w:szCs w:val="24"/>
        </w:rPr>
        <w:t xml:space="preserve">Housing Policy Debate</w:t>
      </w:r>
      <w:r>
        <w:rPr>
          <w:rFonts w:ascii="Times New Roman" w:cs="Times New Roman" w:eastAsia="Times New Roman" w:hAnsi="Times New Roman"/>
          <w:b w:val="false"/>
          <w:bCs w:val="false"/>
          <w:i w:val="false"/>
          <w:iCs w:val="false"/>
          <w:sz w:val="24"/>
          <w:szCs w:val="24"/>
        </w:rPr>
        <w:t xml:space="preserve"> 32(2): 249–274.</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Denver Public Library Western History Collection: </w:t>
      </w:r>
      <w:r>
        <w:rPr>
          <w:rFonts w:ascii="Times New Roman" w:cs="Times New Roman" w:eastAsia="Times New Roman" w:hAnsi="Times New Roman"/>
          <w:b w:val="false"/>
          <w:bCs w:val="false"/>
          <w:i/>
          <w:iCs/>
          <w:sz w:val="24"/>
          <w:szCs w:val="24"/>
        </w:rPr>
        <w:t xml:space="preserve">Building Zone Map, City and County of Denver</w:t>
      </w:r>
      <w:r>
        <w:rPr>
          <w:rFonts w:ascii="Times New Roman" w:cs="Times New Roman" w:eastAsia="Times New Roman" w:hAnsi="Times New Roman"/>
          <w:b w:val="false"/>
          <w:bCs w:val="false"/>
          <w:i w:val="false"/>
          <w:iCs w:val="false"/>
          <w:sz w:val="24"/>
          <w:szCs w:val="24"/>
        </w:rPr>
        <w:t xml:space="preserve"> (1925, rev. 1929 and 1944), Polk's Denver City Directory (1873–1969), Sanborn fire-insurance atlases of Denver (1887–1930), Mapping Prejudice: Denver (racial covenants 1931–35).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Assessor parcel data (open-data feature service, accessed October 2026). Business Research Division, University of Colorado,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(1961–2002).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Eckert, F., Fort, T. C., Schott, P. K. and Yang, N. J. (2021) Imputing missing values in the US Census Bureau's County Business Patterns. NBER Working Paper 26632.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Sanborn Map Company (1890) </w:t>
      </w:r>
      <w:r>
        <w:rPr>
          <w:rFonts w:ascii="Times New Roman" w:cs="Times New Roman" w:eastAsia="Times New Roman" w:hAnsi="Times New Roman"/>
          <w:b w:val="false"/>
          <w:bCs w:val="false"/>
          <w:i/>
          <w:iCs/>
          <w:sz w:val="24"/>
          <w:szCs w:val="24"/>
        </w:rPr>
        <w:t xml:space="preserve">Insurance Maps of Denver, Colorado</w:t>
      </w:r>
      <w:r>
        <w:rPr>
          <w:rFonts w:ascii="Times New Roman" w:cs="Times New Roman" w:eastAsia="Times New Roman" w:hAnsi="Times New Roman"/>
          <w:b w:val="false"/>
          <w:bCs w:val="false"/>
          <w:i w:val="false"/>
          <w:iCs w:val="false"/>
          <w:sz w:val="24"/>
          <w:szCs w:val="24"/>
        </w:rPr>
        <w:t xml:space="preserve">, vols 1–2. Library of Congress, Geography and Map Division, Sanborn Maps Collection.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Makarewicz, C. (2023) Denver-metro zoning layer, 3 October 2023, compiled for the National Zoning Atlas. Denver: University of Colorado Denver. Available on request through https://storymaps.arcgis.com/stories/adb86c7ab2624e95a84566fecb8a6f6d.</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Zoning (open-data layer CCD_Zoning; zone districts with the year of the last zoning ordinance), downloaded October 2026.</w:t>
      </w:r>
    </w:p>
    <w:p>
      <w:pPr>
        <w:spacing w:after="160" w:line="360"/>
        <w:jc w:val="both"/>
      </w:pPr>
      <w:r>
        <w:rPr>
          <w:rFonts w:ascii="Times New Roman" w:cs="Times New Roman" w:eastAsia="Times New Roman" w:hAnsi="Times New Roman"/>
          <w:b w:val="false"/>
          <w:bCs w:val="false"/>
          <w:i/>
          <w:iCs/>
          <w:sz w:val="24"/>
          <w:szCs w:val="24"/>
        </w:rPr>
        <w:t xml:space="preserve">Page references and volume numbers to be verified against the originals before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 and After the Map: Industrial Siting and the Making of Environmental Inequality in Denver, 1880–2020</dc:title>
  <dc:creator>Priyanka deSouza</dc:creator>
  <cp:lastModifiedBy>Un-named</cp:lastModifiedBy>
  <cp:revision>1</cp:revision>
  <dcterms:created xsi:type="dcterms:W3CDTF">2026-10-20T13:04:43.902Z</dcterms:created>
  <dcterms:modified xsi:type="dcterms:W3CDTF">2026-10-20T13:04:43.902Z</dcterms:modified>
</cp:coreProperties>
</file>

<file path=docProps/custom.xml><?xml version="1.0" encoding="utf-8"?>
<Properties xmlns="http://schemas.openxmlformats.org/officeDocument/2006/custom-properties" xmlns:vt="http://schemas.openxmlformats.org/officeDocument/2006/docPropsVTypes"/>
</file>