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and Section 7 asks whether they are associated with mortality now. Section 8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and compared with it cell by cell. One texture classifier trained on the 1929 labels was applied to both scans; every cluster of disagreement of about a city block or more (118 of 226 clusters) was inspected on side-by-side crops of the two scans, and only districts visibly redrawn were accepted (8 areas). Most disagreements came from the darker 1944 print rather than from redrawn districts; changes smaller than a block, and amendments coloured by hand on the 1944 copy, are not included.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1929 to 1944.</w:t>
      </w:r>
      <w:r>
        <w:rPr>
          <w:rFonts w:ascii="Times New Roman" w:cs="Times New Roman" w:eastAsia="Times New Roman" w:hAnsi="Times New Roman"/>
          <w:b w:val="false"/>
          <w:bCs w:val="false"/>
          <w:i w:val="false"/>
          <w:iCs w:val="false"/>
          <w:sz w:val="24"/>
          <w:szCs w:val="24"/>
        </w:rPr>
        <w:t xml:space="preserve"> The districts barely moved across the years of the HOLC survey. Between the January 1929 and April 1944 revisions no industrial district was added. About 0.47 km² of Industrial A (2% of it) was redrawn: as commercial districts near W 41st Avenue, as business blocks in River North (Brighton Boulevard and 36th Street) and by the rail yards near E 40th Avenue, and as apartment blocks (Residence D) in two small areas. On the land both sheets cover, the share of D land zoned industrial went from 16.2% to 15.9%, and of C land from 1.6% to 1.5%. The zoning the appraisers saw in 1938 was in substance the zoning of 1929, and it was not extended into the areas they graded D by 1944.</w:t>
      </w: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spacing w:after="160" w:line="360"/>
        <w:jc w:val="both"/>
      </w:pPr>
      <w:r>
        <w:rPr>
          <w:rFonts w:ascii="Times New Roman" w:cs="Times New Roman" w:eastAsia="Times New Roman" w:hAnsi="Times New Roman"/>
          <w:b/>
          <w:bCs/>
          <w:i w:val="false"/>
          <w:iCs w:val="false"/>
          <w:sz w:val="24"/>
          <w:szCs w:val="24"/>
        </w:rPr>
        <w:t xml:space="preserve">Land use and freeways, 1937–1997.</w:t>
      </w:r>
      <w:r>
        <w:rPr>
          <w:rFonts w:ascii="Times New Roman" w:cs="Times New Roman" w:eastAsia="Times New Roman" w:hAnsi="Times New Roman"/>
          <w:b w:val="false"/>
          <w:bCs w:val="false"/>
          <w:i w:val="false"/>
          <w:iCs w:val="false"/>
          <w:sz w:val="24"/>
          <w:szCs w:val="24"/>
        </w:rPr>
        <w:t xml:space="preserve"> The directories place firms and the zoning maps record what was allowed; the U.S. Geological Survey's historical land-use maps of the northern Front Range record what the land was used for, interpreted by hand from aerial photographs of 1937, 1957, 1977 and 1997 at 1 m with a minimum mapping unit of about a hectare (Drummond et al. 2019). Grouped into eight categories and summarised on 10 m cells, they show that industrial land use was concentrated in D areas before the HOLC map: 5.3% of D land was in industrial use in 1937, against at most 0.5% of A, B or C land, and 9.0% by 1977. (Ibsen et al. 2025, using the same maps, report about a quarter of D land as industrial in 1937; recomputed from the 1 m rasters on the Mapping Inequality D polygons, the area-weighted share is 5.4%, so the difference lies in how the grades are summarised.) Zoning ran ahead of use. In 1937 two-thirds of the city's industrial land lay in the 1929 industrial districts, but only 19% of those districts was in industrial use; the share reached 38% by 1977, so most of the zoned land filled in after the HOLC map rather than before it. The maps also offer an independent check on the inventory, since they were drawn without reference to the directories: within 30 m, 47% of the 1965–92 sites on a current regulatory inventory stood on land the interpreters marked industrial in 1977, against 21% of the sites on no inventory, consistent with the parcel evidence (Section 6) that many of the latter were small shops on mixed blocks.</w:t>
      </w:r>
    </w:p>
    <w:p>
      <w:pPr>
        <w:spacing w:after="160" w:line="360"/>
        <w:jc w:val="both"/>
      </w:pPr>
      <w:r>
        <w:rPr>
          <w:rFonts w:ascii="Times New Roman" w:cs="Times New Roman" w:eastAsia="Times New Roman" w:hAnsi="Times New Roman"/>
          <w:b w:val="false"/>
          <w:bCs w:val="false"/>
          <w:i w:val="false"/>
          <w:iCs w:val="false"/>
          <w:sz w:val="24"/>
          <w:szCs w:val="24"/>
        </w:rPr>
        <w:t xml:space="preserve">Freeways added a second, later industrial geography. Dated alignments from OpenHistoricalMap, checked against the NBER/FHWA interstate opening dates (Baum-Snow 2007; I-25 opened to interstate standard in Denver County in 1958–1965, I-70 in 1965–1968), put 133 km of freeway in the study area by 1970. Freeways built in 1950–1979 ran 0.74 km per km² through D land, against 0.17 in C, 0.04 in B and none in A, and 17% of D land lies within 250 m of one. A quarter of their length crossed the 1929 industrial districts, which were 12% of the mapped land, and two-thirds crossed residence and business districts. The 34 study tracts they cut through were already more Hispanic in 1960 (13% against 7.5% elsewhere) and lost more population afterwards (92% of their 1950 population in 1990, against 99%). To see what followed the openings rather than what preceded them, each of the 48 study tracts with a freeway opened within 250 m in 1950–1979 was lined up on its own opening year, and its population-weighted gap from tracts with no freeway within 1 km was traced from the last census before the opening; most of these openings fell in 1951–1968. Against inner tracts at a similar distance from downtown (within 5.8 km, 34 tracts), the freeway tracts' Hispanic share rose from about 1 point above theirs at the last census before opening to 17 points above two decades later and 25 points above four decades later; their white share went from 8 points above to 6 below; the owner-occupancy gap narrowed from 16 to 9 points; and poverty, first measured in 1970, went from 5 points below to 4 above. Population fell in both groups, and less in the freeway tracts (to 85% of the pre-opening count after four decades, against 70%). Against all tracts with no nearby freeway the direction is the same (Hispanic gap from 2 to 22 points, white from 5 to −8, poverty from 1 to 7). This is a comparison of trends, not a causal estimate: the routes were chosen through places already changing, and the owner-occupancy gap was already shrinking in the decades before opening. What it does show is that the neighbourhoods beside the new freeways became steadily more Hispanic and poorer than comparable inner neighbourhoods, while keeping more of their residents.</w:t>
      </w:r>
    </w:p>
    <w:p>
      <w:pPr>
        <w:spacing w:after="80" w:before="240"/>
      </w:pPr>
      <w:r>
        <w:rPr>
          <w:rFonts w:ascii="Times New Roman" w:cs="Times New Roman" w:eastAsia="Times New Roman" w:hAnsi="Times New Roman"/>
          <w:b/>
          <w:bCs/>
          <w:sz w:val="20"/>
          <w:szCs w:val="20"/>
        </w:rPr>
        <w:t xml:space="preserve">Table 15. Land use and freeways by 1938 HOLC grade, 1937–1979</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use, 1937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use, 1977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single-family residential, 1937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77.8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46.6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freeway built 1950–1979 (km per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land within 250 m of such a freeway (%)</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Land use from the USGS historical land-use maps (Drummond et al. 2019), 10 m cells, mapped land only; freeways from OpenHistoricalMap. HOLC areas as in Section 4.</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16.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17.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spacing w:after="160" w:line="360"/>
        <w:jc w:val="both"/>
      </w:pPr>
      <w:r>
        <w:rPr>
          <w:rFonts w:ascii="Times New Roman" w:cs="Times New Roman" w:eastAsia="Times New Roman" w:hAnsi="Times New Roman"/>
          <w:b/>
          <w:bCs/>
          <w:i w:val="false"/>
          <w:iCs w:val="false"/>
          <w:sz w:val="24"/>
          <w:szCs w:val="24"/>
        </w:rPr>
        <w:t xml:space="preserve">Zoning in 2023.</w:t>
      </w:r>
      <w:r>
        <w:rPr>
          <w:rFonts w:ascii="Times New Roman" w:cs="Times New Roman" w:eastAsia="Times New Roman" w:hAnsi="Times New Roman"/>
          <w:b w:val="false"/>
          <w:bCs w:val="false"/>
          <w:i w:val="false"/>
          <w:iCs w:val="false"/>
          <w:sz w:val="24"/>
          <w:szCs w:val="24"/>
        </w:rPr>
        <w:t xml:space="preserve"> A Denver-metro zoning layer of 3 October 2023, compiled by Makarewicz (2023) for the National Zoning Atlas, places the local district codes of 51 jurisdictions in common categories and covers 99% of the study area. It refines the zoning count above in one respect: about a quarter of the Denver sites "still zoned industrial" lie in Denver's industrial mixed-use (I-MX) districts, which allow housing. Of the 959 Denver sites of 1965–92 that fall within the layer, 39% stand in industrial districts that exclude housing, 13.5% in I-MX and 34% in other mixed-use districts with housing. Of the 278 sites in the study tracts outside Denver County, which the city's parcel data do not cover, 58% stand in industrial districts. Seven in ten pre-1960 trade sites are now in mixed-use districts with housing. The land tells the same story: of the 24.6 km² zoned Industrial A in 1929, 51% is zoned industrial without housing in 2023, 12% industrial mixed use and 24% other mixed use with housing. Industrial zoning today sits beside the same population as in 1970. In the 22 study tracts with a fifth or more of their land zoned industrial, 49% of residents were Hispanic and 18% poor in 2020, against 25% and 11.5% in the 105 tracts with none.</w:t>
      </w:r>
    </w:p>
    <w:p>
      <w:pPr>
        <w:spacing w:after="80" w:before="240"/>
      </w:pPr>
      <w:r>
        <w:rPr>
          <w:rFonts w:ascii="Times New Roman" w:cs="Times New Roman" w:eastAsia="Times New Roman" w:hAnsi="Times New Roman"/>
          <w:b/>
          <w:bCs/>
          <w:sz w:val="20"/>
          <w:szCs w:val="20"/>
        </w:rPr>
        <w:t xml:space="preserve">Table 18. Zoning in 2023 of the 1929 industrial districts and of the former hazardous sites</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2023 zoning</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A land (24.6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B land (3.8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Denver County (n = 959)</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suburban study tracts (n = 278)</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pre-1960 trades, Denver County (n = 316)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housing not allowed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57.9%</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mixed use, housing allowed (Denver I-MX)</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Other mixed use with housing</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23.8%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18.3%</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Open space, civic, other</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Shares of each 1929 district's land and of each set of sites by their zoning on 3 October 2023. Sites are street-located hazardous-sector sites; the suburban column covers the study tracts outside the City and County of Denver.</w:t>
      </w:r>
    </w:p>
    <w:p>
      <w:pPr>
        <w:spacing w:after="160" w:line="360"/>
        <w:jc w:val="both"/>
      </w:pPr>
      <w:r>
        <w:rPr>
          <w:rFonts w:ascii="Times New Roman" w:cs="Times New Roman" w:eastAsia="Times New Roman" w:hAnsi="Times New Roman"/>
          <w:b/>
          <w:bCs/>
          <w:i w:val="false"/>
          <w:iCs w:val="false"/>
          <w:sz w:val="24"/>
          <w:szCs w:val="24"/>
        </w:rPr>
        <w:t xml:space="preserve">Zoning, 1929 to today.</w:t>
      </w:r>
      <w:r>
        <w:rPr>
          <w:rFonts w:ascii="Times New Roman" w:cs="Times New Roman" w:eastAsia="Times New Roman" w:hAnsi="Times New Roman"/>
          <w:b w:val="false"/>
          <w:bCs w:val="false"/>
          <w:i w:val="false"/>
          <w:iCs w:val="false"/>
          <w:sz w:val="24"/>
          <w:szCs w:val="24"/>
        </w:rPr>
        <w:t xml:space="preserve"> Four zoning maps of Denver exist in digital form: the 1925 ordinance as amended to 1929 and to 1944, the 2023 National Zoning Atlas layer, and the city's official zoning map today, which records for every district the year of the ordinance that last zoned it. The 1956 ordinance's map has not been digitised, so the series has a gap between 1944 and 2023. On the 202 km² that both historical sheets cover within the City and County of Denver, the share of land zoned industrial was 14.0% in 1929, 13.8% in 1944, 10.6% in 2023 and 10.4% today, with another 2.5% now in industrial mixed-use districts that allow housing. Industrial zoning has always been a D-grade matter: 16.3% of D land was zoned industrial in 1929, 16.1% in 1944 and 12.2% today (17.5% including I-MX), against at most 1.7% of A, B or C land then and none now.</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contraction came late. Of the 28.3 km² zoned industrial in 1929, 51% is still zoned industrial, 11% is industrial mixed use, 18% commercial or mixed use, 10% residential and 10% open space, civic land or planned unit developments. For the 13.8 km² no longer zoned industrial, the ordinance that last zoned the land passed before 2000 for under 3% of it, in 2000–09 for 12.5%, in the 2010 citywide remapping for 53%, and after 2010 for 32%. Because the city layer keeps only the latest ordinance, earlier rezonings are hidden, and land recoded in 2010 may have left industrial zoning at any time after 1944; the date is therefore an upper bound. The sites follow the land. Of the 910 hazardous-sector sites of 1965–92 on the land both sheets cover, 44% stood in an industrial district in 1929 and 35% do today, while 61% now stand where housing is allowed; of the 319 pre-1960 trades, 26% and 7%, with housing allowed on 88%.</w:t>
      </w:r>
    </w:p>
    <w:p>
      <w:pPr>
        <w:spacing w:after="80" w:before="240"/>
      </w:pPr>
      <w:r>
        <w:rPr>
          <w:rFonts w:ascii="Times New Roman" w:cs="Times New Roman" w:eastAsia="Times New Roman" w:hAnsi="Times New Roman"/>
          <w:b/>
          <w:bCs/>
          <w:sz w:val="20"/>
          <w:szCs w:val="20"/>
        </w:rPr>
        <w:t xml:space="preserve">Table 19. Land and sites zoned industrial, 1929–today</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zoned industrial (housing not allowed)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1944</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2023</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today</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land mapped in 1929 and 1944 (202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D land (25.3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A, B and C land (54.0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hazardous-sector sites 1965–92 (n = 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44.2%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43.2%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trades before 1960 (n = 319)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 of each unit within the part of the City and County of Denver covered by both the 1929 and 1944 map sheets. Today = the city's zoning map; 2023 = the National Zoning Atlas layer.</w:t>
      </w:r>
    </w:p>
    <w:p>
      <w:pPr>
        <w:spacing w:after="160" w:line="360"/>
        <w:jc w:val="both"/>
      </w:pPr>
      <w:r>
        <w:rPr>
          <w:rFonts w:ascii="Times New Roman" w:cs="Times New Roman" w:eastAsia="Times New Roman" w:hAnsi="Times New Roman"/>
          <w:b w:val="false"/>
          <w:bCs w:val="false"/>
          <w:i w:val="false"/>
          <w:iCs w:val="false"/>
          <w:sz w:val="24"/>
          <w:szCs w:val="24"/>
        </w:rPr>
        <w:t xml:space="preserve">Where industrial zoning was removed, the population changed. Among the 105 study tracts lying at least half on both sheets, the ten with a fifth or more of their land zoned industrial in 1929 and today were 41% Hispanic in 1970, 49% in 1990 and 44% in 2020. The seven whose industrial zoning has since been removed were 39%, 45% and 25% Hispanic; their Black share fell from 26% to 7% and their poverty rate from 33% to 14% between 1990 and 2020, and their owner-occupied share from 47% to 33%. Industrial zoning that remains still sits beside the Hispanic neighbourhoods of the 1970s; where it has been lifted, those neighbourhoods have largely been replaced. These are descriptions of places, not estimates of what rezoning caused.</w:t>
      </w:r>
    </w:p>
    <w:p>
      <w:pPr>
        <w:spacing w:after="80" w:before="240"/>
      </w:pPr>
      <w:r>
        <w:rPr>
          <w:rFonts w:ascii="Times New Roman" w:cs="Times New Roman" w:eastAsia="Times New Roman" w:hAnsi="Times New Roman"/>
          <w:b/>
          <w:bCs/>
          <w:sz w:val="20"/>
          <w:szCs w:val="20"/>
        </w:rPr>
        <w:t xml:space="preserve">Table 20. Tracts zoned industrial in 1929 and today: composition 1970–2020</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tracts (2010)</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n</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in poverty</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and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47.0</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not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44.5</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neither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52.6</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49.2</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2010 tracts within 10 km of downtown, at least half within both historical map sheets and Denver County, with 200+ residents; industrial = 20% or more of the tract's land in industrial districts. One tract became industrial after 1929 and is not shown. Population-weighted means.</w:t>
      </w:r>
    </w:p>
    <w:p>
      <w:pPr>
        <w:pStyle w:val="Heading1"/>
        <w:spacing w:after="160" w:before="360"/>
      </w:pPr>
      <w:r>
        <w:rPr>
          <w:rFonts w:ascii="Times New Roman" w:cs="Times New Roman" w:eastAsia="Times New Roman" w:hAnsi="Times New Roman"/>
          <w:b/>
          <w:bCs/>
          <w:color w:val="000000"/>
          <w:sz w:val="26"/>
          <w:szCs w:val="26"/>
        </w:rPr>
        <w:t xml:space="preserve">7. Historical hazardous sites and mortality today</w:t>
      </w:r>
    </w:p>
    <w:p>
      <w:pPr>
        <w:spacing w:after="160" w:line="360"/>
        <w:jc w:val="both"/>
      </w:pPr>
      <w:r>
        <w:rPr>
          <w:rFonts w:ascii="Times New Roman" w:cs="Times New Roman" w:eastAsia="Times New Roman" w:hAnsi="Times New Roman"/>
          <w:b w:val="false"/>
          <w:bCs w:val="false"/>
          <w:i w:val="false"/>
          <w:iCs w:val="false"/>
          <w:sz w:val="24"/>
          <w:szCs w:val="24"/>
        </w:rPr>
        <w:t xml:space="preserve">The last question is whether the historical sites matter for health now. Natural-cause and all-cause deaths in 2015–2019 from Colorado death records were assigned to the 2010 census block of residence (95% of deaths matched a 2010 block) and modelled for every Colorado block with at least 100 person-years (59,293 blocks in 1,241 tracts; 132,051 natural-cause deaths) and separately for the Denver study area (10,395 blocks in 184 tracts; 24,399 natural-cause deaths). Negative binomial models with county fixed effects, an offset for person-years and standard errors clustered by tract control for the block's age structure (the share aged 65 and over and its square, and the share under 5, from the 2010 census), population density and mean PM2.5 in 2015–2019; for the tract's poverty, Hispanic, Black and owner-occupied shares in 2020; and for the EnviroScreen low-income, education, linguistic-isolation and hazardous-waste and Superfund proximity indicators. Exposure is a Gaussian kernel density (500 m bandwidth, 2 km cutoff) around each block, standardised, for five sets of points: the 1965–92 hazardous-sector sites that appear in a current regulatory inventory ("known"), those that appear in none ("hidden"), the street-level pre-1960 hazardous trades, current TRI and cleanup sites, and, as a placebo, manufacturers outside the hazardous sectors. The death records are restricted and remain with the author; only model estimates are reported.</w:t>
      </w:r>
    </w:p>
    <w:p>
      <w:pPr>
        <w:spacing w:after="80" w:before="240"/>
      </w:pPr>
      <w:r>
        <w:rPr>
          <w:rFonts w:ascii="Times New Roman" w:cs="Times New Roman" w:eastAsia="Times New Roman" w:hAnsi="Times New Roman"/>
          <w:b/>
          <w:bCs/>
          <w:sz w:val="20"/>
          <w:szCs w:val="20"/>
        </w:rPr>
        <w:t xml:space="preserve">Table 21. Historical hazardous sites and mortality, 2015–2019: rate ratios per SD of exposure</w:t>
      </w:r>
    </w:p>
    <w:tbl>
      <w:tblPr>
        <w:tblW w:type="dxa" w:w="9360"/>
        <w:tblBorders>
          <w:top w:val="single" w:sz="6"/>
          <w:left w:val="none"/>
          <w:bottom w:val="single" w:sz="6"/>
          <w:right w:val="none"/>
          <w:insideH w:val="single" w:color="BBBBBB" w:sz="2"/>
          <w:insideV w:val="none"/>
        </w:tblBorders>
      </w:tblPr>
      <w:tblGrid>
        <w:gridCol w:w="2808"/>
        <w:gridCol w:w="2184"/>
        <w:gridCol w:w="2184"/>
        <w:gridCol w:w="2184"/>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site exposure (per SD of kernel density)</w:t>
            </w:r>
          </w:p>
        </w:tc>
        <w:tc>
          <w:tcPr>
            <w:tcW w:type="dxa" w:w="2184"/>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Colorado, natural causes</w:t>
            </w:r>
          </w:p>
        </w:tc>
        <w:tc>
          <w:tcPr>
            <w:tcW w:type="dxa" w:w="2184"/>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Colorado, all causes</w:t>
            </w:r>
          </w:p>
        </w:tc>
        <w:tc>
          <w:tcPr>
            <w:tcW w:type="dxa" w:w="2184"/>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Denver study area, natural causes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known historical sites</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1.054 (1.015–1.094)</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1.057 (1.020–1.096)</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1.089 (0.997–1.190)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known historical sites, placebo also in the model</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1.050 (1.009–1.091)</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1.052 (1.013–1.093)</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1.084 (0.986–1.191)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hidden sites</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1.006 (0.978–1.035)</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1.008 (0.980–1.036)</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1.002 (0.955–1.052)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hidden sites, high-confidence only</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1.001 (0.974–1.030)</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1.006 (0.980–1.034)</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0.984 (0.933–1.036)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pre-1960 hazardous trades</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0.937 (0.903–0.973)</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0.950 (0.917–0.983)</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0.955 (0.881–1.034)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placebo: non-hazardous manufacturers, alone</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1.031 (1.000–1.064)</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1.036 (1.005–1.067)</w:t>
            </w:r>
          </w:p>
        </w:tc>
        <w:tc>
          <w:tcPr>
            <w:tcW w:type="dxa" w:w="2184"/>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1.037 (0.972–1.107)</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Rate ratios (95% CI) for deaths in 2015–2019. Known and hidden sites are estimated together with current TRI and cleanup sites; the pre-1960 row adds the pre-1960 trades to that model; the placebo row is a model with TRI, cleanup and the placebo only.</w:t>
      </w:r>
    </w:p>
    <w:p>
      <w:pPr>
        <w:spacing w:after="160" w:line="360"/>
        <w:jc w:val="both"/>
      </w:pPr>
      <w:r>
        <w:rPr>
          <w:rFonts w:ascii="Times New Roman" w:cs="Times New Roman" w:eastAsia="Times New Roman" w:hAnsi="Times New Roman"/>
          <w:b w:val="false"/>
          <w:bCs w:val="false"/>
          <w:i w:val="false"/>
          <w:iCs w:val="false"/>
          <w:sz w:val="24"/>
          <w:szCs w:val="24"/>
        </w:rPr>
        <w:t xml:space="preserve">Blocks near the known historical sites have about 5% higher mortality per standard deviation of exposure statewide, after the controls and after the current TRI and cleanup sites, and about 9% higher in the Denver study area, where the interval reaches 1. The association holds with the placebo in the model. Blocks near the hidden sites show none, and neither does the high-confidence subset. Two readings fit these results. The known sites were the larger and longer-lived operations, which is why they entered the inventories; nearly half of them stood on land the aerial-photograph interpreters marked industrial in 1977, against a fifth of the hidden sites (Section 5), most of which were small shops on mixed blocks. And part of the known-site association may reflect industrial neighbourhoods as such rather than the hazardous sectors: the placebo alone is borderline (1.031, 1.000–1.064), although with both in the model it falls to 1.016 while the known sites keep 1.050. The inverse association of the pre-1960 trades most likely reflects what else characterises the old urban core in which they stood, including the redevelopment and turnover described in Section 6, rather than a protective effect. These are associations across places in one period: residence at death is not lifetime exposure, a kernel density ignores what each site handled and for how long, and the controls cannot rule out residual confounding.</w:t>
      </w:r>
    </w:p>
    <w:p>
      <w:pPr>
        <w:pStyle w:val="Heading1"/>
        <w:spacing w:after="160" w:before="360"/>
      </w:pPr>
      <w:r>
        <w:rPr>
          <w:rFonts w:ascii="Times New Roman" w:cs="Times New Roman" w:eastAsia="Times New Roman" w:hAnsi="Times New Roman"/>
          <w:b/>
          <w:bCs/>
          <w:color w:val="000000"/>
          <w:sz w:val="26"/>
          <w:szCs w:val="26"/>
        </w:rPr>
        <w:t xml:space="preserve">8.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Makarewicz, C. (2023) Denver-metro zoning layer, 3 October 2023, compiled for the National Zoning Atlas. Denver: University of Colorado Denver. Available on request through https://storymaps.arcgis.com/stories/adb86c7ab2624e95a84566fecb8a6f6d.</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Zoning (open-data layer CCD_Zoning; zone districts with the year of the last zoning ordinance), downloaded October 2026.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Baum-Snow, N. (2007) Did highways cause suburbanization? </w:t>
      </w:r>
      <w:r>
        <w:rPr>
          <w:rFonts w:ascii="Times New Roman" w:cs="Times New Roman" w:eastAsia="Times New Roman" w:hAnsi="Times New Roman"/>
          <w:b w:val="false"/>
          <w:bCs w:val="false"/>
          <w:i/>
          <w:iCs/>
          <w:sz w:val="24"/>
          <w:szCs w:val="24"/>
        </w:rPr>
        <w:t xml:space="preserve">Quarterly Journal of Economics</w:t>
      </w:r>
      <w:r>
        <w:rPr>
          <w:rFonts w:ascii="Times New Roman" w:cs="Times New Roman" w:eastAsia="Times New Roman" w:hAnsi="Times New Roman"/>
          <w:b w:val="false"/>
          <w:bCs w:val="false"/>
          <w:i w:val="false"/>
          <w:iCs w:val="false"/>
          <w:sz w:val="24"/>
          <w:szCs w:val="24"/>
        </w:rPr>
        <w:t xml:space="preserve"> 122(2): 775–805. Interstate opening data via NBER, Transportation Economics in the 21st Century highway data.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Drummond, M. A., Stier, M. P. and Diffendorfer, J. E. (2019) Historical land use and land cover for assessing the northern Colorado Front Range urban landscape. </w:t>
      </w:r>
      <w:r>
        <w:rPr>
          <w:rFonts w:ascii="Times New Roman" w:cs="Times New Roman" w:eastAsia="Times New Roman" w:hAnsi="Times New Roman"/>
          <w:b w:val="false"/>
          <w:bCs w:val="false"/>
          <w:i/>
          <w:iCs/>
          <w:sz w:val="24"/>
          <w:szCs w:val="24"/>
        </w:rPr>
        <w:t xml:space="preserve">Journal of Maps</w:t>
      </w:r>
      <w:r>
        <w:rPr>
          <w:rFonts w:ascii="Times New Roman" w:cs="Times New Roman" w:eastAsia="Times New Roman" w:hAnsi="Times New Roman"/>
          <w:b w:val="false"/>
          <w:bCs w:val="false"/>
          <w:i w:val="false"/>
          <w:iCs w:val="false"/>
          <w:sz w:val="24"/>
          <w:szCs w:val="24"/>
        </w:rPr>
        <w:t xml:space="preserve"> 15(2): 89–93; data release https://doi.org/10.5066/P995RGC9.</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Ibsen, P. C., Bierbrauer, A., Corro, L. M., Ancona, Z. H., Drummond, M., Bagstad, K. J. and Diffendorfer, J. E. (2025) Land-use and socioeconomic time-series reveal legacy of redlining on present-day gentrification within a growing United States city. </w:t>
      </w:r>
      <w:r>
        <w:rPr>
          <w:rFonts w:ascii="Times New Roman" w:cs="Times New Roman" w:eastAsia="Times New Roman" w:hAnsi="Times New Roman"/>
          <w:b w:val="false"/>
          <w:bCs w:val="false"/>
          <w:i/>
          <w:iCs/>
          <w:sz w:val="24"/>
          <w:szCs w:val="24"/>
        </w:rPr>
        <w:t xml:space="preserve">PLoS ONE</w:t>
      </w:r>
      <w:r>
        <w:rPr>
          <w:rFonts w:ascii="Times New Roman" w:cs="Times New Roman" w:eastAsia="Times New Roman" w:hAnsi="Times New Roman"/>
          <w:b w:val="false"/>
          <w:bCs w:val="false"/>
          <w:i w:val="false"/>
          <w:iCs w:val="false"/>
          <w:sz w:val="24"/>
          <w:szCs w:val="24"/>
        </w:rPr>
        <w:t xml:space="preserve"> 20(3): e0317988.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OpenHistoricalMap contributors, dated road alignments (openhistoricalmap.org), downloaded October 2026.</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2026-10-20T16:21:13.061Z</dcterms:created>
  <dcterms:modified xsi:type="dcterms:W3CDTF">2026-10-20T16:21:13.062Z</dcterms:modified>
</cp:coreProperties>
</file>

<file path=docProps/custom.xml><?xml version="1.0" encoding="utf-8"?>
<Properties xmlns="http://schemas.openxmlformats.org/officeDocument/2006/custom-properties" xmlns:vt="http://schemas.openxmlformats.org/officeDocument/2006/docPropsVTypes"/>
</file>