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Supplementary Information</w:t>
      </w:r>
    </w:p>
    <w:p>
      <w:pPr>
        <w:spacing w:after="160" w:line="360"/>
        <w:jc w:val="both"/>
      </w:pPr>
      <w:r>
        <w:rPr>
          <w:rFonts w:ascii="Times New Roman" w:cs="Times New Roman" w:eastAsia="Times New Roman" w:hAnsi="Times New Roman"/>
          <w:b w:val="false"/>
          <w:bCs w:val="false"/>
          <w:i w:val="false"/>
          <w:iCs w:val="false"/>
          <w:sz w:val="24"/>
          <w:szCs w:val="24"/>
        </w:rPr>
        <w:t xml:space="preserve">Before and After the Map: Industrial Siting and the Making of Environmental Inequality in Denver, 1880–2020</w:t>
      </w:r>
    </w:p>
    <w:p>
      <w:pPr>
        <w:pStyle w:val="Heading1"/>
        <w:spacing w:after="160" w:before="360"/>
      </w:pPr>
      <w:r>
        <w:rPr>
          <w:rFonts w:ascii="Times New Roman" w:cs="Times New Roman" w:eastAsia="Times New Roman" w:hAnsi="Times New Roman"/>
          <w:b/>
          <w:bCs/>
          <w:color w:val="000000"/>
          <w:sz w:val="26"/>
          <w:szCs w:val="26"/>
        </w:rPr>
        <w:t xml:space="preserve">S1. The directory inventory and its coverage</w:t>
      </w:r>
    </w:p>
    <w:p>
      <w:pPr>
        <w:spacing w:after="160" w:line="360"/>
        <w:jc w:val="both"/>
      </w:pPr>
      <w:r>
        <w:rPr>
          <w:rFonts w:ascii="Times New Roman" w:cs="Times New Roman" w:eastAsia="Times New Roman" w:hAnsi="Times New Roman"/>
          <w:b w:val="false"/>
          <w:bCs w:val="false"/>
          <w:i w:val="false"/>
          <w:iCs w:val="false"/>
          <w:sz w:val="24"/>
          <w:szCs w:val="24"/>
        </w:rPr>
        <w:t xml:space="preserve">The Colorado State Business Directory was published annually from 1871; the Denver Public Library has scanned 34 editions between 1871 and 1956 (1871, 1875, 1877–85, 1887–88, 1891–92, 1910–17, 1920, 1927, 1929, 1932–33, 1935, 1939, 1941, 1943, 1950, 1956). Every listing in the hazardous trades (smelting and refining, foundries, iron and steel and metal working, machine shops, chemicals and paints, petroleum and asphalt, tanneries, rendering and soap, gas works, plating, printing, plastics and rubber) was extracted by optical character recognition and keyword rules, checked by hand for Denver, and geocoded against a street grid built from the historical address ranges; listings with no usable street address are placed at the town centre and are excluded from all spatial analyses.</w:t>
      </w:r>
    </w:p>
    <w:p>
      <w:pPr>
        <w:spacing w:after="160" w:line="360"/>
        <w:jc w:val="both"/>
      </w:pPr>
      <w:r>
        <w:rPr>
          <w:rFonts w:ascii="Times New Roman" w:cs="Times New Roman" w:eastAsia="Times New Roman" w:hAnsi="Times New Roman"/>
          <w:b w:val="false"/>
          <w:bCs w:val="false"/>
          <w:i w:val="false"/>
          <w:iCs w:val="false"/>
          <w:sz w:val="24"/>
          <w:szCs w:val="24"/>
        </w:rPr>
        <w:t xml:space="preserve">The Directory of Colorado Manufacturers (Business Research Division, University of Colorado, 1961–2002) was scanned from library copies in 25 editions. Twelve of the scans stop part-way through the geographic section or have missing pages (1961, 1962, 1971, 1976, 1979, 1982, 1984, 1985, 1986, 1993, 1999, 2002) and are excluded everywhere; the thirteen complete editions are 1965, 1966, 1967, 1968, 1970, 1973, 1974, 1977, 1980, 1983, 1988, 1990 and 1992. Listings were linked across editions when within 30 m of each other, giving one site per address with first and last years of listing. One definition of hazardous industry, the Frickel and Elliott sector set, is used for every count in the paper and the application. Denver's street grid numbers north and south from Ellsworth Avenue and east and west from Broadway; 34 Denver listings (almost all 1965) whose point lay on the wrong side of the baseline for the direction in their own address — south-Denver addresses placed on the unprefixed north-Denver street by the geocoder's direction-loose pass — were set to unlocated, removing 19 sites. Table S1 compares each edition with County Business Patterns.</w:t>
      </w:r>
    </w:p>
    <w:p>
      <w:pPr>
        <w:spacing w:after="80" w:before="240"/>
      </w:pPr>
      <w:r>
        <w:rPr>
          <w:rFonts w:ascii="Times New Roman" w:cs="Times New Roman" w:eastAsia="Times New Roman" w:hAnsi="Times New Roman"/>
          <w:b/>
          <w:bCs/>
          <w:sz w:val="20"/>
          <w:szCs w:val="20"/>
        </w:rPr>
        <w:t xml:space="preserve">Table S1. The Directory of Colorado Manufacturers against County Business Patterns, Colorado establishments</w:t>
      </w:r>
    </w:p>
    <w:tbl>
      <w:tblPr>
        <w:tblW w:type="dxa" w:w="9360"/>
        <w:tblBorders>
          <w:top w:val="single" w:sz="6"/>
          <w:left w:val="none"/>
          <w:bottom w:val="single" w:sz="6"/>
          <w:right w:val="none"/>
          <w:insideH w:val="single" w:color="BBBBBB" w:sz="2"/>
          <w:insideV w:val="none"/>
        </w:tblBorders>
      </w:tblPr>
      <w:tblGrid>
        <w:gridCol w:w="2059"/>
        <w:gridCol w:w="1043"/>
        <w:gridCol w:w="1043"/>
        <w:gridCol w:w="1043"/>
        <w:gridCol w:w="1043"/>
        <w:gridCol w:w="1043"/>
        <w:gridCol w:w="1043"/>
        <w:gridCol w:w="1043"/>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Year</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Edition</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CBP manufacturing</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Directory manufacturers</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Ratio</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CBP hazardous sectors</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Directory hazardous</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Ratio</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1976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3,071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1,672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1,026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732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1977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complete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3,438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2,237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1,146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886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1979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3,414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1,560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1,148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643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complete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3,453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3,633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1,175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1,358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3,797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2,098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1,319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874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complete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4,159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3,921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1,417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1,511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4,339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1,651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1,429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704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4,388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1,348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1,411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544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4,390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2,986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1,386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1,200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1988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complete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4,551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3,547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1,436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1,405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1990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complete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4,878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4,064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1,536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1,523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1992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complete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5,226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2,512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1,630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987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1993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5,385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1,873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1,694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777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1999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5,425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2,260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1,749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904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2002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5,250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2,130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1,698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783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0.46</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Across 15 editions and 63 counties the log directory count correlates with the log CBP count at r = 0.85 (all manufacturing) and 0.88 (hazardous sectors); Denver's directory/CBP ratio is 0.77. CBP counts every employer establishment from administrative records and the directory lists firms that answered the publisher's questionnaire or were copied from other lists, so the ratios are coverage rates; ratios above 1 (1980, 1983) mean the directory listed more hazardous-sector firms than CBP counted employer establishments, plausibly because it includes some firms without employees. County files are from Eckert et al. (2021).</w:t>
      </w:r>
    </w:p>
    <w:p>
      <w:pPr>
        <w:pStyle w:val="Heading1"/>
        <w:spacing w:after="160" w:before="360"/>
      </w:pPr>
      <w:r>
        <w:rPr>
          <w:rFonts w:ascii="Times New Roman" w:cs="Times New Roman" w:eastAsia="Times New Roman" w:hAnsi="Times New Roman"/>
          <w:b/>
          <w:bCs/>
          <w:color w:val="000000"/>
          <w:sz w:val="26"/>
          <w:szCs w:val="26"/>
        </w:rPr>
        <w:t xml:space="preserve">S2. Reconstruction of enumeration districts, 1880–1940</w:t>
      </w:r>
    </w:p>
    <w:p>
      <w:pPr>
        <w:spacing w:after="160" w:line="360"/>
        <w:jc w:val="both"/>
      </w:pPr>
      <w:r>
        <w:rPr>
          <w:rFonts w:ascii="Times New Roman" w:cs="Times New Roman" w:eastAsia="Times New Roman" w:hAnsi="Times New Roman"/>
          <w:b w:val="false"/>
          <w:bCs w:val="false"/>
          <w:i w:val="false"/>
          <w:iCs w:val="false"/>
          <w:sz w:val="24"/>
          <w:szCs w:val="24"/>
        </w:rPr>
        <w:t xml:space="preserve">The IPUMS complete-count files give every person's enumeration district number but no address, and no public source maps the districts of 1900–1940. Brown University's Geographic Reference Files for Denver link household heads in each census to street addresses; these were geocoded with an offline geocoder against the historical street grid, and each district's polygon was drawn as the dissolved Voronoi cells of its geocoded addresses, clipped to the city. Only the districts of Denver itself are used: Arapahoe County's districts before the 1902 consolidation, and the City and County of Denver's from 1910; because district numbers repeat across counties, districts are selected by county as well as number, and the mapped population is checked against the county total (1920: 257,317 of 258,017; 1930: 284,823 of 287,832; 1940: 316,385 of 322,780). Districts with fewer than three geocoded households were merged with their neighbours. 73% of the 1900 population is placed at street level. For 1880, Brown's Urban Transition Historical GIS geocoded the census to buildings; the districts were rebuilt from those buildings by the same procedure so that all six censuses are constructed alike. The composition measures are population-weighted aggregates of the full count (race, Hispanic origin, nativity, year of immigration, occupation and Duncan socioeconomic index, tenure, rent, household relationship); only aggregates leave the project.</w:t>
      </w:r>
    </w:p>
    <w:p>
      <w:pPr>
        <w:spacing w:after="160" w:line="360"/>
        <w:jc w:val="both"/>
      </w:pPr>
      <w:r>
        <w:rPr>
          <w:rFonts w:ascii="Times New Roman" w:cs="Times New Roman" w:eastAsia="Times New Roman" w:hAnsi="Times New Roman"/>
          <w:b w:val="false"/>
          <w:bCs w:val="false"/>
          <w:i w:val="false"/>
          <w:iCs w:val="false"/>
          <w:sz w:val="24"/>
          <w:szCs w:val="24"/>
        </w:rPr>
        <w:t xml:space="preserve">A measure is set to missing in a census whose questionnaire or extract does not carry it (ownership in 1880; SEI in the 1900 extract; rent and residence in 1935 except in 1940; 1940 sample-line items), rather than to zero. Hispanic origin is IPUMS HISPAN, inferred from birthplace, parents' birthplace and Spanish surname. "Boarders and lodgers" are household members unrelated to the head (RELATE 12–13). Because the number and size of districts change between censuses, Black–nonblack dissimilarity is also computed on a fixed 500 m grid: each census's district counts are area-weighted onto the grid, using the area mapped in all six censuses (53 cells) and the area mapped from 1900 (309 cells).</w:t>
      </w:r>
    </w:p>
    <w:p>
      <w:pPr>
        <w:spacing w:after="80" w:before="240"/>
      </w:pPr>
      <w:r>
        <w:rPr>
          <w:rFonts w:ascii="Times New Roman" w:cs="Times New Roman" w:eastAsia="Times New Roman" w:hAnsi="Times New Roman"/>
          <w:b/>
          <w:bCs/>
          <w:sz w:val="20"/>
          <w:szCs w:val="20"/>
        </w:rPr>
        <w:t xml:space="preserve">Table S2. District distance gradients, 1880–1940, with and without the log distance to downtown (percentage points per log metre from the nearest hazardous firm; HC1)</w:t>
      </w:r>
    </w:p>
    <w:tbl>
      <w:tblPr>
        <w:tblW w:type="dxa" w:w="9360"/>
        <w:tblBorders>
          <w:top w:val="single" w:sz="6"/>
          <w:left w:val="none"/>
          <w:bottom w:val="single" w:sz="6"/>
          <w:right w:val="none"/>
          <w:insideH w:val="single" w:color="BBBBBB" w:sz="2"/>
          <w:insideV w:val="none"/>
        </w:tblBorders>
      </w:tblPr>
      <w:tblGrid>
        <w:gridCol w:w="2059"/>
        <w:gridCol w:w="1216"/>
        <w:gridCol w:w="1216"/>
        <w:gridCol w:w="1216"/>
        <w:gridCol w:w="1216"/>
        <w:gridCol w:w="1216"/>
        <w:gridCol w:w="1221"/>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Outcome</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Census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Without downtown control</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With downtown control</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w:t>
            </w:r>
          </w:p>
        </w:tc>
        <w:tc>
          <w:tcPr>
            <w:tcW w:type="dxa" w:w="122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EDs</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pooled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1165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pooled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1165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pooled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1165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laborers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pooled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1165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 households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+10.17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 households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+20.05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+11.47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 households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+18.46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+6.84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 households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+8.38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 households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+10.41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owner households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pooled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+9.21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1141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mean SEI</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mean SEI</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+2.31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mean SEI</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+5.18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mean SEI</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mean SEI</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mean SEI</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pooled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in hazardous industries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in hazardous industries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in hazardous industries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in hazardous industries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in hazardous industries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in hazardous industries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pooled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&lt;0.001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1034</w:t>
            </w:r>
          </w:p>
        </w:tc>
      </w:tr>
    </w:tbl>
    <w:p>
      <w:pPr>
        <w:spacing w:after="120"/>
      </w:pPr>
    </w:p>
    <w:p>
      <w:pPr>
        <w:pStyle w:val="Heading1"/>
        <w:spacing w:after="160" w:before="360"/>
      </w:pPr>
      <w:r>
        <w:rPr>
          <w:rFonts w:ascii="Times New Roman" w:cs="Times New Roman" w:eastAsia="Times New Roman" w:hAnsi="Times New Roman"/>
          <w:b/>
          <w:bCs/>
          <w:color w:val="000000"/>
          <w:sz w:val="26"/>
          <w:szCs w:val="26"/>
        </w:rPr>
        <w:t xml:space="preserve">S3. The 1925 zoning ordinance: classification and georeferencing</w:t>
      </w:r>
    </w:p>
    <w:p>
      <w:pPr>
        <w:spacing w:after="160" w:line="360"/>
        <w:jc w:val="both"/>
      </w:pPr>
      <w:r>
        <w:rPr>
          <w:rFonts w:ascii="Times New Roman" w:cs="Times New Roman" w:eastAsia="Times New Roman" w:hAnsi="Times New Roman"/>
          <w:b w:val="false"/>
          <w:bCs w:val="false"/>
          <w:i w:val="false"/>
          <w:iCs w:val="false"/>
          <w:sz w:val="24"/>
          <w:szCs w:val="24"/>
        </w:rPr>
        <w:t xml:space="preserve">The Building Zone Map of February 1925 as revised to January 1929 (Denver Public Library, CG4314 .D4 G44 1929) is a monochrome print in which the thirteen districts are drawn as hatch patterns: Residence A blank, Residence B thin diagonal lines, Residence C cross-hatch, Residence D dots, Residence E thick diagonal lines, Business A–C solid black with a letter, Commercial A–C dense cross-hatch with a letter, Industrial A thick diagonal lines rising to the right, Industrial B thick diagonal lines falling to the right. The 11,849 × 12,000-pixel scan was thresholded, and for each pixel the fraction of dark pixels along short line segments in the four orientations was computed; averaging these over 32-pixel cells gives the density of rising-diagonal, falling-diagonal and horizontal/vertical ink and of isolated blobs. Cells were labelled Industrial where one diagonal orientation dominated and there were no horizontal/vertical lot lines (the industrial districts are drawn without block subdivision), Industrial B where the falling diagonal dominated, and Commercial where both diagonals were dense; a second rule labelled thick rising-diagonal hatch with lot lines as Industrial A, which cannot be told from Residence E and is flagged as uncertain (43% of industrial cells). After morphological cleaning and removal of components smaller than ten cells, the map yields 24.6 km² Industrial A, 3.8 km² Industrial B and 3.6 km² Commercial.</w:t>
      </w:r>
    </w:p>
    <w:p>
      <w:pPr>
        <w:spacing w:after="160" w:line="360"/>
        <w:jc w:val="both"/>
      </w:pPr>
      <w:r>
        <w:rPr>
          <w:rFonts w:ascii="Times New Roman" w:cs="Times New Roman" w:eastAsia="Times New Roman" w:hAnsi="Times New Roman"/>
          <w:b w:val="false"/>
          <w:bCs w:val="false"/>
          <w:i w:val="false"/>
          <w:iCs w:val="false"/>
          <w:sz w:val="24"/>
          <w:szCs w:val="24"/>
        </w:rPr>
        <w:t xml:space="preserve">Georeferencing used sixteen street intersections and park corners read off the scan, resolved to TIGER/Line road intersections; thirteen could be resolved and an affine fit in UTM zone 13N has a root-mean-square residual of 25 m (individual residuals 3–64 m, the largest at the City Park south-west corner). The 1944 revision of the same map (CG4314 .G44 1944) was registered to the 1929 scan with ten shared points (RMSE 25 scan pixels, about 32 m). It is a darker print of the same plate and the classifier cannot be calibrated across the two, but inspection of the registered Platte, Globeville, Sun Valley and Elyria districts shows the same industrial hatching in both, with the 1929–44 amendments confined to a few pencil-marked blocks. The map sheet does not cover the whole 1938 graded area: of the 56 HOLC areas, two (one C, 4.4 km², and one D, 1.2 km²) lie off the sheet, and zoning shares are computed over the land on the sheet only; districts and tracts less than half on the sheet are left missing.</w:t>
      </w:r>
    </w:p>
    <w:p>
      <w:pPr>
        <w:spacing w:after="80" w:before="240"/>
      </w:pPr>
      <w:r>
        <w:rPr>
          <w:rFonts w:ascii="Times New Roman" w:cs="Times New Roman" w:eastAsia="Times New Roman" w:hAnsi="Times New Roman"/>
          <w:b/>
          <w:bCs/>
          <w:sz w:val="20"/>
          <w:szCs w:val="20"/>
        </w:rPr>
        <w:t xml:space="preserve">Table S3. Control points for the 1929 zone map and their residuals</w:t>
      </w:r>
    </w:p>
    <w:tbl>
      <w:tblPr>
        <w:tblW w:type="dxa" w:w="9360"/>
        <w:tblBorders>
          <w:top w:val="single" w:sz="6"/>
          <w:left w:val="none"/>
          <w:bottom w:val="single" w:sz="6"/>
          <w:right w:val="none"/>
          <w:insideH w:val="single" w:color="BBBBBB" w:sz="2"/>
          <w:insideV w:val="none"/>
        </w:tblBorders>
      </w:tblPr>
      <w:tblGrid>
        <w:gridCol w:w="2808"/>
        <w:gridCol w:w="6552"/>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Control point</w:t>
            </w:r>
          </w:p>
        </w:tc>
        <w:tc>
          <w:tcPr>
            <w:tcW w:type="dxa" w:w="6552"/>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Residual (m)</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Colfax Ave &amp; Broadway</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Colfax Ave &amp; Lincoln St</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Colfax Ave &amp; York St</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28</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17th Ave &amp; York St (City Park SW corner)</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17th Ave &amp; Colorado Blvd (City Park SE corner)</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Colfax Ave &amp; Colorado Blvd</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W 32nd Ave &amp; Federal Blvd</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W Colfax Ave &amp; Federal Blvd</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22</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W 23rd Ave &amp; Federal Blvd</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6th Ave &amp; Broadway</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W 48th Ave &amp; Tennyson St</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W Colfax Ave &amp; Sheridan Blvd</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E 14th Ave &amp; Broadway</w:t>
            </w:r>
          </w:p>
        </w:tc>
        <w:tc>
          <w:tcPr>
            <w:tcW w:type="dxa" w:w="655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w:t>
            </w:r>
          </w:p>
        </w:tc>
      </w:tr>
    </w:tbl>
    <w:p>
      <w:pPr>
        <w:spacing w:after="120"/>
      </w:pPr>
    </w:p>
    <w:p>
      <w:pPr>
        <w:pStyle w:val="Heading1"/>
        <w:spacing w:after="160" w:before="360"/>
      </w:pPr>
      <w:r>
        <w:rPr>
          <w:rFonts w:ascii="Times New Roman" w:cs="Times New Roman" w:eastAsia="Times New Roman" w:hAnsi="Times New Roman"/>
          <w:b/>
          <w:bCs/>
          <w:color w:val="000000"/>
          <w:sz w:val="26"/>
          <w:szCs w:val="26"/>
        </w:rPr>
        <w:t xml:space="preserve">S4. Parcel matching, regulatory status and the archival check</w:t>
      </w:r>
    </w:p>
    <w:p>
      <w:pPr>
        <w:spacing w:after="160" w:line="360"/>
        <w:jc w:val="both"/>
      </w:pPr>
      <w:r>
        <w:rPr>
          <w:rFonts w:ascii="Times New Roman" w:cs="Times New Roman" w:eastAsia="Times New Roman" w:hAnsi="Times New Roman"/>
          <w:b w:val="false"/>
          <w:bCs w:val="false"/>
          <w:i w:val="false"/>
          <w:iCs w:val="false"/>
          <w:sz w:val="24"/>
          <w:szCs w:val="24"/>
        </w:rPr>
        <w:t xml:space="preserve">Each geocoded Denver site was matched to the nearest City and County of Denver assessor parcel within 40 m (1,256 of 1,258 distinct coordinates; median distance 10 m). Where several parcels fall within the radius, as for condominium units sharing a footprint, the nearest is taken; the assessor's property class is the same across such units but the dwelling-unit count refers to one of them. Broad classes were assigned from the assessor's class text: residential (single-family, duplex, rowhouse, condominium, apartment, mixed-use residential), industrial and utility (industrial, warehouse, utility, railroad), commercial and office (commercial, office, retail, hotel, parking, service garage), vacant, park and open space (park, golf, cemetery, exempt open space), civic, school and health (exempt school, church, hospital, government, stadium, jail). Regulatory status was assigned from EPA's Facility Registry Service, TRI, SEMS and RCRA and from Colorado's voluntary-cleanup and environmental-covenant registers by location (40–75 m), address or name; a geocoding error of tens of metres can move a site across those thresholds, so a site with no match is a lead for records review rather than a finding, and absence from the searched inventories is not evidence that a site was never assessed or remediated.</w:t>
      </w:r>
    </w:p>
    <w:p>
      <w:pPr>
        <w:spacing w:after="160" w:line="360"/>
        <w:jc w:val="both"/>
      </w:pPr>
      <w:r>
        <w:rPr>
          <w:rFonts w:ascii="Times New Roman" w:cs="Times New Roman" w:eastAsia="Times New Roman" w:hAnsi="Times New Roman"/>
          <w:b w:val="false"/>
          <w:bCs w:val="false"/>
          <w:i w:val="false"/>
          <w:iCs w:val="false"/>
          <w:sz w:val="24"/>
          <w:szCs w:val="24"/>
        </w:rPr>
        <w:t xml:space="preserve">For 114 of the 168 residential sites of 1965–92 the present building was built in or before the site's last listing year; 47 were built later and 7 have no date. Most residential sites are therefore small firms in or beside dwellings, or geocodes that fell on a neighbouring dwelling, rather than conversions. Of the 67 residential sites with no record in the searched inventories, 51 are of this kind.</w:t>
      </w:r>
    </w:p>
    <w:p>
      <w:pPr>
        <w:spacing w:after="80" w:before="240"/>
      </w:pPr>
      <w:r>
        <w:rPr>
          <w:rFonts w:ascii="Times New Roman" w:cs="Times New Roman" w:eastAsia="Times New Roman" w:hAnsi="Times New Roman"/>
          <w:b/>
          <w:bCs/>
          <w:sz w:val="20"/>
          <w:szCs w:val="20"/>
        </w:rPr>
        <w:t xml:space="preserve">Table S4. Sanborn check of twenty street-located hazardous trades on the 1890 sheets (Library of Congress)</w:t>
      </w:r>
    </w:p>
    <w:tbl>
      <w:tblPr>
        <w:tblW w:type="dxa" w:w="9360"/>
        <w:tblBorders>
          <w:top w:val="single" w:sz="6"/>
          <w:left w:val="none"/>
          <w:bottom w:val="single" w:sz="6"/>
          <w:right w:val="none"/>
          <w:insideH w:val="single" w:color="BBBBBB" w:sz="2"/>
          <w:insideV w:val="none"/>
        </w:tblBorders>
      </w:tblPr>
      <w:tblGrid>
        <w:gridCol w:w="2059"/>
        <w:gridCol w:w="1216"/>
        <w:gridCol w:w="1216"/>
        <w:gridCol w:w="1216"/>
        <w:gridCol w:w="1216"/>
        <w:gridCol w:w="1216"/>
        <w:gridCol w:w="1221"/>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Firm</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Address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Sector</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Listed</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1890 sheet</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Use shown on the sheet</w:t>
            </w:r>
          </w:p>
        </w:tc>
        <w:tc>
          <w:tcPr>
            <w:tcW w:type="dxa" w:w="122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Matches geocode</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HF01906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1544 Stout</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Metal working</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53 (left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Tin shop and plumber, 1540-1544 Stout (1-storey, tin-clad rear building)</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yes</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HF01907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1909 Blake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Petroleum refining &amp; asphalt</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64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1.5-storey frame store/shed at 1909 Blake; no smithy labelled</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no</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HF01917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1819 Welton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Machine shop / machinery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60 (left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Denver Steam Laundry (25 HP engine) at 1819; plumber at 1823-1827 Welton</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no</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HF01929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1525 Platte St</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Paint &amp; varnish</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89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West side of 1500 block Platte: "Excavations for several large bldgs"</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inconclusive</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HF01934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1525 Platte St</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Paint &amp; varnish</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89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West side of 1500 block Platte: "Excavations for several large bldgs"</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inconclusive</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HF01937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1516 Wewatta</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Transportation equipment</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55 (left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Wagon shed at 1516-1524 Wewatta; blacksmith and wagon shop on the same lot (1721-1725 15th St)</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HF01952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1525 Platte St</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Paint &amp; varnish</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89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West side of 1500 block Platte: "Excavations for several large bldgs"</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inconclusive</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HF05126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1120 15th</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Metal working</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vol.1 sheet 3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Stores at 1118-1122 15th; tin-clad building and a novelty tin shop at the rear of the block</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1106 15th</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Chemicals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vol.1 sheet 3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2-storey stores and offices (Mendota Block), 1100-1106 15th</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no</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HF05132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2948 Blake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Machine shop / machinery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79 (left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1.5-storey frame dwelling at 2948 Blake; Hendy &amp; Meyer Engineering Co foundry and machine shops directly opposite (2900-2961 Blake)</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HF05136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418 15th</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Metal working</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vol.1 sheet 5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Vacant (former Tramway Electric St. R.R. car barn) at 400-416; dwelling at 424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no</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HF05145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1622 Blake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Foundry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55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Electrotype foundry (2nd floor) in Republican Job Printing, 1616-1622 Blake; Davis-Creswell Mfg Co iron and brass foundry and machine shop, 1624-1632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yes</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HF05150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1622 Blake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Foundry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55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Electrotype foundry (2nd floor) in Republican Job Printing, 1616-1622 Blake; Davis-Creswell Mfg Co iron and brass foundry and machine shop, 1624-1632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yes</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HF05166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1422 Larimer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Metal working</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vol.1 sheet 3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Stores with lodgings above at 1420; Denver Dye Works at 1424; carpenter and tin shop at the rear of the lots</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HF05171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2747 Blake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Smelting &amp; refining</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74 (left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Colorado Lead Works and Railroad Mica Lubricant Co, 2749-2761 Blake (furnace, dust arrester, engine)</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yes</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HF05180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1613 Wazee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Machine shop / machinery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55 (left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Horse and mule market; 2-storey stable at 1601-1621 Wazee</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no</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HF05190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847 Water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Machine shop / machinery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87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800 block Water St: Sayre-Newton lumber yard (south side), dwellings (north side)</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inconclusive</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HF05220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1534 Delgany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Foundry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56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Thos. C. Walker foundry, cupola, core oven, machine shop and pattern warehouse, 1528-1536 Delgany</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yes</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HF05318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1820 Market</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Metal working</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58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Vacant lot at 1804-1824 Market; tin roofer at 1828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partial</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HF05421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1633 Blake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Foundry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1884–1920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vol.2 sheet 55 (right half)</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Paper warehouse (2-storey) at 1633 Blake</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no</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Of the twenty, the sheet shows the listed trade at the geocoded lot for five, a related use on or immediately beside the lot for five, a different use for six, and is inconclusive for four.</w:t>
      </w:r>
    </w:p>
    <w:p>
      <w:pPr>
        <w:pStyle w:val="Heading1"/>
        <w:spacing w:after="160" w:before="360"/>
      </w:pPr>
      <w:r>
        <w:rPr>
          <w:rFonts w:ascii="Times New Roman" w:cs="Times New Roman" w:eastAsia="Times New Roman" w:hAnsi="Times New Roman"/>
          <w:b/>
          <w:bCs/>
          <w:color w:val="000000"/>
          <w:sz w:val="26"/>
          <w:szCs w:val="26"/>
        </w:rPr>
        <w:t xml:space="preserve">S5. Robustness of the boundary and change estimates</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S5. D–C boundary gaps in the Black share with HC1 and Conley (2 km) standard errors</w:t>
      </w:r>
    </w:p>
    <w:tbl>
      <w:tblPr>
        <w:tblW w:type="dxa" w:w="13680"/>
        <w:tblBorders>
          <w:top w:val="single" w:sz="6"/>
          <w:left w:val="none"/>
          <w:bottom w:val="single" w:sz="6"/>
          <w:right w:val="none"/>
          <w:insideH w:val="single" w:color="BBBBBB" w:sz="2"/>
          <w:insideV w:val="none"/>
        </w:tblBorders>
      </w:tblPr>
      <w:tblGrid>
        <w:gridCol w:w="3010"/>
        <w:gridCol w:w="1067"/>
        <w:gridCol w:w="1067"/>
        <w:gridCol w:w="1067"/>
        <w:gridCol w:w="1067"/>
        <w:gridCol w:w="1067"/>
        <w:gridCol w:w="1067"/>
        <w:gridCol w:w="1067"/>
        <w:gridCol w:w="1067"/>
        <w:gridCol w:w="1067"/>
        <w:gridCol w:w="1067"/>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Census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Units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D units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 units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Gap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HC1 SE</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HC1 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Conley SE</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Conley 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Rail- and zoning-adjusted gap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p</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1900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1920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1930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+4.57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1940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+5.89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+5.94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1940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+6.69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1950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+10.30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6.43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+14.48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1960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+17.61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10.74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+22.36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1970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+14.44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10.93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+16.60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1980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+8.17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10.24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+8.36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1990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+6.00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8.96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+5.83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2000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5.84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2010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3.97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0.99</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2020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0.93</w:t>
            </w:r>
          </w:p>
        </w:tc>
      </w:tr>
    </w:tbl>
    <w:p>
      <w:pPr>
        <w:spacing w:after="120"/>
      </w:pPr>
    </w:p>
    <w:p>
      <w:pPr>
        <w:sectPr>
          <w:pgSz w:w="15840" w:h="12240" w:orient="landscape"/>
          <w:pgMar w:top="1080" w:right="1080" w:bottom="1080" w:left="108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S6. D–C boundary gaps in the Hispanic share with HC1 and Conley (2 km) standard errors</w:t>
      </w:r>
    </w:p>
    <w:tbl>
      <w:tblPr>
        <w:tblW w:type="dxa" w:w="13680"/>
        <w:tblBorders>
          <w:top w:val="single" w:sz="6"/>
          <w:left w:val="none"/>
          <w:bottom w:val="single" w:sz="6"/>
          <w:right w:val="none"/>
          <w:insideH w:val="single" w:color="BBBBBB" w:sz="2"/>
          <w:insideV w:val="none"/>
        </w:tblBorders>
      </w:tblPr>
      <w:tblGrid>
        <w:gridCol w:w="3010"/>
        <w:gridCol w:w="1067"/>
        <w:gridCol w:w="1067"/>
        <w:gridCol w:w="1067"/>
        <w:gridCol w:w="1067"/>
        <w:gridCol w:w="1067"/>
        <w:gridCol w:w="1067"/>
        <w:gridCol w:w="1067"/>
        <w:gridCol w:w="1067"/>
        <w:gridCol w:w="1067"/>
        <w:gridCol w:w="1067"/>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Census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Units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D units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 units</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Gap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HC1 SE</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HC1 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Conley SE</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Conley 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Rail- and zoning-adjusted gap</w:t>
            </w:r>
          </w:p>
        </w:tc>
        <w:tc>
          <w:tcPr>
            <w:tcW w:type="dxa" w:w="1067"/>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p</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1900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1920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0.91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1930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1940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districts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&lt;0.001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&lt;0.001</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1940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+4.04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1960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+10.89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+9.89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1970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+15.39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7.41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+12.96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1980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+14.82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9.00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0.11</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+13.44</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1990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+13.48</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10.19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+11.86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2000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+16.99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10.12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+14.67</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2010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+12.02</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8.33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+10.53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2020</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tracts</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+5.06</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4.73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0.29</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+5.03</w:t>
            </w:r>
          </w:p>
        </w:tc>
        <w:tc>
          <w:tcPr>
            <w:tcW w:type="dxa" w:w="1067"/>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0.45</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The 1940 tract Black share is nonwhite; the 1940 tract Hispanic share is filled from the 1940 districts.</w:t>
      </w:r>
    </w:p>
    <w:p>
      <w:pPr>
        <w:spacing w:after="80" w:before="240"/>
      </w:pPr>
      <w:r>
        <w:rPr>
          <w:rFonts w:ascii="Times New Roman" w:cs="Times New Roman" w:eastAsia="Times New Roman" w:hAnsi="Times New Roman"/>
          <w:b/>
          <w:bCs/>
          <w:sz w:val="20"/>
          <w:szCs w:val="20"/>
        </w:rPr>
        <w:t xml:space="preserve">Table S7. D–C gap in the Black share by boundary bandwidth (districts 200/400/800 m; tracts 400/800/1,600 m)</w:t>
      </w:r>
    </w:p>
    <w:tbl>
      <w:tblPr>
        <w:tblW w:type="dxa" w:w="9360"/>
        <w:tblBorders>
          <w:top w:val="single" w:sz="6"/>
          <w:left w:val="none"/>
          <w:bottom w:val="single" w:sz="6"/>
          <w:right w:val="none"/>
          <w:insideH w:val="single" w:color="BBBBBB" w:sz="2"/>
          <w:insideV w:val="none"/>
        </w:tblBorders>
      </w:tblPr>
      <w:tblGrid>
        <w:gridCol w:w="2808"/>
        <w:gridCol w:w="1638"/>
        <w:gridCol w:w="1638"/>
        <w:gridCol w:w="1638"/>
        <w:gridCol w:w="1638"/>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Census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Units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Narrow</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Standard</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Wide</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districts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+0.54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districts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−2.25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+1.91**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districts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+3.20**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districts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+4.16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+8.27*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+9.59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+6.69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+8.17*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districts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+3.05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+5.89*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+11.15**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1950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+15.16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+12.76*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1960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+28.37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+17.61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+17.71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1970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+26.17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+14.44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+14.80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1980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+20.00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+8.17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+8.07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1990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+16.54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+5.99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2000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+2.12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+2.60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2010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+5.36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2020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tracts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+1.05</w:t>
            </w:r>
          </w:p>
        </w:tc>
      </w:tr>
    </w:tbl>
    <w:p>
      <w:pPr>
        <w:spacing w:after="120"/>
      </w:pPr>
    </w:p>
    <w:p>
      <w:pPr>
        <w:spacing w:after="80" w:before="240"/>
      </w:pPr>
      <w:r>
        <w:rPr>
          <w:rFonts w:ascii="Times New Roman" w:cs="Times New Roman" w:eastAsia="Times New Roman" w:hAnsi="Times New Roman"/>
          <w:b/>
          <w:bCs/>
          <w:sz w:val="20"/>
          <w:szCs w:val="20"/>
        </w:rPr>
        <w:t xml:space="preserve">Table S8. Trend in the D–C gap within one unit type (weighted by 1/SE²)</w:t>
      </w:r>
    </w:p>
    <w:tbl>
      <w:tblPr>
        <w:tblW w:type="dxa" w:w="9360"/>
        <w:tblBorders>
          <w:top w:val="single" w:sz="6"/>
          <w:left w:val="none"/>
          <w:bottom w:val="single" w:sz="6"/>
          <w:right w:val="none"/>
          <w:insideH w:val="single" w:color="BBBBBB" w:sz="2"/>
          <w:insideV w:val="none"/>
        </w:tblBorders>
      </w:tblPr>
      <w:tblGrid>
        <w:gridCol w:w="2059"/>
        <w:gridCol w:w="1216"/>
        <w:gridCol w:w="1216"/>
        <w:gridCol w:w="1216"/>
        <w:gridCol w:w="1216"/>
        <w:gridCol w:w="1216"/>
        <w:gridCol w:w="1221"/>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Outcome</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Units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Censuses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Points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Slope (points per decade)</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SE</w:t>
            </w:r>
          </w:p>
        </w:tc>
        <w:tc>
          <w:tcPr>
            <w:tcW w:type="dxa" w:w="122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districts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2010 tracts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1940-1970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2010 tracts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1970-2020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−2.31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0.005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districts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1900-1940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2010 tracts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1940-1970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2010 tracts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1970-2020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0.03</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An earlier version pooled district and tract estimates in one regression with a post-1938 break; because the two unit types differ in size and in what they measure (Black vs nonwhite in 1940), the trend is now estimated within each unit type only.</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S9. Change in tract outcomes by 1938 class, relative to A tracts: main estimates, Conley (2 km) standard errors, and estimates controlling for the 1929 industrial-zoned share (full and strict layers)</w:t>
      </w:r>
    </w:p>
    <w:tbl>
      <w:tblPr>
        <w:tblW w:type="dxa" w:w="13680"/>
        <w:tblBorders>
          <w:top w:val="single" w:sz="6"/>
          <w:left w:val="none"/>
          <w:bottom w:val="single" w:sz="6"/>
          <w:right w:val="none"/>
          <w:insideH w:val="single" w:color="BBBBBB" w:sz="2"/>
          <w:insideV w:val="none"/>
        </w:tblBorders>
      </w:tblPr>
      <w:tblGrid>
        <w:gridCol w:w="3010"/>
        <w:gridCol w:w="970"/>
        <w:gridCol w:w="970"/>
        <w:gridCol w:w="970"/>
        <w:gridCol w:w="970"/>
        <w:gridCol w:w="970"/>
        <w:gridCol w:w="970"/>
        <w:gridCol w:w="970"/>
        <w:gridCol w:w="970"/>
        <w:gridCol w:w="970"/>
        <w:gridCol w:w="970"/>
        <w:gridCol w:w="970"/>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Outcome</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Period</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Class</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Estimate</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HC1 SE</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p</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Conley SE</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Conley p</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Zoning-adjusted</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Strict zoning layer</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p</w:t>
            </w:r>
          </w:p>
        </w:tc>
        <w:tc>
          <w:tcPr>
            <w:tcW w:type="dxa" w:w="97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Tracts</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Hispanic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Hispanic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+43.8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&lt;0.001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+42.9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&lt;0.001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Hispanic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Industrial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+43.5</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&lt;0.001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+38.8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Hispanic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Commercial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0.05</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below poverty</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1970–2010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below poverty</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1970–2010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+12.5</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below poverty</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1970–2010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Industrial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+33.4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below poverty</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1970–2010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Commercial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log median value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log median value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log median value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Industrial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log median value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Commercial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Black</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Black</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D</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−4.4</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Black</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Industrial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9.7</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0.26</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 Black</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1940–2010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Commercial</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+3.9</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+4.0</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0.08</w:t>
            </w:r>
          </w:p>
        </w:tc>
        <w:tc>
          <w:tcPr>
            <w:tcW w:type="dxa" w:w="97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64</w:t>
            </w:r>
          </w:p>
        </w:tc>
      </w:tr>
    </w:tbl>
    <w:p>
      <w:pPr>
        <w:spacing w:after="120"/>
      </w:pPr>
    </w:p>
    <w:p>
      <w:pPr>
        <w:sectPr>
          <w:pgSz w:w="15840" w:h="12240" w:orient="landscape"/>
          <w:pgMar w:top="1080" w:right="1080" w:bottom="1080" w:left="1080" w:header="708" w:footer="708" w:gutter="0"/>
          <w:pgNumType/>
          <w:docGrid w:linePitch="360"/>
        </w:sectPr>
      </w:pPr>
    </w:p>
    <w:p>
      <w:pPr>
        <w:spacing w:after="160" w:line="360"/>
        <w:jc w:val="both"/>
      </w:pPr>
      <w:r>
        <w:rPr>
          <w:rFonts w:ascii="Times New Roman" w:cs="Times New Roman" w:eastAsia="Times New Roman" w:hAnsi="Times New Roman"/>
          <w:b w:val="false"/>
          <w:bCs w:val="false"/>
          <w:i w:val="false"/>
          <w:iCs w:val="false"/>
          <w:sz w:val="24"/>
          <w:szCs w:val="24"/>
        </w:rPr>
        <w:t xml:space="preserve">The strict zoning layer drops the 43% of industrial cells classified only by the platted thick-hatch rule. B-class estimates are omitted as none differs from A in any specification.</w:t>
      </w:r>
    </w:p>
    <w:p>
      <w:pPr>
        <w:pStyle w:val="Heading1"/>
        <w:spacing w:after="160" w:before="360"/>
      </w:pPr>
      <w:r>
        <w:rPr>
          <w:rFonts w:ascii="Times New Roman" w:cs="Times New Roman" w:eastAsia="Times New Roman" w:hAnsi="Times New Roman"/>
          <w:b/>
          <w:bCs/>
          <w:color w:val="000000"/>
          <w:sz w:val="26"/>
          <w:szCs w:val="26"/>
        </w:rPr>
        <w:t xml:space="preserve">S6. Tract analyses on fixed tract sets</w:t>
      </w:r>
    </w:p>
    <w:p>
      <w:pPr>
        <w:spacing w:after="160" w:line="360"/>
        <w:jc w:val="both"/>
      </w:pPr>
      <w:r>
        <w:rPr>
          <w:rFonts w:ascii="Times New Roman" w:cs="Times New Roman" w:eastAsia="Times New Roman" w:hAnsi="Times New Roman"/>
          <w:b w:val="false"/>
          <w:bCs w:val="false"/>
          <w:i w:val="false"/>
          <w:iCs w:val="false"/>
          <w:sz w:val="24"/>
          <w:szCs w:val="24"/>
        </w:rPr>
        <w:t xml:space="preserve">Every tract analysis uses the 147 tracts (2010 boundaries) whose centroid lies within 10 km of downtown Denver, dropping tracts with fewer than 200 residents. Because fewer of these tracts were populated and tracted in 1950 (97) than later (144–147), Table S10 repeats the distance models on the tracts observed in every census from 1950, 1960 and 1970.</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S10. Tract distance gradients on fixed tract sets (percentage points per log metre from the nearest hazardous firm; HC1)</w:t>
      </w:r>
    </w:p>
    <w:tbl>
      <w:tblPr>
        <w:tblW w:type="dxa" w:w="13680"/>
        <w:tblBorders>
          <w:top w:val="single" w:sz="6"/>
          <w:left w:val="none"/>
          <w:bottom w:val="single" w:sz="6"/>
          <w:right w:val="none"/>
          <w:insideH w:val="single" w:color="BBBBBB" w:sz="2"/>
          <w:insideV w:val="none"/>
        </w:tblBorders>
      </w:tblPr>
      <w:tblGrid>
        <w:gridCol w:w="3010"/>
        <w:gridCol w:w="1185"/>
        <w:gridCol w:w="1185"/>
        <w:gridCol w:w="1185"/>
        <w:gridCol w:w="1185"/>
        <w:gridCol w:w="1185"/>
        <w:gridCol w:w="1185"/>
        <w:gridCol w:w="1185"/>
        <w:gridCol w:w="1185"/>
        <w:gridCol w:w="1190"/>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Tract set</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Outcome</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1950</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1960</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1970</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1980</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1990</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2000</w:t>
            </w:r>
          </w:p>
        </w:tc>
        <w:tc>
          <w:tcPr>
            <w:tcW w:type="dxa" w:w="1185"/>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2010</w:t>
            </w:r>
          </w:p>
        </w:tc>
        <w:tc>
          <w:tcPr>
            <w:tcW w:type="dxa" w:w="119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2020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1950-2020 (95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Hispanic</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−5.6</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1950-2020 (95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White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+3.6</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1950-2020 (95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1950-2020 (95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below poverty</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1950-2020 (95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owner-occupied</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1960-2020 (142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Hispanic</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−5.7*</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1960-2020 (142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White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+3.2*</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1960-2020 (142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1960-2020 (142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below poverty</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−4.2***</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1960-2020 (142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owner-occupied</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+2.9</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1970-2020 (144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Hispanic</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−5.9*</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−3.3</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1970-2020 (144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White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+5.7**</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1970-2020 (144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Black</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1970-2020 (144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below poverty</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−7.3***</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−4.8***</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−5.6***</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−4.2***</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fixed 1970-2020 (144 tracts)</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 owner-occupied</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+3.1</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w:t>
            </w:r>
          </w:p>
        </w:tc>
        <w:tc>
          <w:tcPr>
            <w:tcW w:type="dxa" w:w="1185"/>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w:t>
            </w:r>
          </w:p>
        </w:tc>
        <w:tc>
          <w:tcPr>
            <w:tcW w:type="dxa" w:w="119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+6.1**</w:t>
            </w:r>
          </w:p>
        </w:tc>
      </w:tr>
    </w:tbl>
    <w:p>
      <w:pPr>
        <w:spacing w:after="120"/>
      </w:pPr>
    </w:p>
    <w:p>
      <w:pPr>
        <w:sectPr>
          <w:pgSz w:w="15840" w:h="12240" w:orient="landscape"/>
          <w:pgMar w:top="1080" w:right="1080" w:bottom="1080" w:left="1080" w:header="708" w:footer="708" w:gutter="0"/>
          <w:pgNumType/>
          <w:docGrid w:linePitch="360"/>
        </w:sectPr>
      </w:pPr>
    </w:p>
    <w:p>
      <w:pPr>
        <w:pStyle w:val="Heading1"/>
        <w:spacing w:after="160" w:before="360"/>
      </w:pPr>
      <w:r>
        <w:rPr>
          <w:rFonts w:ascii="Times New Roman" w:cs="Times New Roman" w:eastAsia="Times New Roman" w:hAnsi="Times New Roman"/>
          <w:b/>
          <w:bCs/>
          <w:color w:val="000000"/>
          <w:sz w:val="26"/>
          <w:szCs w:val="26"/>
        </w:rPr>
        <w:t xml:space="preserve">S7. Descriptive sequences</w:t>
      </w:r>
    </w:p>
    <w:p>
      <w:pPr>
        <w:spacing w:after="80" w:before="240"/>
      </w:pPr>
      <w:r>
        <w:rPr>
          <w:rFonts w:ascii="Times New Roman" w:cs="Times New Roman" w:eastAsia="Times New Roman" w:hAnsi="Times New Roman"/>
          <w:b/>
          <w:bCs/>
          <w:sz w:val="20"/>
          <w:szCs w:val="20"/>
        </w:rPr>
        <w:t xml:space="preserve">Table S11. Timeline of each 1938 D area, 1900–1940: when its Black and Hispanic shares first exceeded twice the city's, and when its first hazardous trade was listed</w:t>
      </w:r>
    </w:p>
    <w:tbl>
      <w:tblPr>
        <w:tblW w:type="dxa" w:w="9360"/>
        <w:tblBorders>
          <w:top w:val="single" w:sz="6"/>
          <w:left w:val="none"/>
          <w:bottom w:val="single" w:sz="6"/>
          <w:right w:val="none"/>
          <w:insideH w:val="single" w:color="BBBBBB" w:sz="2"/>
          <w:insideV w:val="none"/>
        </w:tblBorders>
      </w:tblPr>
      <w:tblGrid>
        <w:gridCol w:w="2059"/>
        <w:gridCol w:w="1043"/>
        <w:gridCol w:w="1043"/>
        <w:gridCol w:w="1043"/>
        <w:gridCol w:w="1043"/>
        <w:gridCol w:w="1043"/>
        <w:gridCol w:w="1043"/>
        <w:gridCol w:w="1043"/>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D area</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Population 1930</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First census with Black LQ ≥ 2</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First census with Hispanic LQ ≥ 2</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Black LQ 1900</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Black LQ 1940</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First hazardous trade listed</w:t>
            </w:r>
          </w:p>
        </w:tc>
        <w:tc>
          <w:tcPr>
            <w:tcW w:type="dxa" w:w="1043"/>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Trades listed by 1937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2,846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13,580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445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1900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5.51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1950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41,714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5.64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25,073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11.24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4,994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1950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4,107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D16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1,611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4,112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3,790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1950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D5</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3,959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1920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25,599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0.54</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0.06</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1912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6,332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15,768</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1940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0.27</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0.22</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1950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D9</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17,000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0.13</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1891</w:t>
            </w:r>
          </w:p>
        </w:tc>
        <w:tc>
          <w:tcPr>
            <w:tcW w:type="dxa" w:w="1043"/>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w:t>
            </w:r>
          </w:p>
        </w:tc>
      </w:tr>
    </w:tbl>
    <w:p>
      <w:pPr>
        <w:spacing w:after="120"/>
      </w:pPr>
    </w:p>
    <w:p>
      <w:pPr>
        <w:spacing w:after="160" w:line="360"/>
        <w:jc w:val="both"/>
      </w:pPr>
      <w:r>
        <w:rPr>
          <w:rFonts w:ascii="Times New Roman" w:cs="Times New Roman" w:eastAsia="Times New Roman" w:hAnsi="Times New Roman"/>
          <w:b w:val="false"/>
          <w:bCs w:val="false"/>
          <w:i w:val="false"/>
          <w:iCs w:val="false"/>
          <w:sz w:val="24"/>
          <w:szCs w:val="24"/>
        </w:rPr>
        <w:t xml:space="preserve">Location quotients from the 1900–1940 districts area-weighted into each D area (areas with at least 100 residents). No business-directory edition survives for 1893–1909, so a first listing in 1910–14 is an upper bound on when a trade arrived.</w:t>
      </w:r>
    </w:p>
    <w:p>
      <w:pPr>
        <w:sectPr>
          <w:pgSz w:w="12240" w:h="15840" w:orient="portrait"/>
          <w:pgMar w:top="1440" w:right="1440" w:bottom="1440" w:left="1440" w:header="708" w:footer="708" w:gutter="0"/>
          <w:pgNumType/>
          <w:docGrid w:linePitch="360"/>
        </w:sectPr>
      </w:pPr>
    </w:p>
    <w:p>
      <w:pPr>
        <w:spacing w:after="80" w:before="240"/>
      </w:pPr>
      <w:r>
        <w:rPr>
          <w:rFonts w:ascii="Times New Roman" w:cs="Times New Roman" w:eastAsia="Times New Roman" w:hAnsi="Times New Roman"/>
          <w:b/>
          <w:bCs/>
          <w:sz w:val="20"/>
          <w:szCs w:val="20"/>
        </w:rPr>
        <w:t xml:space="preserve">Table S12. Grid cells with no hazardous trade ever listed, by whether a first trade was listed in the next decade: composition at the start and change over the decade (all decades)</w:t>
      </w:r>
    </w:p>
    <w:tbl>
      <w:tblPr>
        <w:tblW w:type="dxa" w:w="13680"/>
        <w:tblBorders>
          <w:top w:val="single" w:sz="6"/>
          <w:left w:val="none"/>
          <w:bottom w:val="single" w:sz="6"/>
          <w:right w:val="none"/>
          <w:insideH w:val="single" w:color="BBBBBB" w:sz="2"/>
          <w:insideV w:val="none"/>
        </w:tblBorders>
      </w:tblPr>
      <w:tblGrid>
        <w:gridCol w:w="3010"/>
        <w:gridCol w:w="820"/>
        <w:gridCol w:w="820"/>
        <w:gridCol w:w="820"/>
        <w:gridCol w:w="820"/>
        <w:gridCol w:w="820"/>
        <w:gridCol w:w="820"/>
        <w:gridCol w:w="820"/>
        <w:gridCol w:w="820"/>
        <w:gridCol w:w="820"/>
        <w:gridCol w:w="820"/>
        <w:gridCol w:w="820"/>
        <w:gridCol w:w="820"/>
        <w:gridCol w:w="830"/>
      </w:tblGrid>
      <w:tr>
        <w:trPr>
          <w:tblHeader/>
        </w:trPr>
        <w:tc>
          <w:tcPr>
            <w:tcW w:type="dxa" w:w="3010"/>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4"/>
                <w:szCs w:val="14"/>
              </w:rPr>
              <w:t xml:space="preserve">Decade</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Group</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Cells</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Population</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Black</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Hispanic</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foreign born</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laborers</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 owner</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km to downtown</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Change % Black</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Change % Hispanic</w:t>
            </w:r>
          </w:p>
        </w:tc>
        <w:tc>
          <w:tcPr>
            <w:tcW w:type="dxa" w:w="82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Change % foreign born</w:t>
            </w:r>
          </w:p>
        </w:tc>
        <w:tc>
          <w:tcPr>
            <w:tcW w:type="dxa" w:w="83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4"/>
                <w:szCs w:val="14"/>
              </w:rPr>
              <w:t xml:space="preserve">Change % owner</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1900–1910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no hazardous trade by the next census</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297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114,194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0.24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19.29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6.78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30.43</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−1.01</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+4.54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1900–1910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first hazardous trade arrives in the next decade</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1,009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30.88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13.3</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30.92</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3.21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−7.79</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−0.52</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1910–1920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no hazardous trade by the next census</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138,955</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2.12</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0.33</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17.71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6.18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38.55</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2.99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−2.73</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+2.05</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1910–1920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first hazardous trade arrives in the next decade</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34,351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4.87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7.39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20.31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−1.28</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−0.70</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1920–1930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no hazardous trade by the next census</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267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153,959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2.12</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15.11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4.37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2.91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+0.31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+0.45</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−3.78</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+4.66</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1920–1930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first hazardous trade arrives in the next decade</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6,510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1.97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11.72</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3.26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31.66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2.05</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−1.03</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+0.11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−2.24</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−8.28</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1930–1940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no hazardous trade by the next census</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253</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164,376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2.24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1.24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11.54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4.98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47.6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3.29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+0.04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−3.42</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−8.14</w:t>
            </w:r>
          </w:p>
        </w:tc>
      </w:tr>
      <w:tr>
        <w:trPr>
          <w:tblHeader w:val="false"/>
        </w:trPr>
        <w:tc>
          <w:tcPr>
            <w:tcW w:type="dxa" w:w="3010"/>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4"/>
                <w:szCs w:val="14"/>
              </w:rPr>
              <w:t xml:space="preserve">1930–1940</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first hazardous trade arrives in the next decade</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17,493</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4.18</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0.82</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9.41</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5.94</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28.6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2.39</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+0.76</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+0.67</w:t>
            </w:r>
          </w:p>
        </w:tc>
        <w:tc>
          <w:tcPr>
            <w:tcW w:type="dxa" w:w="82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−3.42</w:t>
            </w:r>
          </w:p>
        </w:tc>
        <w:tc>
          <w:tcPr>
            <w:tcW w:type="dxa" w:w="83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4"/>
                <w:szCs w:val="14"/>
              </w:rPr>
              <w:t xml:space="preserve">−9.39</w:t>
            </w:r>
          </w:p>
        </w:tc>
      </w:tr>
    </w:tbl>
    <w:p>
      <w:pPr>
        <w:spacing w:after="120"/>
      </w:pPr>
    </w:p>
    <w:p>
      <w:pPr>
        <w:sectPr>
          <w:pgSz w:w="15840" w:h="12240" w:orient="landscape"/>
          <w:pgMar w:top="1080" w:right="1080" w:bottom="1080" w:left="1080" w:header="708" w:footer="708" w:gutter="0"/>
          <w:pgNumType/>
          <w:docGrid w:linePitch="360"/>
        </w:sectPr>
      </w:pPr>
    </w:p>
    <w:p>
      <w:pPr>
        <w:pStyle w:val="Heading1"/>
        <w:spacing w:after="160" w:before="360"/>
      </w:pPr>
      <w:r>
        <w:rPr>
          <w:rFonts w:ascii="Times New Roman" w:cs="Times New Roman" w:eastAsia="Times New Roman" w:hAnsi="Times New Roman"/>
          <w:b/>
          <w:bCs/>
          <w:color w:val="000000"/>
          <w:sz w:val="26"/>
          <w:szCs w:val="26"/>
        </w:rPr>
        <w:t xml:space="preserve">S8. Colorado beyond Denver</w:t>
      </w:r>
    </w:p>
    <w:p>
      <w:pPr>
        <w:spacing w:after="80" w:before="240"/>
      </w:pPr>
      <w:r>
        <w:rPr>
          <w:rFonts w:ascii="Times New Roman" w:cs="Times New Roman" w:eastAsia="Times New Roman" w:hAnsi="Times New Roman"/>
          <w:b/>
          <w:bCs/>
          <w:sz w:val="20"/>
          <w:szCs w:val="20"/>
        </w:rPr>
        <w:t xml:space="preserve">Table S13. Hazardous trades of the business directory by region, 1880–1940 (each census's own counties; trades listed in the ten years ending at the census)</w:t>
      </w:r>
    </w:p>
    <w:tbl>
      <w:tblPr>
        <w:tblW w:type="dxa" w:w="9360"/>
        <w:tblBorders>
          <w:top w:val="single" w:sz="6"/>
          <w:left w:val="none"/>
          <w:bottom w:val="single" w:sz="6"/>
          <w:right w:val="none"/>
          <w:insideH w:val="single" w:color="BBBBBB" w:sz="2"/>
          <w:insideV w:val="none"/>
        </w:tblBorders>
      </w:tblPr>
      <w:tblGrid>
        <w:gridCol w:w="2808"/>
        <w:gridCol w:w="1638"/>
        <w:gridCol w:w="1638"/>
        <w:gridCol w:w="1638"/>
        <w:gridCol w:w="1638"/>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Census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Region</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Hazardous trades listed</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 of the state's trades</w:t>
            </w:r>
          </w:p>
        </w:tc>
        <w:tc>
          <w:tcPr>
            <w:tcW w:type="dxa" w:w="1638"/>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 of the state's population</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1880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Denver (Arapahoe before 1902)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19.9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1880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Pueblo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9.4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1880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mining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39.7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30.4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1880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rest of Colorado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141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31.6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32.7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1880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southern Hispano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Denver (Arapahoe before 1902)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28.3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Pueblo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mining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16.6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rest of Colorado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15.3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39.1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southern Hispano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9.6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Denver (Arapahoe before 1902)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54.7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28.0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Pueblo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mining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14.7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rest of Colorado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29.5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48.7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southern Hispano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9.3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Denver (Arapahoe before 1902)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656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43.1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28.9</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Pueblo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mining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125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4.2</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rest of Colorado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586</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38.5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51.5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southern Hispano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9.2</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Denver (Arapahoe before 1902)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45.2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30.0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Pueblo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8.5</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mining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rest of Colorado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104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35.4</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51.7</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southern Hispano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7.1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9.0</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Denver (Arapahoe before 1902)</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49.0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31.5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Pueblo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6.1</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mining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5.9</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3.6</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rest of Colorado</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178</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36.3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50.1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southern Hispano counties</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13</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2.7</w:t>
            </w:r>
          </w:p>
        </w:tc>
        <w:tc>
          <w:tcPr>
            <w:tcW w:type="dxa" w:w="1638"/>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8.6</w:t>
            </w:r>
          </w:p>
        </w:tc>
      </w:tr>
    </w:tbl>
    <w:p>
      <w:pPr>
        <w:spacing w:after="120"/>
      </w:pPr>
    </w:p>
    <w:p>
      <w:pPr>
        <w:spacing w:after="80" w:before="240"/>
      </w:pPr>
      <w:r>
        <w:rPr>
          <w:rFonts w:ascii="Times New Roman" w:cs="Times New Roman" w:eastAsia="Times New Roman" w:hAnsi="Times New Roman"/>
          <w:b/>
          <w:bCs/>
          <w:sz w:val="20"/>
          <w:szCs w:val="20"/>
        </w:rPr>
        <w:t xml:space="preserve">Table S14. Correlation across counties of log hazardous trades per 1,000 residents with each composition share, 1880–1940 (counties with 1,000+ residents)</w:t>
      </w:r>
    </w:p>
    <w:tbl>
      <w:tblPr>
        <w:tblW w:type="dxa" w:w="9360"/>
        <w:tblBorders>
          <w:top w:val="single" w:sz="6"/>
          <w:left w:val="none"/>
          <w:bottom w:val="single" w:sz="6"/>
          <w:right w:val="none"/>
          <w:insideH w:val="single" w:color="BBBBBB" w:sz="2"/>
          <w:insideV w:val="none"/>
        </w:tblBorders>
      </w:tblPr>
      <w:tblGrid>
        <w:gridCol w:w="2808"/>
        <w:gridCol w:w="1310"/>
        <w:gridCol w:w="1310"/>
        <w:gridCol w:w="1310"/>
        <w:gridCol w:w="1310"/>
        <w:gridCol w:w="1312"/>
      </w:tblGrid>
      <w:tr>
        <w:trPr>
          <w:tblHeader/>
        </w:trPr>
        <w:tc>
          <w:tcPr>
            <w:tcW w:type="dxa" w:w="2808"/>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8"/>
                <w:szCs w:val="18"/>
              </w:rPr>
              <w:t xml:space="preserve">Census</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Counties</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Foreign born</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Hispanic</w:t>
            </w:r>
          </w:p>
        </w:tc>
        <w:tc>
          <w:tcPr>
            <w:tcW w:type="dxa" w:w="1310"/>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Laborers</w:t>
            </w:r>
          </w:p>
        </w:tc>
        <w:tc>
          <w:tcPr>
            <w:tcW w:type="dxa" w:w="1312"/>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8"/>
                <w:szCs w:val="18"/>
              </w:rPr>
              <w:t xml:space="preserve">Black</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1880.0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29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0.37</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-0.32</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0.05</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1900.0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51</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0.19</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0.01</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0.15</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0.21</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1910.0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58</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0.13</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-0.14</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-0.03</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1920.0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61</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0.36</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-0.44</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-0.08</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-0.04</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1930.0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0.13</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-0.22</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-0.04</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0.08</w:t>
            </w:r>
          </w:p>
        </w:tc>
      </w:tr>
      <w:tr>
        <w:trPr>
          <w:tblHeader w:val="false"/>
        </w:trPr>
        <w:tc>
          <w:tcPr>
            <w:tcW w:type="dxa" w:w="2808"/>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8"/>
                <w:szCs w:val="18"/>
              </w:rPr>
              <w:t xml:space="preserve">1940.0</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61</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0.12</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-0.24</w:t>
            </w:r>
          </w:p>
        </w:tc>
        <w:tc>
          <w:tcPr>
            <w:tcW w:type="dxa" w:w="1310"/>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-0.11</w:t>
            </w:r>
          </w:p>
        </w:tc>
        <w:tc>
          <w:tcPr>
            <w:tcW w:type="dxa" w:w="1312"/>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8"/>
                <w:szCs w:val="18"/>
              </w:rPr>
              <w:t xml:space="preserve">-0.07</w:t>
            </w:r>
          </w:p>
        </w:tc>
      </w:tr>
    </w:tbl>
    <w:p>
      <w:pPr>
        <w:spacing w:after="120"/>
      </w:pPr>
    </w:p>
    <w:p>
      <w:pPr>
        <w:spacing w:after="80" w:before="240"/>
      </w:pPr>
      <w:r>
        <w:rPr>
          <w:rFonts w:ascii="Times New Roman" w:cs="Times New Roman" w:eastAsia="Times New Roman" w:hAnsi="Times New Roman"/>
          <w:b/>
          <w:bCs/>
          <w:sz w:val="20"/>
          <w:szCs w:val="20"/>
        </w:rPr>
        <w:t xml:space="preserve">Table S15. Tract composition and log hazardous-firm density across Colorado by region, 1990–2020 (percentage points per log unit of firms per km²; log population density and county fixed effects; HC1)</w:t>
      </w:r>
    </w:p>
    <w:tbl>
      <w:tblPr>
        <w:tblW w:type="dxa" w:w="9360"/>
        <w:tblBorders>
          <w:top w:val="single" w:sz="6"/>
          <w:left w:val="none"/>
          <w:bottom w:val="single" w:sz="6"/>
          <w:right w:val="none"/>
          <w:insideH w:val="single" w:color="BBBBBB" w:sz="2"/>
          <w:insideV w:val="none"/>
        </w:tblBorders>
      </w:tblPr>
      <w:tblGrid>
        <w:gridCol w:w="2059"/>
        <w:gridCol w:w="1216"/>
        <w:gridCol w:w="1216"/>
        <w:gridCol w:w="1216"/>
        <w:gridCol w:w="1216"/>
        <w:gridCol w:w="1216"/>
        <w:gridCol w:w="1221"/>
      </w:tblGrid>
      <w:tr>
        <w:trPr>
          <w:tblHeader/>
        </w:trPr>
        <w:tc>
          <w:tcPr>
            <w:tcW w:type="dxa" w:w="2059"/>
            <w:shd w:fill="EDEDED" w:color="auto" w:val="clear"/>
            <w:tcMar>
              <w:top w:type="dxa" w:w="40"/>
              <w:left w:type="dxa" w:w="60"/>
              <w:bottom w:type="dxa" w:w="40"/>
              <w:right w:type="dxa" w:w="60"/>
            </w:tcMar>
          </w:tcPr>
          <w:p>
            <w:pPr>
              <w:jc w:val="left"/>
            </w:pPr>
            <w:r>
              <w:rPr>
                <w:rFonts w:ascii="Times New Roman" w:cs="Times New Roman" w:eastAsia="Times New Roman" w:hAnsi="Times New Roman"/>
                <w:b/>
                <w:bCs/>
                <w:i w:val="false"/>
                <w:iCs w:val="false"/>
                <w:sz w:val="16"/>
                <w:szCs w:val="16"/>
              </w:rPr>
              <w:t xml:space="preserve">Region</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Outcome</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Tracts</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1990</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2000</w:t>
            </w:r>
          </w:p>
        </w:tc>
        <w:tc>
          <w:tcPr>
            <w:tcW w:type="dxa" w:w="1216"/>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2010</w:t>
            </w:r>
          </w:p>
        </w:tc>
        <w:tc>
          <w:tcPr>
            <w:tcW w:type="dxa" w:w="1221"/>
            <w:shd w:fill="EDEDED" w:color="auto" w:val="clear"/>
            <w:tcMar>
              <w:top w:type="dxa" w:w="40"/>
              <w:left w:type="dxa" w:w="60"/>
              <w:bottom w:type="dxa" w:w="40"/>
              <w:right w:type="dxa" w:w="60"/>
            </w:tcMar>
          </w:tcPr>
          <w:p>
            <w:pPr>
              <w:jc w:val="right"/>
            </w:pPr>
            <w:r>
              <w:rPr>
                <w:rFonts w:ascii="Times New Roman" w:cs="Times New Roman" w:eastAsia="Times New Roman" w:hAnsi="Times New Roman"/>
                <w:b/>
                <w:bCs/>
                <w:i w:val="false"/>
                <w:iCs w:val="false"/>
                <w:sz w:val="16"/>
                <w:szCs w:val="16"/>
              </w:rPr>
              <w:t xml:space="preserve">2020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Boulder, Larimer, Weld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Boulder, Larimer, Weld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+8.25***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+8.85***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+6.07**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Boulder, Larimer, Weld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Boulder, Larimer, Weld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below poverty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+5.31*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+6.97***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Boulder, Larimer, Weld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+2.46*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Boulder, Larimer, Weld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193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−6.73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−7.90*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−9.19**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−10.02**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+8.32***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+9.71***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+8.26***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+5.06***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−5.04***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−5.04***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−2.71*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below poverty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+6.62***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+4.83***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+6.47***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+1.80**</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1155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−8.86***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−9.84***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 Springs (El Paso)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 Springs (El Paso)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+3.67*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+3.14</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 Springs (El Paso)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 Springs (El Paso)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below poverty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+6.42***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+5.00***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+7.33***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+7.57***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 Springs (El Paso)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Colorado Springs (El Paso)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−3.76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−10.64**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−11.24***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−12.01***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+16.45***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+16.57***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+10.03***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+3.27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−8.59***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−3.96*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below poverty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+9.57***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+6.39***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+6.03***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+2.64**</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−6.94***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−6.26***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−7.03***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−8.56***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 suburbs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−0.47</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 suburbs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+3.32***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+6.78***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+8.35***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+6.99***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 suburbs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−3.07**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−3.40**</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−4.34**</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 suburbs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below poverty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+4.59***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+3.82***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+6.93***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+3.54***</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 suburbs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+2.63**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+1.47</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Denver suburbs</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413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−10.38***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−13.28***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−14.43***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−12.80***</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Pueblo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+0.34</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Pueblo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+12.14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+12.67*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+12.33**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+8.91**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Pueblo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−4.98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−6.61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−7.95**</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−6.65*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Pueblo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below poverty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+8.94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+7.30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+7.03</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+9.91*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Pueblo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52</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+1.14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+2.11*</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−0.69</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Pueblo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51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−9.46</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−13.93</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−15.56</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−16.12</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rest of 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Black</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−2.89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−4.71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−2.22</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−0.85</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rest of 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Hispanic</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+0.84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−0.38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+0.03</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rest of 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White</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+0.58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−0.48</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rest of 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below poverty</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+7.05*</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+7.09*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+8.84*</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+9.01*</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rest of 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foreign born</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210</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−0.74</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+0.21</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−0.98</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−2.06</w:t>
            </w:r>
          </w:p>
        </w:tc>
      </w:tr>
      <w:tr>
        <w:trPr>
          <w:tblHeader w:val="false"/>
        </w:trPr>
        <w:tc>
          <w:tcPr>
            <w:tcW w:type="dxa" w:w="2059"/>
            <w:tcMar>
              <w:top w:type="dxa" w:w="40"/>
              <w:left w:type="dxa" w:w="60"/>
              <w:bottom w:type="dxa" w:w="40"/>
              <w:right w:type="dxa" w:w="60"/>
            </w:tcMar>
          </w:tcPr>
          <w:p>
            <w:pPr>
              <w:jc w:val="left"/>
            </w:pPr>
            <w:r>
              <w:rPr>
                <w:rFonts w:ascii="Times New Roman" w:cs="Times New Roman" w:eastAsia="Times New Roman" w:hAnsi="Times New Roman"/>
                <w:b w:val="false"/>
                <w:bCs w:val="false"/>
                <w:i w:val="false"/>
                <w:iCs w:val="false"/>
                <w:sz w:val="16"/>
                <w:szCs w:val="16"/>
              </w:rPr>
              <w:t xml:space="preserve">rest of Colorado</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 owner-occupied</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208</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−14.29***</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−16.47***</w:t>
            </w:r>
          </w:p>
        </w:tc>
        <w:tc>
          <w:tcPr>
            <w:tcW w:type="dxa" w:w="1216"/>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−16.49**</w:t>
            </w:r>
          </w:p>
        </w:tc>
        <w:tc>
          <w:tcPr>
            <w:tcW w:type="dxa" w:w="1221"/>
            <w:tcMar>
              <w:top w:type="dxa" w:w="40"/>
              <w:left w:type="dxa" w:w="60"/>
              <w:bottom w:type="dxa" w:w="40"/>
              <w:right w:type="dxa" w:w="60"/>
            </w:tcMar>
          </w:tcPr>
          <w:p>
            <w:pPr>
              <w:jc w:val="right"/>
            </w:pPr>
            <w:r>
              <w:rPr>
                <w:rFonts w:ascii="Times New Roman" w:cs="Times New Roman" w:eastAsia="Times New Roman" w:hAnsi="Times New Roman"/>
                <w:b w:val="false"/>
                <w:bCs w:val="false"/>
                <w:i w:val="false"/>
                <w:iCs w:val="false"/>
                <w:sz w:val="16"/>
                <w:szCs w:val="16"/>
              </w:rPr>
              <w:t xml:space="preserve">−12.71*</w:t>
            </w:r>
          </w:p>
        </w:tc>
      </w:tr>
    </w:tbl>
    <w:p>
      <w:pPr>
        <w:spacing w:after="120"/>
      </w:pPr>
    </w:p>
    <w:p>
      <w:pPr>
        <w:pStyle w:val="Heading1"/>
        <w:spacing w:after="160" w:before="360"/>
      </w:pPr>
      <w:r>
        <w:rPr>
          <w:rFonts w:ascii="Times New Roman" w:cs="Times New Roman" w:eastAsia="Times New Roman" w:hAnsi="Times New Roman"/>
          <w:b/>
          <w:bCs/>
          <w:color w:val="000000"/>
          <w:sz w:val="26"/>
          <w:szCs w:val="26"/>
        </w:rPr>
        <w:t xml:space="preserve">S9. The companion application</w:t>
      </w:r>
    </w:p>
    <w:p>
      <w:pPr>
        <w:spacing w:after="160" w:line="360"/>
        <w:jc w:val="both"/>
      </w:pPr>
      <w:r>
        <w:rPr>
          <w:rFonts w:ascii="Times New Roman" w:cs="Times New Roman" w:eastAsia="Times New Roman" w:hAnsi="Times New Roman"/>
          <w:b w:val="false"/>
          <w:bCs w:val="false"/>
          <w:i w:val="false"/>
          <w:iCs w:val="false"/>
          <w:sz w:val="24"/>
          <w:szCs w:val="24"/>
        </w:rPr>
        <w:t xml:space="preserve">An interactive application accompanies the paper. It maps every site, pre-1960 trade, district, tract, HOLC area, 1925 zoning district and matched parcel behind the tables, with the same filters (directory years, sectors, regulatory status, location confidence) applied throughout, and provides the derived data for download: the geocoded listings by edition, the site inventory and firm histories, the district and tract panels, the 1929 zoning districts and their shares by HOLC area and tract, the boundary gaps and change models with their robustness columns, and the parcel matches. Microdata and address files from IPUMS and Brown University are not redistributed.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Priyanka deSouza</dc:creator>
  <cp:lastModifiedBy>Un-named</cp:lastModifiedBy>
  <cp:revision>1</cp:revision>
  <dcterms:created xsi:type="dcterms:W3CDTF">2026-10-19T00:10:29.535Z</dcterms:created>
  <dcterms:modified xsi:type="dcterms:W3CDTF">2026-10-19T00:10:29.535Z</dcterms:modified>
</cp:coreProperties>
</file>

<file path=docProps/custom.xml><?xml version="1.0" encoding="utf-8"?>
<Properties xmlns="http://schemas.openxmlformats.org/officeDocument/2006/custom-properties" xmlns:vt="http://schemas.openxmlformats.org/officeDocument/2006/docPropsVTypes"/>
</file>