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Section 7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it is a darker print of the same plate and the classifier cannot be calibrated across the two, but side-by-side inspection of the Platte, Globeville, Sun Valley and Elyria districts shows the same industrial hatching in 1944 as in 1929, so the 1929 layer is used as the zoning in force throughout 1925–44.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15.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16.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pStyle w:val="Heading1"/>
        <w:spacing w:after="160" w:before="360"/>
      </w:pPr>
      <w:r>
        <w:rPr>
          <w:rFonts w:ascii="Times New Roman" w:cs="Times New Roman" w:eastAsia="Times New Roman" w:hAnsi="Times New Roman"/>
          <w:b/>
          <w:bCs/>
          <w:color w:val="000000"/>
          <w:sz w:val="26"/>
          <w:szCs w:val="26"/>
        </w:rPr>
        <w:t xml:space="preserve">7.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2026-10-18T22:45:53.605Z</dcterms:created>
  <dcterms:modified xsi:type="dcterms:W3CDTF">2026-10-18T22:45:53.605Z</dcterms:modified>
</cp:coreProperties>
</file>

<file path=docProps/custom.xml><?xml version="1.0" encoding="utf-8"?>
<Properties xmlns="http://schemas.openxmlformats.org/officeDocument/2006/custom-properties" xmlns:vt="http://schemas.openxmlformats.org/officeDocument/2006/docPropsVTypes"/>
</file>