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how the people living beside hazardous industry changed as the city zoned (1925), redlined (1938) and redeveloped. Three sources are linked: the street-level hazardous trades of 34 business-directory editions (1871–1956) and 13 complete manufacturers' directory editions (1965–1992), geocoded to the historical street grid; the complete-count censuses of 1880–1940 aggregated to reconstructed enumeration districts, and tract tables for 1940–2020; and the city's 1929 building-zone map, the 1938 HOLC map and today's assessor parcels. Three findings follow. In every census from 1880 the districts nearest hazardous industry held more Black, foreign-born and labouring households and fewer owners, with no tendency for the industries' own workers to live beside them. The D–C boundaries of the 1938 map already separated Black from white blocks in 1930 and 1940, and 15% of the future D land was zoned industrial in 1929 against 1% of the C land; after the map the gap widened, hazardous siting concentrated in D and industrially zoned areas at ten times the rate elsewhere, and from 1960 the group beside industry became Hispanic. Today four in ten of the 1965–92 sites are still industrial parcels, half remain in industrial zones, and 176 hold 4,619 homes, most absent from cleanup inventories. The inequality was not created by any one instrument; each instrument marked an existing geography and the housing market assigned successive groups to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show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5 carries the analysis onto census tracts from 1950 to 2020, where the group beside industry changes. Section 6 asks what became of the sites themselves, matching every one to the parcel that stands there today. Section 7 draws the three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the racial and class gradient around hazardous industry in Denver predates zoning, covenants and redlining; that each of those instruments marked the same corridor; that the group occupying it changed from Black and foreign-born to Hispanic after 1950; and that the corridor persists in the parcel record while its older sites have become housing.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is published with the code and the derived data (microdata and address files are not redistributed). The companion web application lets readers see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trades that Frickel and Elliott identify as most likely to leave contamination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the thirteen editions whose scans are complete (1965–68, 1970, 1973–74, 1977, 1980, 1983, 1988, 1990, 1992) yield 3,333 Colorado sites in the hazardous sectors after linking listings across editions within 30 m, 987 of them in the City and County of Denver. Twelve further editions survive only in part and are excluded; the complete editions match County Business Patterns establishment counts within 5–25% at the state level and correlate 0.85–0.88 with CBP across counties (benchmarks in the Supplementary Information). "Firms of the decade" for a census year are the listings of the ten years ending at it; for 2000–2020 the last complete decade, 1983–92, is carried forward, so those years measure proximity to historically listed sites.</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resulting districts (17 in 1880, 128–325 in 1900–1940) carry race, Hispanic origin (HISPAN), nativity, occupation (laborers; Duncan's SEI), tenure, rent and household structure.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1940–2020.</w:t>
      </w:r>
      <w:r>
        <w:rPr>
          <w:rFonts w:ascii="Times New Roman" w:cs="Times New Roman" w:eastAsia="Times New Roman" w:hAnsi="Times New Roman"/>
          <w:b w:val="false"/>
          <w:bCs w:val="false"/>
          <w:i w:val="false"/>
          <w:iCs w:val="false"/>
          <w:sz w:val="24"/>
          <w:szCs w:val="24"/>
        </w:rPr>
        <w:t xml:space="preserve"> NHGIS tract tables on 2010 boundaries, with earlier censuses interpolated by area and population to the 185 tracts of the Denver core; race, Hispanic origin (not measured on tracts before 1960; the 1940 value is filled from the districts), nativity, tenure, poverty (from 1970), and median value and rent in 2020 dollars. The 1940 tract tables report nonwhite rather than Black, and that value is used for 1940.</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street intersections and park corners resolved to TIGER road intersections (affine fit in UTM 13N, RMSE 25 m). Residence E and Industrial A share a hatch and are separated only by the absence of lot lines, the classification's main uncertainty.</w:t>
      </w:r>
      <w:r>
        <w:rPr>
          <w:rFonts w:ascii="Times New Roman" w:cs="Times New Roman" w:eastAsia="Times New Roman" w:hAnsi="Times New Roman"/>
          <w:b w:val="false"/>
          <w:bCs w:val="false"/>
          <w:i w:val="false"/>
          <w:iCs w:val="false"/>
          <w:sz w:val="24"/>
          <w:szCs w:val="24"/>
        </w:rPr>
        <w:t xml:space="preserve"> The library's other edition, the same map revised to April 1944 (CG4314 .G44 1944), was registered to the 1929 scan by a ten-point affine fit (RMSE 25 scan pixels, about 32 m); it is a darker print of the same plate and the classifier cannot be calibrated across the two, but side-by-side inspection of the registered Platte, Globeville, Sun Valley and Elyria districts shows the same industrial hatching in 1944 as in 1929, with the amendments of 1929–44 confined to a few blocks marked in pencil on the print. The 1929 layer is therefore used as the zoning in force throughout 1925–44.</w:t>
      </w:r>
      <w:r>
        <w:rPr>
          <w:rFonts w:ascii="Times New Roman" w:cs="Times New Roman" w:eastAsia="Times New Roman" w:hAnsi="Times New Roman"/>
          <w:b w:val="false"/>
          <w:bCs w:val="false"/>
          <w:i w:val="false"/>
          <w:iCs w:val="false"/>
          <w:sz w:val="24"/>
          <w:szCs w:val="24"/>
        </w:rPr>
        <w:t xml:space="preserve"> Today's land use is the City and County of Denver assessor parcel layer (property class,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compares districts with and without a firm.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1940–2010 change in each tract outcome on the tract's dominant 1938 class (A reference; Industrial and Commercial ungraded zones included), with the starting value, 1940 Black share and 1931–40 firms controlled. Section 5 repeats the Section 3 design on tracts and adds a hybrid within/between panel (Marlow, Frickel and Elliott 2020) with tract-clustered errors and a between-tract spatial-error model. Section 6 tabulates current parcel use by series and by the decade of last listing. </w:t>
      </w:r>
      <w:r>
        <w:rPr>
          <w:rFonts w:ascii="Times New Roman" w:cs="Times New Roman" w:eastAsia="Times New Roman" w:hAnsi="Times New Roman"/>
          <w:b w:val="false"/>
          <w:bCs w:val="false"/>
          <w:i w:val="false"/>
          <w:iCs w:val="false"/>
          <w:sz w:val="24"/>
          <w:szCs w:val="24"/>
        </w:rPr>
        <w:t xml:space="preserve">Standard errors are heteroskedasticity-robust (HC1) in the main tables; Section 4 reports the boundary and change estimates again with Conley (2 km) spatially robust errors, with narrower and wider boundary bands, with a strict version of the zoning layer, and with a test of whether the D–C gap changed course at the map</w:t>
      </w:r>
      <w:r>
        <w:rPr>
          <w:rFonts w:ascii="Times New Roman" w:cs="Times New Roman" w:eastAsia="Times New Roman" w:hAnsi="Times New Roman"/>
          <w:b w:val="false"/>
          <w:bCs w:val="false"/>
          <w:i w:val="false"/>
          <w:iCs w:val="false"/>
          <w:sz w:val="24"/>
          <w:szCs w:val="24"/>
        </w:rPr>
        <w:t xml:space="preserve">.</w:t>
      </w:r>
    </w:p>
    <w:p>
      <w:pPr>
        <w:spacing w:after="160" w:line="360"/>
        <w:jc w:val="both"/>
      </w:pPr>
      <w:r>
        <w:rPr>
          <w:rFonts w:ascii="Times New Roman" w:cs="Times New Roman" w:eastAsia="Times New Roman" w:hAnsi="Times New Roman"/>
          <w:b/>
          <w:bCs/>
          <w:i w:val="false"/>
          <w:iCs w:val="false"/>
          <w:sz w:val="24"/>
          <w:szCs w:val="24"/>
        </w:rPr>
        <w:t xml:space="preserve">Archival sources not yet used.</w:t>
      </w:r>
      <w:r>
        <w:rPr>
          <w:rFonts w:ascii="Times New Roman" w:cs="Times New Roman" w:eastAsia="Times New Roman" w:hAnsi="Times New Roman"/>
          <w:b w:val="false"/>
          <w:bCs w:val="false"/>
          <w:i w:val="false"/>
          <w:iCs w:val="false"/>
          <w:sz w:val="24"/>
          <w:szCs w:val="24"/>
        </w:rPr>
        <w:t xml:space="preserve"> The Denver Public Library holds the Polk city directories (1873–1969), the reverse street directories, </w:t>
      </w:r>
      <w:r>
        <w:rPr>
          <w:rFonts w:ascii="Times New Roman" w:cs="Times New Roman" w:eastAsia="Times New Roman" w:hAnsi="Times New Roman"/>
          <w:b w:val="false"/>
          <w:bCs w:val="false"/>
          <w:i w:val="false"/>
          <w:iCs w:val="false"/>
          <w:sz w:val="24"/>
          <w:szCs w:val="24"/>
        </w:rPr>
        <w:t xml:space="preserve">and the Sanborn atlases (1887–1930 editions, also at the Library of Congress)</w:t>
      </w:r>
      <w:r>
        <w:rPr>
          <w:rFonts w:ascii="Times New Roman" w:cs="Times New Roman" w:eastAsia="Times New Roman" w:hAnsi="Times New Roman"/>
          <w:b w:val="false"/>
          <w:bCs w:val="false"/>
          <w:i w:val="false"/>
          <w:iCs w:val="false"/>
          <w:sz w:val="24"/>
          <w:szCs w:val="24"/>
        </w:rPr>
        <w:t xml:space="preserve">. These are the planned sources for block-level checks of the district results and for the site histories of Section 6; none has yet been examined for this paper.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From the first full count we can map, Denver's hazardous trades sat among Black, foreign-born and labouring households, and the gradient did not weaken as the city grew: it reorganised around a new group. In 1880 the districts with a smelter, foundry, tannery or rendering works held 3.2% Black residents against 1.7% elsewhere and 26.5% foreign born against 19.5%; in 1940 the same comparison was 4.1% vs 2.1% Black and 8.5% vs 3.9% Hispanic. </w:t>
      </w:r>
      <w:r>
        <w:rPr>
          <w:rFonts w:ascii="Times New Roman" w:cs="Times New Roman" w:eastAsia="Times New Roman" w:hAnsi="Times New Roman"/>
          <w:b w:val="false"/>
          <w:bCs w:val="false"/>
          <w:i w:val="false"/>
          <w:iCs w:val="false"/>
          <w:sz w:val="24"/>
          <w:szCs w:val="24"/>
        </w:rPr>
        <w:t xml:space="preserve">The pattern is consistent with successive arriving groups being housed where the industry already stood rather than with industry following the poor, although the cross-sections alone cannot establish the direction</w:t>
      </w:r>
      <w:r>
        <w:rPr>
          <w:rFonts w:ascii="Times New Roman" w:cs="Times New Roman" w:eastAsia="Times New Roman" w:hAnsi="Times New Roman"/>
          <w:b w:val="false"/>
          <w:bCs w:val="false"/>
          <w:i w:val="false"/>
          <w:iCs w:val="false"/>
          <w:sz w:val="24"/>
          <w:szCs w:val="24"/>
        </w:rPr>
        <w:t xml:space="preserv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(ED) from the Brown Urban Transition address files and the IPUMS full count (17 EDs in 1880, 128 in 1900, 158 in 1910, 309 in 1920, 228 in 1930, 325 in 1940; aggregates only, no microdata leave the project). Hazardous trades are the street-level listings of the Colorado State Business Directory (34 complete editions 1871–1956) in the Frickel &amp; Elliott hazardous sectors, geocoded to the historical street grid; a decade's firms are those listed in the ten years ending at the census. Each ED's exposure is the log distance from its centroid to the nearest such firm, and the regressions are population-weighted with HC1 errors.</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 dissimilarity index across all mapped EDs in the last row of each census).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 dissimilarity index in the last row of each census)</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121,367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6,589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205,907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67,082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204,003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26,447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278,836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8.50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310,501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43.6</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Black–white dissimilarity across EDs rose from 0.41 (1880) to 0.81 (1940) while the Black share of the city stayed near 2.5%: a small population being sorted into fewer and fewer districts, and those districts the industrial ones. Mean SEI (Duncan socioeconomic index of employed adults) was 29.6–29.9 in firm districts in every census from 1880 to 1940 against 33.6–38.9 elsewhere; the median monthly rent in 1940 was $17 in firm districts and $49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Signs are stable </w:t>
      </w:r>
      <w:r>
        <w:rPr>
          <w:rFonts w:ascii="Times New Roman" w:cs="Times New Roman" w:eastAsia="Times New Roman" w:hAnsi="Times New Roman"/>
          <w:b w:val="false"/>
          <w:bCs w:val="false"/>
          <w:i w:val="false"/>
          <w:iCs w:val="false"/>
          <w:sz w:val="24"/>
          <w:szCs w:val="24"/>
        </w:rPr>
        <w:t xml:space="preserve">from 1900 to 1940 for every measure; in the sparse 1880 cross-section (17 districts) the laborer and SEI coefficients reverse and are not significant. T</w:t>
      </w:r>
      <w:r>
        <w:rPr>
          <w:rFonts w:ascii="Times New Roman" w:cs="Times New Roman" w:eastAsia="Times New Roman" w:hAnsi="Times New Roman"/>
          <w:b w:val="false"/>
          <w:bCs w:val="false"/>
          <w:i w:val="false"/>
          <w:iCs w:val="false"/>
          <w:sz w:val="24"/>
          <w:szCs w:val="24"/>
        </w:rPr>
        <w:t xml:space="preserve">he group carrying the Hispanic gradient changes, from nil before 1920 to the steepest gradient of any group by 1940.</w:t>
      </w: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(population-weighted, HC1 errors)</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(census effects)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Mexican-born</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+0.26</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EDs per census as above; pooled N = 1,165 ED-censuses</w:t>
      </w:r>
      <w:r>
        <w:rPr>
          <w:rFonts w:ascii="Times New Roman" w:cs="Times New Roman" w:eastAsia="Times New Roman" w:hAnsi="Times New Roman"/>
          <w:b w:val="false"/>
          <w:bCs w:val="false"/>
          <w:i w:val="false"/>
          <w:iCs w:val="false"/>
          <w:sz w:val="24"/>
          <w:szCs w:val="24"/>
        </w:rPr>
        <w:t xml:space="preserve">; outcomes the census did not ask in every year have fewer (1,142 for ownership, which </w:t>
      </w:r>
      <w:r>
        <w:rPr>
          <w:rFonts w:ascii="Times New Roman" w:cs="Times New Roman" w:eastAsia="Times New Roman" w:hAnsi="Times New Roman"/>
          <w:b w:val="false"/>
          <w:bCs w:val="false"/>
          <w:i w:val="false"/>
          <w:iCs w:val="false"/>
          <w:sz w:val="24"/>
          <w:szCs w:val="24"/>
        </w:rPr>
        <w:t xml:space="preserve">the 1880 census did not ask — 17 districts — and which is missing for 6 other districts; 1,037 for SEI, which the 1900 extract lacks; 325 for rent and movers, 1940 only). Ownership shares are weighted by district population, not households</w:t>
      </w:r>
      <w:r>
        <w:rPr>
          <w:rFonts w:ascii="Times New Roman" w:cs="Times New Roman" w:eastAsia="Times New Roman" w:hAnsi="Times New Roman"/>
          <w:b w:val="false"/>
          <w:bCs w:val="false"/>
          <w:i w:val="false"/>
          <w:iCs w:val="false"/>
          <w:sz w:val="24"/>
          <w:szCs w:val="24"/>
        </w:rPr>
        <w:t xml:space="preserve">.</w:t>
      </w:r>
    </w:p>
    <w:p>
      <w:pPr>
        <w:spacing w:after="160" w:line="360"/>
        <w:jc w:val="both"/>
      </w:pPr>
      <w:r>
        <w:rPr>
          <w:rFonts w:ascii="Times New Roman" w:cs="Times New Roman" w:eastAsia="Times New Roman" w:hAnsi="Times New Roman"/>
          <w:b w:val="false"/>
          <w:bCs w:val="false"/>
          <w:i w:val="false"/>
          <w:iCs w:val="false"/>
          <w:sz w:val="24"/>
          <w:szCs w:val="24"/>
        </w:rPr>
        <w:t xml:space="preserve">Two readings follow. First, the Black gradient is present in 1880, before any zoning, deed covenant or appraisal map existed in Denver: the ordering came first, and the instruments of the 1920s–30s found it in place. Second, the </w:t>
      </w:r>
      <w:r>
        <w:rPr>
          <w:rFonts w:ascii="Times New Roman" w:cs="Times New Roman" w:eastAsia="Times New Roman" w:hAnsi="Times New Roman"/>
          <w:b w:val="false"/>
          <w:bCs w:val="false"/>
          <w:i w:val="false"/>
          <w:iCs w:val="false"/>
          <w:sz w:val="24"/>
          <w:szCs w:val="24"/>
        </w:rPr>
        <w:t xml:space="preserve">share of a district's workers employed in th</w:t>
      </w:r>
      <w:r>
        <w:rPr>
          <w:rFonts w:ascii="Times New Roman" w:cs="Times New Roman" w:eastAsia="Times New Roman" w:hAnsi="Times New Roman"/>
          <w:b w:val="false"/>
          <w:bCs w:val="false"/>
          <w:i w:val="false"/>
          <w:iCs w:val="false"/>
          <w:sz w:val="24"/>
          <w:szCs w:val="24"/>
        </w:rPr>
        <w:t xml:space="preserve">e hazardous</w:t>
      </w:r>
      <w:r>
        <w:rPr>
          <w:rFonts w:ascii="Times New Roman" w:cs="Times New Roman" w:eastAsia="Times New Roman" w:hAnsi="Times New Roman"/>
          <w:b w:val="false"/>
          <w:bCs w:val="false"/>
          <w:i w:val="false"/>
          <w:iCs w:val="false"/>
          <w:sz w:val="24"/>
          <w:szCs w:val="24"/>
        </w:rPr>
        <w:t xml:space="preserve"> industries is flat or slightly </w:t>
      </w:r>
      <w:r>
        <w:rPr>
          <w:rFonts w:ascii="Times New Roman" w:cs="Times New Roman" w:eastAsia="Times New Roman" w:hAnsi="Times New Roman"/>
          <w:b w:val="false"/>
          <w:bCs w:val="false"/>
          <w:i/>
          <w:iCs/>
          <w:sz w:val="24"/>
          <w:szCs w:val="24"/>
        </w:rPr>
        <w:t xml:space="preserve">higher</w:t>
      </w:r>
      <w:r>
        <w:rPr>
          <w:rFonts w:ascii="Times New Roman" w:cs="Times New Roman" w:eastAsia="Times New Roman" w:hAnsi="Times New Roman"/>
          <w:b w:val="false"/>
          <w:bCs w:val="false"/>
          <w:i w:val="false"/>
          <w:iCs w:val="false"/>
          <w:sz w:val="24"/>
          <w:szCs w:val="24"/>
        </w:rPr>
        <w:t xml:space="preserve"> away from the plants</w:t>
      </w:r>
      <w:r>
        <w:rPr>
          <w:rFonts w:ascii="Times New Roman" w:cs="Times New Roman" w:eastAsia="Times New Roman" w:hAnsi="Times New Roman"/>
          <w:b w:val="false"/>
          <w:bCs w:val="false"/>
          <w:i w:val="false"/>
          <w:iCs w:val="false"/>
          <w:sz w:val="24"/>
          <w:szCs w:val="24"/>
        </w:rPr>
        <w:t xml:space="preserve">, so the data show no consistent tendency for those industries' workers to be concentrated next to them; the census gives industry of employment, not workplace, so this is evidence against a simple w</w:t>
      </w:r>
      <w:r>
        <w:rPr>
          <w:rFonts w:ascii="Times New Roman" w:cs="Times New Roman" w:eastAsia="Times New Roman" w:hAnsi="Times New Roman"/>
          <w:b w:val="false"/>
          <w:bCs w:val="false"/>
          <w:i w:val="false"/>
          <w:iCs w:val="false"/>
          <w:sz w:val="24"/>
          <w:szCs w:val="24"/>
        </w:rPr>
        <w:t xml:space="preserve">or</w:t>
      </w:r>
      <w:r>
        <w:rPr>
          <w:rFonts w:ascii="Times New Roman" w:cs="Times New Roman" w:eastAsia="Times New Roman" w:hAnsi="Times New Roman"/>
          <w:b w:val="false"/>
          <w:bCs w:val="false"/>
          <w:i w:val="false"/>
          <w:iCs w:val="false"/>
          <w:sz w:val="24"/>
          <w:szCs w:val="24"/>
        </w:rPr>
        <w:t xml:space="preserve">k</w:t>
      </w:r>
      <w:r>
        <w:rPr>
          <w:rFonts w:ascii="Times New Roman" w:cs="Times New Roman" w:eastAsia="Times New Roman" w:hAnsi="Times New Roman"/>
          <w:b w:val="false"/>
          <w:bCs w:val="false"/>
          <w:i w:val="false"/>
          <w:iCs w:val="false"/>
          <w:sz w:val="24"/>
          <w:szCs w:val="24"/>
        </w:rPr>
        <w:t xml:space="preserve">ers</w:t>
      </w:r>
      <w:r>
        <w:rPr>
          <w:rFonts w:ascii="Times New Roman" w:cs="Times New Roman" w:eastAsia="Times New Roman" w:hAnsi="Times New Roman"/>
          <w:b w:val="false"/>
          <w:bCs w:val="false"/>
          <w:i w:val="false"/>
          <w:iCs w:val="false"/>
          <w:sz w:val="24"/>
          <w:szCs w:val="24"/>
        </w:rPr>
        <w:t xml:space="preserve">'-housing account rather than proof of residential sorting. That reading</w:t>
      </w:r>
      <w:r>
        <w:rPr>
          <w:rFonts w:ascii="Times New Roman" w:cs="Times New Roman" w:eastAsia="Times New Roman" w:hAnsi="Times New Roman"/>
          <w:b w:val="false"/>
          <w:bCs w:val="false"/>
          <w:i w:val="false"/>
          <w:iCs w:val="false"/>
          <w:sz w:val="24"/>
          <w:szCs w:val="24"/>
        </w:rPr>
        <w:t xml:space="preserve"> is the pattern Frickel &amp; Elliott (2008) and Elliott &amp; Frickel (2013) describe as the "churning" of an industrial landscape past which successive poor populations are housed.</w:t>
      </w:r>
    </w:p>
    <w:p>
      <w:pPr>
        <w:spacing w:after="160" w:line="360"/>
        <w:jc w:val="both"/>
      </w:pPr>
      <w:r>
        <w:rPr>
          <w:rFonts w:ascii="Times New Roman" w:cs="Times New Roman" w:eastAsia="Times New Roman" w:hAnsi="Times New Roman"/>
          <w:b w:val="false"/>
          <w:bCs w:val="false"/>
          <w:i/>
          <w:iCs/>
          <w:sz w:val="24"/>
          <w:szCs w:val="24"/>
        </w:rPr>
        <w:t xml:space="preserve">Archival check (DPL).</w:t>
      </w:r>
      <w:r>
        <w:rPr>
          <w:rFonts w:ascii="Times New Roman" w:cs="Times New Roman" w:eastAsia="Times New Roman" w:hAnsi="Times New Roman"/>
          <w:b w:val="false"/>
          <w:bCs w:val="false"/>
          <w:i w:val="false"/>
          <w:iCs w:val="false"/>
          <w:sz w:val="24"/>
          <w:szCs w:val="24"/>
        </w:rPr>
        <w:t xml:space="preserve"> For a sample of the 1920 and 1940 firm districts, the Polk reverse (street) directories at the Denver Public Library give the occupants of each address on the blocks adjoining a plant, and the Sanborn sheets (1887–1930, Library of Congress) give the lot-level use. Th</w:t>
      </w:r>
      <w:r>
        <w:rPr>
          <w:rFonts w:ascii="Times New Roman" w:cs="Times New Roman" w:eastAsia="Times New Roman" w:hAnsi="Times New Roman"/>
          <w:b w:val="false"/>
          <w:bCs w:val="false"/>
          <w:i w:val="false"/>
          <w:iCs w:val="false"/>
          <w:sz w:val="24"/>
          <w:szCs w:val="24"/>
        </w:rPr>
        <w:t xml:space="preserve">is check is planned, not done: it would test whether the ED aggregates reflect district boundaries rather than block-level adjacency, and it is the intended source of the vignettes for Section 6. No Sanborn sheet or reverse directory has yet been examined for this paper</w:t>
      </w:r>
      <w:r>
        <w:rPr>
          <w:rFonts w:ascii="Times New Roman" w:cs="Times New Roman" w:eastAsia="Times New Roman" w:hAnsi="Times New Roman"/>
          <w:b w:val="false"/>
          <w:bCs w:val="false"/>
          <w:i w:val="false"/>
          <w:iCs w:val="false"/>
          <w:sz w:val="24"/>
          <w:szCs w:val="24"/>
        </w:rPr>
        <w:t xml:space="preserve">.</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and the racial gap at its D–C boundaries was open before the map was drawn. </w:t>
      </w:r>
      <w:r>
        <w:rPr>
          <w:rFonts w:ascii="Times New Roman" w:cs="Times New Roman" w:eastAsia="Times New Roman" w:hAnsi="Times New Roman"/>
          <w:b w:val="false"/>
          <w:bCs w:val="false"/>
          <w:i w:val="false"/>
          <w:iCs w:val="false"/>
          <w:sz w:val="24"/>
          <w:szCs w:val="24"/>
        </w:rPr>
        <w:t xml:space="preserve">What followed is consistent with the persistence and reinforcement of that geography: the D areas held ten times the hazardous manufacturers per km² of the C areas in 1961–80, and the Hispanic share of D tracts rose 38 points more than in A tracts between 1940 and 1980. The analysis cannot isolate the contribution of the HOLC grading itself from zoning, FHA practice, rail and the post-war land market, and the design does not test whether the post-map widening differs statistically from the pre-map trend</w:t>
      </w:r>
      <w:r>
        <w:rPr>
          <w:rFonts w:ascii="Times New Roman" w:cs="Times New Roman" w:eastAsia="Times New Roman" w:hAnsi="Times New Roman"/>
          <w:b w:val="false"/>
          <w:bCs w:val="false"/>
          <w:i w:val="false"/>
          <w:iCs w:val="false"/>
          <w:sz w:val="24"/>
          <w:szCs w:val="24"/>
        </w:rPr>
        <w:t xml:space="preserve">. The design here follows Aaronson, Hartley &amp;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(2023)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Not one of the 171 street-level hazardous trades listed before the map stood in an A or B area; 15 stood in C (8 of 20 areas)</w:t>
      </w:r>
      <w:r>
        <w:rPr>
          <w:rFonts w:ascii="Times New Roman" w:cs="Times New Roman" w:eastAsia="Times New Roman" w:hAnsi="Times New Roman"/>
          <w:b w:val="false"/>
          <w:bCs w:val="false"/>
          <w:i w:val="false"/>
          <w:iCs w:val="false"/>
          <w:sz w:val="24"/>
          <w:szCs w:val="24"/>
        </w:rPr>
        <w:t xml:space="preserve">, 25 in D (7 of 16), and the remaining 131 in the zones the appraisers left ungraded as Industrial (20) or Commercial (111, mostly the downtown and Larimer Street fringe</w:t>
      </w:r>
      <w:r>
        <w:rPr>
          <w:rFonts w:ascii="Times New Roman" w:cs="Times New Roman" w:eastAsia="Times New Roman" w:hAnsi="Times New Roman"/>
          <w:b w:val="false"/>
          <w:bCs w:val="false"/>
          <w:i w:val="false"/>
          <w:iCs w:val="false"/>
          <w:sz w:val="24"/>
          <w:szCs w:val="24"/>
        </w:rPr>
        <w:t xml:space="preserve">). The appraisers' remarks mention industry in 8 of the 16 D descriptions and 5 of the 20 C descriptions. After the map the imbalance widened: of the 720 hazardous-sector manufacturers located in 1961–2002, 49.0% were in D areas, which hold 26.0% of the graded land, and a further 21.8% in the areas the appraisers left ungraded as Industrial (12.1% of the land).</w:t>
      </w:r>
    </w:p>
    <w:p>
      <w:pPr>
        <w:spacing w:after="80" w:before="240"/>
      </w:pPr>
      <w:r>
        <w:rPr>
          <w:rFonts w:ascii="Times New Roman" w:cs="Times New Roman" w:eastAsia="Times New Roman" w:hAnsi="Times New Roman"/>
          <w:b/>
          <w:bCs/>
          <w:sz w:val="20"/>
          <w:szCs w:val="20"/>
        </w:rPr>
        <w:t xml:space="preserve">Table 3. Hazardous firms per km² of HOLC-graded land, by period and grade</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hazardous firms per km² of graded land</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1891–1905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1906–1920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1921–1937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1938–1956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1961–1980 (complete editions)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10.89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1981–2002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D–C ratio is </w:t>
      </w:r>
      <w:r>
        <w:rPr>
          <w:rFonts w:ascii="Times New Roman" w:cs="Times New Roman" w:eastAsia="Times New Roman" w:hAnsi="Times New Roman"/>
          <w:b w:val="false"/>
          <w:bCs w:val="false"/>
          <w:i w:val="false"/>
          <w:iCs w:val="false"/>
          <w:sz w:val="24"/>
          <w:szCs w:val="24"/>
        </w:rPr>
        <w:t xml:space="preserve">1.7 to 3.5 in the two pre-map periods with any C firms and 9 to 12 after 1961; the two series are not directly comparable (business-directory trades, one listing per firm-edition, before 1957; hazardous-sector manufacturers from the 13 complete directory editions after 1961), so the within-period contrast is the defensible reading and the jump across the source change is partly coverage</w:t>
      </w:r>
      <w:r>
        <w:rPr>
          <w:rFonts w:ascii="Times New Roman" w:cs="Times New Roman" w:eastAsia="Times New Roman" w:hAnsi="Times New Roman"/>
          <w:b w:val="false"/>
          <w:bCs w:val="false"/>
          <w:i w:val="false"/>
          <w:iCs w:val="false"/>
          <w:sz w:val="24"/>
          <w:szCs w:val="24"/>
        </w:rPr>
        <w:t xml:space="preserve">. Covenants ran the other way: the 730 racial deed covenants recorded 1931–35 (440 naming Black residents, 27 also barring manufacturing) cluster in A, B and the better C areas; within D, the 11 districts with a covenant held 1.0% Black residents in 1930 against 8.6% in the 51 without.</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and the zoning already sorted the city the way the appraisers would. On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georeferenced from 13 street intersections and park corners, RMSE 25 m), 28.4 km² of the city was zoned Industrial A or B and 3.6 km² Commercial. Of the land the appraisers later graded D, 15.3% was zoned industrial in 1929; of the C land 1.4%, B 0.2% and A 0.7%. The 1925 ordinance, in other words, is the first map of the same geography, and it was drawn around the industrial corridor that Section 3 shows was already in place in 1880–1920.</w:t>
      </w:r>
    </w:p>
    <w:p>
      <w:pPr>
        <w:spacing w:after="80" w:before="240"/>
      </w:pPr>
      <w:r>
        <w:rPr>
          <w:rFonts w:ascii="Times New Roman" w:cs="Times New Roman" w:eastAsia="Times New Roman" w:hAnsi="Times New Roman"/>
          <w:b/>
          <w:bCs/>
          <w:sz w:val="20"/>
          <w:szCs w:val="20"/>
        </w:rPr>
        <w:t xml:space="preserve">Table 4. The 1925 zoning ordinance (1929 map) by HOLC grade</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41.2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27.2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4.6</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a second specification adds each unit's distance to the nearest railway (TIGER rail lines), because the appraisers graded along the tracks and rail is the main confounder of both grade and industry. Gaps are D minus C (or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5. Gaps at adjacent HOLC grade boundaries, 1920–2020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820"/>
        <w:gridCol w:w="820"/>
        <w:gridCol w:w="820"/>
        <w:gridCol w:w="820"/>
        <w:gridCol w:w="820"/>
        <w:gridCol w:w="820"/>
        <w:gridCol w:w="820"/>
        <w:gridCol w:w="820"/>
        <w:gridCol w:w="820"/>
        <w:gridCol w:w="820"/>
        <w:gridCol w:w="820"/>
        <w:gridCol w:w="820"/>
        <w:gridCol w:w="83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83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B–A</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820"/>
            <w:tcMar>
              <w:top w:type="dxa" w:w="40"/>
              <w:left w:type="dxa" w:w="60"/>
              <w:bottom w:type="dxa" w:w="40"/>
              <w:right w:type="dxa" w:w="60"/>
            </w:tcMar>
          </w:tcPr>
          <w:p>
            <w:pPr>
              <w:jc w:val="right"/>
            </w:pPr>
          </w:p>
        </w:tc>
        <w:tc>
          <w:tcPr>
            <w:tcW w:type="dxa" w:w="820"/>
            <w:tcMar>
              <w:top w:type="dxa" w:w="40"/>
              <w:left w:type="dxa" w:w="60"/>
              <w:bottom w:type="dxa" w:w="40"/>
              <w:right w:type="dxa" w:w="60"/>
            </w:tcMar>
          </w:tcPr>
          <w:p>
            <w:pPr>
              <w:jc w:val="right"/>
            </w:pPr>
          </w:p>
        </w:tc>
        <w:tc>
          <w:tcPr>
            <w:tcW w:type="dxa" w:w="820"/>
            <w:tcMar>
              <w:top w:type="dxa" w:w="40"/>
              <w:left w:type="dxa" w:w="60"/>
              <w:bottom w:type="dxa" w:w="40"/>
              <w:right w:type="dxa" w:w="60"/>
            </w:tcMar>
          </w:tcPr>
          <w:p>
            <w:pPr>
              <w:jc w:val="right"/>
            </w:pPr>
          </w:p>
        </w:tc>
        <w:tc>
          <w:tcPr>
            <w:tcW w:type="dxa" w:w="820"/>
            <w:tcMar>
              <w:top w:type="dxa" w:w="40"/>
              <w:left w:type="dxa" w:w="60"/>
              <w:bottom w:type="dxa" w:w="40"/>
              <w:right w:type="dxa" w:w="60"/>
            </w:tcMar>
          </w:tcPr>
          <w:p>
            <w:pPr>
              <w:jc w:val="right"/>
            </w:pPr>
          </w:p>
        </w:tc>
        <w:tc>
          <w:tcPr>
            <w:tcW w:type="dxa" w:w="820"/>
            <w:tcMar>
              <w:top w:type="dxa" w:w="40"/>
              <w:left w:type="dxa" w:w="60"/>
              <w:bottom w:type="dxa" w:w="40"/>
              <w:right w:type="dxa" w:w="60"/>
            </w:tcMar>
          </w:tcPr>
          <w:p>
            <w:pPr>
              <w:jc w:val="right"/>
            </w:pPr>
          </w:p>
        </w:tc>
        <w:tc>
          <w:tcPr>
            <w:tcW w:type="dxa" w:w="820"/>
            <w:tcMar>
              <w:top w:type="dxa" w:w="40"/>
              <w:left w:type="dxa" w:w="60"/>
              <w:bottom w:type="dxa" w:w="40"/>
              <w:right w:type="dxa" w:w="60"/>
            </w:tcMar>
          </w:tcPr>
          <w:p>
            <w:pPr>
              <w:jc w:val="right"/>
            </w:pPr>
          </w:p>
        </w:tc>
        <w:tc>
          <w:tcPr>
            <w:tcW w:type="dxa" w:w="820"/>
            <w:tcMar>
              <w:top w:type="dxa" w:w="40"/>
              <w:left w:type="dxa" w:w="60"/>
              <w:bottom w:type="dxa" w:w="40"/>
              <w:right w:type="dxa" w:w="60"/>
            </w:tcMar>
          </w:tcPr>
          <w:p>
            <w:pPr>
              <w:jc w:val="right"/>
            </w:pPr>
          </w:p>
        </w:tc>
        <w:tc>
          <w:tcPr>
            <w:tcW w:type="dxa" w:w="820"/>
            <w:tcMar>
              <w:top w:type="dxa" w:w="40"/>
              <w:left w:type="dxa" w:w="60"/>
              <w:bottom w:type="dxa" w:w="40"/>
              <w:right w:type="dxa" w:w="60"/>
            </w:tcMar>
          </w:tcPr>
          <w:p>
            <w:pPr>
              <w:jc w:val="right"/>
            </w:pPr>
          </w:p>
        </w:tc>
        <w:tc>
          <w:tcPr>
            <w:tcW w:type="dxa" w:w="830"/>
            <w:tcMar>
              <w:top w:type="dxa" w:w="40"/>
              <w:left w:type="dxa" w:w="60"/>
              <w:bottom w:type="dxa" w:w="40"/>
              <w:right w:type="dxa" w:w="60"/>
            </w:tcMar>
          </w:tcPr>
          <w:p>
            <w:pPr>
              <w:jc w:val="right"/>
            </w:pP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District comparisons: 35 D and 35 C districts in 1920, 25/24 in 1930, 36/31 in 1940; tract comparisons: 15 D and 15 C tracts, 22 C and 6 B tracts.</w:t>
      </w:r>
      <w:r>
        <w:rPr>
          <w:rFonts w:ascii="Times New Roman" w:cs="Times New Roman" w:eastAsia="Times New Roman" w:hAnsi="Times New Roman"/>
          <w:b w:val="false"/>
          <w:bCs w:val="false"/>
          <w:i w:val="false"/>
          <w:iCs w:val="false"/>
          <w:sz w:val="24"/>
          <w:szCs w:val="24"/>
        </w:rPr>
        <w:t xml:space="preserve"> The zoning adjustment adds each unit's share zoned industrial in 1929 (mean 4.7% on the D side and 1.5% on the C side of the 1930 district boundaries; 11.6% and 3.3% for the tracts).</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w:t>
      </w:r>
    </w:p>
    <w:p>
      <w:pPr>
        <w:pStyle w:val="ListParagraph"/>
        <w:numPr>
          <w:ilvl w:val="0"/>
          <w:numId w:val="2"/>
        </w:numPr>
        <w:spacing w:after="120" w:line="340"/>
        <w:jc w:val="both"/>
      </w:pPr>
      <w:r>
        <w:rPr>
          <w:rFonts w:ascii="Times New Roman" w:cs="Times New Roman" w:eastAsia="Times New Roman" w:hAnsi="Times New Roman"/>
          <w:b/>
          <w:bCs/>
          <w:i w:val="false"/>
          <w:iCs w:val="false"/>
          <w:sz w:val="24"/>
          <w:szCs w:val="24"/>
        </w:rPr>
        <w:t xml:space="preserve">The D–C Black gap predates the map.</w:t>
      </w:r>
      <w:r>
        <w:rPr>
          <w:rFonts w:ascii="Times New Roman" w:cs="Times New Roman" w:eastAsia="Times New Roman" w:hAnsi="Times New Roman"/>
          <w:b w:val="false"/>
          <w:bCs w:val="false"/>
          <w:i w:val="false"/>
          <w:iCs w:val="false"/>
          <w:sz w:val="24"/>
          <w:szCs w:val="24"/>
        </w:rPr>
        <w:t xml:space="preserve"> It is +1.3 points in 1920, +4.1 in 1930 and +5.3 in 1940 at the district level; adjusted for rail it is significant in all three censuses (+1.8, +5.4, +6.7; p = 0.04, 0.04, 0.02). The appraisers drew the D–C line through a boundary that already separated Black from white blocks. A rail-only story cannot account for it: rail distance is similar on both sides of the D–C boundaries (1.4–1.5 km in 1920–40) and the gap grows when rail is held constant.</w:t>
      </w:r>
    </w:p>
    <w:p>
      <w:pPr>
        <w:pStyle w:val="ListParagraph"/>
        <w:numPr>
          <w:ilvl w:val="0"/>
          <w:numId w:val="2"/>
        </w:numPr>
        <w:spacing w:after="120" w:line="340"/>
        <w:jc w:val="both"/>
      </w:pPr>
      <w:r>
        <w:rPr>
          <w:rFonts w:ascii="Times New Roman" w:cs="Times New Roman" w:eastAsia="Times New Roman" w:hAnsi="Times New Roman"/>
          <w:b/>
          <w:bCs/>
          <w:i w:val="false"/>
          <w:iCs w:val="false"/>
          <w:sz w:val="24"/>
          <w:szCs w:val="24"/>
        </w:rPr>
        <w:t xml:space="preserve">The gap widens after the map, then closes.</w:t>
      </w:r>
      <w:r>
        <w:rPr>
          <w:rFonts w:ascii="Times New Roman" w:cs="Times New Roman" w:eastAsia="Times New Roman" w:hAnsi="Times New Roman"/>
          <w:b w:val="false"/>
          <w:bCs w:val="false"/>
          <w:i w:val="false"/>
          <w:iCs w:val="false"/>
          <w:sz w:val="24"/>
          <w:szCs w:val="24"/>
        </w:rPr>
        <w:t xml:space="preserve"> On tracts the D–C Black gap climbs from +6.7 (1940) to +17.6 (1960) and +15.0 (1970), then falls to zero by 2010–20. The large tract-level SEs (15 tracts a side) make the individual decades imprecise, but the rail-adjusted series is monotone up to 1960 and monotone down thereafter. The Hispanic gap opens only in 1940 (+0.85, p = 0.005) and peaks at +17 points in 2000; it is the group that was housed on the D side of the line as the Black gap closed.</w:t>
      </w:r>
    </w:p>
    <w:p>
      <w:pPr>
        <w:pStyle w:val="ListParagraph"/>
        <w:numPr>
          <w:ilvl w:val="0"/>
          <w:numId w:val="2"/>
        </w:numPr>
        <w:spacing w:after="120" w:line="340"/>
        <w:jc w:val="both"/>
      </w:pPr>
      <w:r>
        <w:rPr>
          <w:rFonts w:ascii="Times New Roman" w:cs="Times New Roman" w:eastAsia="Times New Roman" w:hAnsi="Times New Roman"/>
          <w:b/>
          <w:bCs/>
          <w:i w:val="false"/>
          <w:iCs w:val="false"/>
          <w:sz w:val="24"/>
          <w:szCs w:val="24"/>
        </w:rPr>
        <w:t xml:space="preserve">The C–B boundary acquires a Black gap only after 1970.</w:t>
      </w:r>
      <w:r>
        <w:rPr>
          <w:rFonts w:ascii="Times New Roman" w:cs="Times New Roman" w:eastAsia="Times New Roman" w:hAnsi="Times New Roman"/>
          <w:b w:val="false"/>
          <w:bCs w:val="false"/>
          <w:i w:val="false"/>
          <w:iCs w:val="false"/>
          <w:sz w:val="24"/>
          <w:szCs w:val="24"/>
        </w:rPr>
        <w:t xml:space="preserve"> Flat from 1900 to 1960 (within ±0.2 points), it is +3.7 to +4.4 points in 1980–2000. The map's lower boundary was a line between two kinds of white neighbourhood when it was drawn</w:t>
      </w:r>
      <w:r>
        <w:rPr>
          <w:rFonts w:ascii="Times New Roman" w:cs="Times New Roman" w:eastAsia="Times New Roman" w:hAnsi="Times New Roman"/>
          <w:b w:val="false"/>
          <w:bCs w:val="false"/>
          <w:i w:val="false"/>
          <w:iCs w:val="false"/>
          <w:sz w:val="24"/>
          <w:szCs w:val="24"/>
        </w:rPr>
        <w:t xml:space="preserve"> and became a racial boundary a generation later. One hypothesis, not tested here, is that the C areas took households displaced from the D areas by clearance and highway construction in the 1960s–70s; the tract series cannot follow individual moves</w:t>
      </w:r>
      <w:r>
        <w:rPr>
          <w:rFonts w:ascii="Times New Roman" w:cs="Times New Roman" w:eastAsia="Times New Roman" w:hAnsi="Times New Roman"/>
          <w:b w:val="false"/>
          <w:bCs w:val="false"/>
          <w:i w:val="false"/>
          <w:iCs w:val="false"/>
          <w:sz w:val="24"/>
          <w:szCs w:val="24"/>
        </w:rPr>
        <w:t xml:space="preserve">.</w:t>
      </w:r>
    </w:p>
    <w:p>
      <w:pPr>
        <w:spacing w:after="160" w:line="360"/>
        <w:jc w:val="both"/>
      </w:pPr>
      <w:r>
        <w:rPr>
          <w:rFonts w:ascii="Times New Roman" w:cs="Times New Roman" w:eastAsia="Times New Roman" w:hAnsi="Times New Roman"/>
          <w:b/>
          <w:bCs/>
          <w:i w:val="false"/>
          <w:iCs w:val="false"/>
          <w:sz w:val="24"/>
          <w:szCs w:val="24"/>
        </w:rPr>
        <w:t xml:space="preserve">Change by grade, 1940–2010 (Xu-style).</w:t>
      </w:r>
      <w:r>
        <w:rPr>
          <w:rFonts w:ascii="Times New Roman" w:cs="Times New Roman" w:eastAsia="Times New Roman" w:hAnsi="Times New Roman"/>
          <w:b w:val="false"/>
          <w:bCs w:val="false"/>
          <w:i w:val="false"/>
          <w:iCs w:val="false"/>
          <w:sz w:val="24"/>
          <w:szCs w:val="24"/>
        </w:rPr>
        <w:t xml:space="preserve"> Following Xu</w:t>
      </w:r>
      <w:r>
        <w:rPr>
          <w:rFonts w:ascii="Times New Roman" w:cs="Times New Roman" w:eastAsia="Times New Roman" w:hAnsi="Times New Roman"/>
          <w:b w:val="false"/>
          <w:bCs w:val="false"/>
          <w:i w:val="false"/>
          <w:iCs w:val="false"/>
          <w:sz w:val="24"/>
          <w:szCs w:val="24"/>
        </w:rPr>
        <w:t xml:space="preserve">'s (2022) Chicago design,</w:t>
      </w:r>
      <w:r>
        <w:rPr>
          <w:rFonts w:ascii="Times New Roman" w:cs="Times New Roman" w:eastAsia="Times New Roman" w:hAnsi="Times New Roman"/>
          <w:b w:val="false"/>
          <w:bCs w:val="false"/>
          <w:i w:val="false"/>
          <w:iCs w:val="false"/>
          <w:sz w:val="24"/>
          <w:szCs w:val="24"/>
        </w:rPr>
        <w:t xml:space="preserve"> the 2010 tracts are assigned their dominant 1938 class — A, B, C, D, or the ungraded Industrial and Commercial zones — and the change in each outcome is regressed on class with A as the reference, controlling for the 1940 level, 1940 % Black and the hazardous firms of 1931–40 (HC1 SE; 64–70 tracts).</w:t>
      </w:r>
    </w:p>
    <w:p>
      <w:pPr>
        <w:spacing w:after="80" w:before="240"/>
      </w:pPr>
      <w:r>
        <w:rPr>
          <w:rFonts w:ascii="Times New Roman" w:cs="Times New Roman" w:eastAsia="Times New Roman" w:hAnsi="Times New Roman"/>
          <w:b/>
          <w:bCs/>
          <w:sz w:val="20"/>
          <w:szCs w:val="20"/>
        </w:rPr>
        <w:t xml:space="preserve">Table 6.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val="false"/>
                <w:iCs w:val="false"/>
                <w:sz w:val="16"/>
                <w:szCs w:val="16"/>
              </w:rPr>
              <w:t xml:space="preserve">first measured 1970</w:t>
            </w:r>
            <w:r>
              <w:rPr>
                <w:rFonts w:ascii="Times New Roman" w:cs="Times New Roman" w:eastAsia="Times New Roman" w:hAnsi="Times New Roman"/>
                <w:b w:val="false"/>
                <w:bCs w:val="false"/>
                <w:i w:val="false"/>
                <w:iCs w:val="false"/>
                <w:sz w:val="16"/>
                <w:szCs w:val="16"/>
              </w:rPr>
              <w:t xml:space="preserv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r>
              <w:rPr>
                <w:rFonts w:ascii="Times New Roman" w:cs="Times New Roman" w:eastAsia="Times New Roman" w:hAnsi="Times New Roman"/>
                <w:b w:val="false"/>
                <w:bCs w:val="false"/>
                <w:i w:val="false"/>
                <w:iCs w:val="false"/>
                <w:sz w:val="16"/>
                <w:szCs w:val="16"/>
              </w:rPr>
              <w:t xml:space="preserve">7</w:t>
            </w:r>
            <w:r>
              <w:rPr>
                <w:rFonts w:ascii="Times New Roman" w:cs="Times New Roman" w:eastAsia="Times New Roman" w:hAnsi="Times New Roman"/>
                <w:b w:val="false"/>
                <w:bCs w:val="false"/>
                <w:i w:val="false"/>
                <w:iCs w:val="false"/>
                <w:sz w:val="16"/>
                <w:szCs w:val="16"/>
              </w:rPr>
              <w:t xml:space="preserve">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r>
              <w:rPr>
                <w:rFonts w:ascii="Times New Roman" w:cs="Times New Roman" w:eastAsia="Times New Roman" w:hAnsi="Times New Roman"/>
                <w:b w:val="false"/>
                <w:bCs w:val="false"/>
                <w:i w:val="false"/>
                <w:iCs w:val="false"/>
                <w:sz w:val="16"/>
                <w:szCs w:val="16"/>
              </w:rPr>
              <w:t xml:space="preserve">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7.6</w:t>
            </w:r>
            <w:r>
              <w:rPr>
                <w:rFonts w:ascii="Times New Roman" w:cs="Times New Roman" w:eastAsia="Times New Roman" w:hAnsi="Times New Roman"/>
                <w:b w:val="false"/>
                <w:bCs w:val="false"/>
                <w:i w:val="false"/>
                <w:iCs w:val="false"/>
                <w:sz w:val="16"/>
                <w:szCs w:val="16"/>
              </w:rPr>
              <w:t xml:space="preserv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14.5</w:t>
            </w:r>
            <w:r>
              <w:rPr>
                <w:rFonts w:ascii="Times New Roman" w:cs="Times New Roman" w:eastAsia="Times New Roman" w:hAnsi="Times New Roman"/>
                <w:b w:val="false"/>
                <w:bCs w:val="false"/>
                <w:i w:val="false"/>
                <w:iCs w:val="false"/>
                <w:sz w:val="16"/>
                <w:szCs w:val="16"/>
              </w:rPr>
              <w:t xml:space="preserv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38.4</w:t>
            </w:r>
            <w:r>
              <w:rPr>
                <w:rFonts w:ascii="Times New Roman" w:cs="Times New Roman" w:eastAsia="Times New Roman" w:hAnsi="Times New Roman"/>
                <w:b w:val="false"/>
                <w:bCs w:val="false"/>
                <w:i w:val="false"/>
                <w:iCs w:val="false"/>
                <w:sz w:val="16"/>
                <w:szCs w:val="16"/>
              </w:rPr>
              <w:t xml:space="preserv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11.4</w:t>
            </w: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−1.10***</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w:t>
      </w:r>
      <w:r>
        <w:rPr>
          <w:rFonts w:ascii="Times New Roman" w:cs="Times New Roman" w:eastAsia="Times New Roman" w:hAnsi="Times New Roman"/>
          <w:b w:val="false"/>
          <w:bCs w:val="false"/>
          <w:i w:val="false"/>
          <w:iCs w:val="false"/>
          <w:sz w:val="24"/>
          <w:szCs w:val="24"/>
        </w:rPr>
        <w:t xml:space="preserve"> Adding the tract's 1929 industrial-zoned share to the 1940–2010 models </w:t>
      </w:r>
      <w:r>
        <w:rPr>
          <w:rFonts w:ascii="Times New Roman" w:cs="Times New Roman" w:eastAsia="Times New Roman" w:hAnsi="Times New Roman"/>
          <w:b w:val="false"/>
          <w:bCs w:val="false"/>
          <w:i w:val="false"/>
          <w:iCs w:val="false"/>
          <w:sz w:val="24"/>
          <w:szCs w:val="24"/>
        </w:rPr>
        <w:t xml:space="preserve">does not materially change the grade estimates (D: % Hispanic +45.1, 95% CI 29 to 61; log value −0.69, CI −1.2 to −0.2; Industrial: % Hispanic +46.6, CI 0 to 93). The zoning share's own coefficient is imprecise (% Hispanic +8.7, CI −77 to +94; p = 0.25–0.84 across outcomes), which is uninformative about its effect rather than evidence of none: with 65–70 tracts and the zoning concentrated in the Industrial and D classes, the two cannot be separated</w:t>
      </w:r>
      <w:r>
        <w:rPr>
          <w:rFonts w:ascii="Times New Roman" w:cs="Times New Roman" w:eastAsia="Times New Roman" w:hAnsi="Times New Roman"/>
          <w:b w:val="false"/>
          <w:bCs w:val="false"/>
          <w:i w:val="false"/>
          <w:iCs w:val="false"/>
          <w:sz w:val="24"/>
          <w:szCs w:val="24"/>
        </w:rPr>
        <w:t xml:space="preserve">.</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B &lt; C &lt; D holds for </w:t>
      </w:r>
      <w:r>
        <w:rPr>
          <w:rFonts w:ascii="Times New Roman" w:cs="Times New Roman" w:eastAsia="Times New Roman" w:hAnsi="Times New Roman"/>
          <w:b w:val="false"/>
          <w:bCs w:val="false"/>
          <w:i w:val="false"/>
          <w:iCs w:val="false"/>
          <w:sz w:val="24"/>
          <w:szCs w:val="24"/>
        </w:rPr>
        <w:t xml:space="preserve">the Hispanic share</w:t>
      </w:r>
      <w:r>
        <w:rPr>
          <w:rFonts w:ascii="Times New Roman" w:cs="Times New Roman" w:eastAsia="Times New Roman" w:hAnsi="Times New Roman"/>
          <w:b w:val="false"/>
          <w:bCs w:val="false"/>
          <w:i w:val="false"/>
          <w:iCs w:val="false"/>
          <w:sz w:val="24"/>
          <w:szCs w:val="24"/>
        </w:rPr>
        <w:t xml:space="preserve"> and poverty (larger increases) and for home value (larger relative declines), not for ownership or the Black share, where no class differs from A, as in Xu's Chicago estimates; the Industrial zones are at or beyond D on those three. Relative to A tracts, the areas the appraisers did not grade because they were already industrial show the largest relative fall in value (−1.10 log points by 1980, a difference in change, not the areas' own loss) and the largest rise in poverty (+38 points over 1970–2010, against +14 in D). The poverty models control for the tract's 1970 poverty rate</w:t>
      </w:r>
      <w:r>
        <w:rPr>
          <w:rFonts w:ascii="Times New Roman" w:cs="Times New Roman" w:eastAsia="Times New Roman" w:hAnsi="Times New Roman"/>
          <w:b w:val="false"/>
          <w:bCs w:val="false"/>
          <w:i w:val="false"/>
          <w:iCs w:val="false"/>
          <w:sz w:val="24"/>
          <w:szCs w:val="24"/>
        </w:rPr>
        <w:t xml:space="preserve">. For the Black share, by contrast, no class differs from A over 1940–2010 — the D tracts that were 8% Black in 1940 were not where Denver's Black population grew after 1950 (that was the B and C tracts of northeast Denver, +17–19 points by 1970–80) — while the Hispanic share grew 38–51 points more in D and Industrial tracts than in A. The map</w:t>
      </w:r>
      <w:r>
        <w:rPr>
          <w:rFonts w:ascii="Times New Roman" w:cs="Times New Roman" w:eastAsia="Times New Roman" w:hAnsi="Times New Roman"/>
          <w:b w:val="false"/>
          <w:bCs w:val="false"/>
          <w:i w:val="false"/>
          <w:iCs w:val="false"/>
          <w:sz w:val="24"/>
          <w:szCs w:val="24"/>
        </w:rPr>
        <w:t xml:space="preserve"> and the ordinance</w:t>
      </w:r>
      <w:r>
        <w:rPr>
          <w:rFonts w:ascii="Times New Roman" w:cs="Times New Roman" w:eastAsia="Times New Roman" w:hAnsi="Times New Roman"/>
          <w:b w:val="false"/>
          <w:bCs w:val="false"/>
          <w:i w:val="false"/>
          <w:iCs w:val="false"/>
          <w:sz w:val="24"/>
          <w:szCs w:val="24"/>
        </w:rPr>
        <w:t xml:space="preserve">, in other words, </w:t>
      </w:r>
      <w:r>
        <w:rPr>
          <w:rFonts w:ascii="Times New Roman" w:cs="Times New Roman" w:eastAsia="Times New Roman" w:hAnsi="Times New Roman"/>
          <w:b w:val="false"/>
          <w:bCs w:val="false"/>
          <w:i w:val="false"/>
          <w:iCs w:val="false"/>
          <w:sz w:val="24"/>
          <w:szCs w:val="24"/>
        </w:rPr>
        <w:t xml:space="preserve">mark</w:t>
      </w:r>
      <w:r>
        <w:rPr>
          <w:rFonts w:ascii="Times New Roman" w:cs="Times New Roman" w:eastAsia="Times New Roman" w:hAnsi="Times New Roman"/>
          <w:b w:val="false"/>
          <w:bCs w:val="false"/>
          <w:i w:val="false"/>
          <w:iCs w:val="false"/>
          <w:sz w:val="24"/>
          <w:szCs w:val="24"/>
        </w:rPr>
        <w:t xml:space="preserve">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w:t>
      </w:r>
      <w:r>
        <w:rPr>
          <w:rFonts w:ascii="Times New Roman" w:cs="Times New Roman" w:eastAsia="Times New Roman" w:hAnsi="Times New Roman"/>
          <w:b w:val="false"/>
          <w:bCs w:val="false"/>
          <w:i w:val="false"/>
          <w:iCs w:val="false"/>
          <w:sz w:val="24"/>
          <w:szCs w:val="24"/>
        </w:rPr>
        <w:t xml:space="preserve">; which group came to occupy it was decided afterwards, by processes these models do not identify</w:t>
      </w:r>
      <w:r>
        <w:rPr>
          <w:rFonts w:ascii="Times New Roman" w:cs="Times New Roman" w:eastAsia="Times New Roman" w:hAnsi="Times New Roman"/>
          <w:b w:val="false"/>
          <w:bCs w:val="false"/>
          <w:i w:val="false"/>
          <w:iCs w:val="false"/>
          <w:sz w:val="24"/>
          <w:szCs w:val="24"/>
        </w:rPr>
        <w:t xml:space="preserve">.</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Taken together with Section 3, the evidence favours reinforcement over creation. The industrial geography and its racial gradient were in place by 1900–1920; the </w:t>
      </w:r>
      <w:r>
        <w:rPr>
          <w:rFonts w:ascii="Times New Roman" w:cs="Times New Roman" w:eastAsia="Times New Roman" w:hAnsi="Times New Roman"/>
          <w:b w:val="false"/>
          <w:bCs w:val="false"/>
          <w:i w:val="false"/>
          <w:iCs w:val="false"/>
          <w:sz w:val="24"/>
          <w:szCs w:val="24"/>
        </w:rPr>
        <w:t xml:space="preserve">1925 ordinance zoned that corridor industrial (15% of the future D land, 1% of the future C land); the </w:t>
      </w:r>
      <w:r>
        <w:rPr>
          <w:rFonts w:ascii="Times New Roman" w:cs="Times New Roman" w:eastAsia="Times New Roman" w:hAnsi="Times New Roman"/>
          <w:b w:val="false"/>
          <w:bCs w:val="false"/>
          <w:i w:val="false"/>
          <w:iCs w:val="false"/>
          <w:sz w:val="24"/>
          <w:szCs w:val="24"/>
        </w:rPr>
        <w:t xml:space="preserve">appraisers recorded </w:t>
      </w:r>
      <w:r>
        <w:rPr>
          <w:rFonts w:ascii="Times New Roman" w:cs="Times New Roman" w:eastAsia="Times New Roman" w:hAnsi="Times New Roman"/>
          <w:b w:val="false"/>
          <w:bCs w:val="false"/>
          <w:i w:val="false"/>
          <w:iCs w:val="false"/>
          <w:sz w:val="24"/>
          <w:szCs w:val="24"/>
        </w:rPr>
        <w:t xml:space="preserve">both</w:t>
      </w:r>
      <w:r>
        <w:rPr>
          <w:rFonts w:ascii="Times New Roman" w:cs="Times New Roman" w:eastAsia="Times New Roman" w:hAnsi="Times New Roman"/>
          <w:b w:val="false"/>
          <w:bCs w:val="false"/>
          <w:i w:val="false"/>
          <w:iCs w:val="false"/>
          <w:sz w:val="24"/>
          <w:szCs w:val="24"/>
        </w:rPr>
        <w:t xml:space="preserve"> (mentioning industry in half the D descriptions)</w:t>
      </w:r>
      <w:r>
        <w:rPr>
          <w:rFonts w:ascii="Times New Roman" w:cs="Times New Roman" w:eastAsia="Times New Roman" w:hAnsi="Times New Roman"/>
          <w:b w:val="false"/>
          <w:bCs w:val="false"/>
          <w:i w:val="false"/>
          <w:iCs w:val="false"/>
          <w:sz w:val="24"/>
          <w:szCs w:val="24"/>
        </w:rPr>
        <w:t xml:space="preserve">; and four decades of hazardous-sector siting then went into the D and Industrial areas at ten times the rate elsewhere, whether because of the grading, the zoning or the land market the two described</w:t>
      </w:r>
      <w:r>
        <w:rPr>
          <w:rFonts w:ascii="Times New Roman" w:cs="Times New Roman" w:eastAsia="Times New Roman" w:hAnsi="Times New Roman"/>
          <w:b w:val="false"/>
          <w:bCs w:val="false"/>
          <w:i w:val="false"/>
          <w:iCs w:val="false"/>
          <w:sz w:val="24"/>
          <w:szCs w:val="24"/>
        </w:rPr>
        <w:t xml:space="preserve">. The boundary gaps </w:t>
      </w:r>
      <w:r>
        <w:rPr>
          <w:rFonts w:ascii="Times New Roman" w:cs="Times New Roman" w:eastAsia="Times New Roman" w:hAnsi="Times New Roman"/>
          <w:b w:val="false"/>
          <w:bCs w:val="false"/>
          <w:i w:val="false"/>
          <w:iCs w:val="false"/>
          <w:sz w:val="24"/>
          <w:szCs w:val="24"/>
        </w:rPr>
        <w:t xml:space="preserve">are not materially changed by controls for rail or for the 1929 zoning, so neither the tracks nor the ordinance accounts for the D–C difference on its own; the ordinance and the appraisers' Industrial designation overlap too closely for the data to say which, if either, drove the larger losses in those areas</w:t>
      </w:r>
      <w:r>
        <w:rPr>
          <w:rFonts w:ascii="Times New Roman" w:cs="Times New Roman" w:eastAsia="Times New Roman" w:hAnsi="Times New Roman"/>
          <w:b w:val="false"/>
          <w:bCs w:val="false"/>
          <w:i w:val="false"/>
          <w:iCs w:val="false"/>
          <w:sz w:val="24"/>
          <w:szCs w:val="24"/>
        </w:rPr>
        <w:t xml:space="preserve"> after 1940</w:t>
      </w:r>
      <w:r>
        <w:rPr>
          <w:rFonts w:ascii="Times New Roman" w:cs="Times New Roman" w:eastAsia="Times New Roman" w:hAnsi="Times New Roman"/>
          <w:b w:val="false"/>
          <w:bCs w:val="false"/>
          <w:i w:val="false"/>
          <w:iCs w:val="false"/>
          <w:sz w:val="24"/>
          <w:szCs w:val="24"/>
        </w:rPr>
        <w:t xml:space="preserve">. What the </w:t>
      </w:r>
      <w:r>
        <w:rPr>
          <w:rFonts w:ascii="Times New Roman" w:cs="Times New Roman" w:eastAsia="Times New Roman" w:hAnsi="Times New Roman"/>
          <w:b w:val="false"/>
          <w:bCs w:val="false"/>
          <w:i w:val="false"/>
          <w:iCs w:val="false"/>
          <w:sz w:val="24"/>
          <w:szCs w:val="24"/>
        </w:rPr>
        <w:t xml:space="preserve">record shows is not a gap the map created but a gap that persisted and was handed from one group to the next after the map was drawn</w:t>
      </w:r>
      <w:r>
        <w:rPr>
          <w:rFonts w:ascii="Times New Roman" w:cs="Times New Roman" w:eastAsia="Times New Roman" w:hAnsi="Times New Roman"/>
          <w:b w:val="false"/>
          <w:bCs w:val="false"/>
          <w:i w:val="false"/>
          <w:iCs w:val="false"/>
          <w:sz w:val="24"/>
          <w:szCs w:val="24"/>
        </w:rPr>
        <w:t xml:space="preserve">.</w:t>
      </w:r>
    </w:p>
    <w:p>
      <w:pPr>
        <w:spacing w:after="160" w:line="360"/>
        <w:jc w:val="both"/>
      </w:pPr>
      <w:r>
        <w:rPr>
          <w:rFonts w:ascii="Times New Roman" w:cs="Times New Roman" w:eastAsia="Times New Roman" w:hAnsi="Times New Roman"/>
          <w:b/>
          <w:bCs/>
          <w:i w:val="false"/>
          <w:iCs w:val="false"/>
          <w:sz w:val="24"/>
          <w:szCs w:val="24"/>
        </w:rPr>
        <w:t xml:space="preserve">Robustness.</w:t>
      </w:r>
      <w:r>
        <w:rPr>
          <w:rFonts w:ascii="Times New Roman" w:cs="Times New Roman" w:eastAsia="Times New Roman" w:hAnsi="Times New Roman"/>
          <w:b w:val="false"/>
          <w:bCs w:val="false"/>
          <w:i w:val="false"/>
          <w:iCs w:val="false"/>
          <w:sz w:val="24"/>
          <w:szCs w:val="24"/>
        </w:rPr>
        <w:t xml:space="preserve"> Four checks qualify the boundary results and leave the change models intact. (i) </w:t>
      </w:r>
      <w:r>
        <w:rPr>
          <w:rFonts w:ascii="Times New Roman" w:cs="Times New Roman" w:eastAsia="Times New Roman" w:hAnsi="Times New Roman"/>
          <w:b w:val="false"/>
          <w:bCs w:val="false"/>
          <w:i/>
          <w:iCs/>
          <w:sz w:val="24"/>
          <w:szCs w:val="24"/>
        </w:rPr>
        <w:t xml:space="preserve">Spatial dependence.</w:t>
      </w:r>
      <w:r>
        <w:rPr>
          <w:rFonts w:ascii="Times New Roman" w:cs="Times New Roman" w:eastAsia="Times New Roman" w:hAnsi="Times New Roman"/>
          <w:b w:val="false"/>
          <w:bCs w:val="false"/>
          <w:i w:val="false"/>
          <w:iCs w:val="false"/>
          <w:sz w:val="24"/>
          <w:szCs w:val="24"/>
        </w:rPr>
        <w:t xml:space="preserve"> With Conley standard errors (2 km cutoff) in place of HC1, the district-level D–C Black gaps of 1930 and 1940 (+4.1 and +5.3) are no longer significant (p = 0.18 and 0.21), and neither are the tract-level Black gaps after 1940; the Hispanic gaps of 1940 (+0.85, p &lt; 0.001), 1960 (+10.9, p = 0.005) and 2000 (+17.0, p = 0.02) remain. The pre-map Black gap is therefore a consistent point estimate across three censuses rather than a precisely estimated one. In the change models the Conley errors are close to the HC1 ones and every conclusion survives (D: % Hispanic +45.9, Conley SE 9.4; poverty +14.5, SE 4.6; log value −0.78, SE 0.24). (ii) </w:t>
      </w:r>
      <w:r>
        <w:rPr>
          <w:rFonts w:ascii="Times New Roman" w:cs="Times New Roman" w:eastAsia="Times New Roman" w:hAnsi="Times New Roman"/>
          <w:b w:val="false"/>
          <w:bCs w:val="false"/>
          <w:i/>
          <w:iCs/>
          <w:sz w:val="24"/>
          <w:szCs w:val="24"/>
        </w:rPr>
        <w:t xml:space="preserve">Bandwidth.</w:t>
      </w:r>
      <w:r>
        <w:rPr>
          <w:rFonts w:ascii="Times New Roman" w:cs="Times New Roman" w:eastAsia="Times New Roman" w:hAnsi="Times New Roman"/>
          <w:b w:val="false"/>
          <w:bCs w:val="false"/>
          <w:i w:val="false"/>
          <w:iCs w:val="false"/>
          <w:sz w:val="24"/>
          <w:szCs w:val="24"/>
        </w:rPr>
        <w:t xml:space="preserve"> The D–C Black gap is positive at every band from 1920 on and grows with the band (1930: +1.4, +4.1, +8.0 at 200, 400 and 800 m; 1940: +2.7, +5.3, +10.5), as expected when the narrowest band contains few districts and the widest reaches into each area's interior; the tract gaps are larger at 400 m than at 800 or 1,600 m. (iii) </w:t>
      </w:r>
      <w:r>
        <w:rPr>
          <w:rFonts w:ascii="Times New Roman" w:cs="Times New Roman" w:eastAsia="Times New Roman" w:hAnsi="Times New Roman"/>
          <w:b w:val="false"/>
          <w:bCs w:val="false"/>
          <w:i/>
          <w:iCs/>
          <w:sz w:val="24"/>
          <w:szCs w:val="24"/>
        </w:rPr>
        <w:t xml:space="preserve">Trend.</w:t>
      </w:r>
      <w:r>
        <w:rPr>
          <w:rFonts w:ascii="Times New Roman" w:cs="Times New Roman" w:eastAsia="Times New Roman" w:hAnsi="Times New Roman"/>
          <w:b w:val="false"/>
          <w:bCs w:val="false"/>
          <w:i w:val="false"/>
          <w:iCs w:val="false"/>
          <w:sz w:val="24"/>
          <w:szCs w:val="24"/>
        </w:rPr>
        <w:t xml:space="preserve"> A weighted regression of the thirteen census-by-census D–C gaps on time with a post-1938 level shift and slope change rejects a single linear trend for both the Black gap (pre-map slope +1.4 points per decade; post-map level +3.1, slope change −2.2, joint p = 0.002) and the Hispanic gap (slope change +1.5, joint p = 0.015); with thirteen points and two unit types this is indicative, but it is consistent with a rise and then a reversal after the map rather than a continuation of the pre-map trend. (iv) </w:t>
      </w:r>
      <w:r>
        <w:rPr>
          <w:rFonts w:ascii="Times New Roman" w:cs="Times New Roman" w:eastAsia="Times New Roman" w:hAnsi="Times New Roman"/>
          <w:b w:val="false"/>
          <w:bCs w:val="false"/>
          <w:i/>
          <w:iCs/>
          <w:sz w:val="24"/>
          <w:szCs w:val="24"/>
        </w:rPr>
        <w:t xml:space="preserve">Zoning classification.</w:t>
      </w:r>
      <w:r>
        <w:rPr>
          <w:rFonts w:ascii="Times New Roman" w:cs="Times New Roman" w:eastAsia="Times New Roman" w:hAnsi="Times New Roman"/>
          <w:b w:val="false"/>
          <w:bCs w:val="false"/>
          <w:i w:val="false"/>
          <w:iCs w:val="false"/>
          <w:sz w:val="24"/>
          <w:szCs w:val="24"/>
        </w:rPr>
        <w:t xml:space="preserve"> Dropping the 43% of industrial cells classified only by the platted thick-hatch rule changes no boundary gap by more than 0.2 points and no change-model coefficient materially (D: % Hispanic +43.1, poverty +14.0, log value −0.69, all p &lt; 0.01).</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w:t>
      </w:r>
      <w:r>
        <w:rPr>
          <w:rFonts w:ascii="Times New Roman" w:cs="Times New Roman" w:eastAsia="Times New Roman" w:hAnsi="Times New Roman"/>
          <w:b w:val="false"/>
          <w:bCs w:val="false"/>
          <w:i w:val="false"/>
          <w:iCs w:val="false"/>
          <w:sz w:val="24"/>
          <w:szCs w:val="24"/>
        </w:rPr>
        <w:t xml:space="preserve">— a coarser unit, with exposure now measured from directory sites rather than street-level trades — the gradient of Section 3 reappears</w:t>
      </w:r>
      <w:r>
        <w:rPr>
          <w:rFonts w:ascii="Times New Roman" w:cs="Times New Roman" w:eastAsia="Times New Roman" w:hAnsi="Times New Roman"/>
          <w:b w:val="false"/>
          <w:bCs w:val="false"/>
          <w:i w:val="false"/>
          <w:iCs w:val="false"/>
          <w:sz w:val="24"/>
          <w:szCs w:val="24"/>
        </w:rPr>
        <w:t xml:space="preserve">, and its carrier is now unambiguously Hispanic: between 1960 and 2000 the Hispanic share of a Denver-core tract fell 6 to 11 points for every log-metre of distance from the nearest hazardous firm of the decade, the White share rose 1.4 to 6.7 points, and the tracts in the top population quartile by Hispanic share held 54–70% of the decade's firms. After 2000 </w:t>
      </w:r>
      <w:r>
        <w:rPr>
          <w:rFonts w:ascii="Times New Roman" w:cs="Times New Roman" w:eastAsia="Times New Roman" w:hAnsi="Times New Roman"/>
          <w:b w:val="false"/>
          <w:bCs w:val="false"/>
          <w:i w:val="false"/>
          <w:iCs w:val="false"/>
          <w:sz w:val="24"/>
          <w:szCs w:val="24"/>
        </w:rPr>
        <w:t xml:space="preserve">the race and ethnicity gradients flatten — by 2020 the Hispanic coefficient is −1.1, the Black coefficient has changed sign (+2.4) and the White coefficient is negative (−2.6) — while the ownership and foreign-born gradients strengthen (+6.4 and +1.2</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For 2000–2020 the firms are those of the last complete directory decade (1983–92), so those columns measure composition around historically listed sites — a legacy-site gradient — rather than around active manufacturing; Section 6 shows that 38% of those sites were still industrial parcels in 2022</w:t>
      </w:r>
      <w:r>
        <w:rPr>
          <w:rFonts w:ascii="Times New Roman" w:cs="Times New Roman" w:eastAsia="Times New Roman" w:hAnsi="Times New Roman"/>
          <w:b w:val="false"/>
          <w:bCs w:val="false"/>
          <w:i w:val="false"/>
          <w:iCs w:val="false"/>
          <w:sz w:val="24"/>
          <w:szCs w:val="24"/>
        </w:rPr>
        <w:t xml:space="preserv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185 tracts of the Denver core on 2010 boundaries (earlier censuses interpolated by area and population), NHGIS tables for race, Hispanic origin, nativity, tenure, poverty, value and rent, 1950–2020. Hazardous firms are the business-directory trades to 1960 and the hazardous-sector manufacturers of the complete directory editions from 1965 (2000–2020 use the last complete decade, 1983–92). The design is the one applied to districts: population-weighted regression of each tract measure on log distance to the nearest firm, HC1 errors; dollar measures in logs at 2020 prices.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7. Tract-level distance gradients, Denver core, 1950–2020</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rent</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the hand-over from Black to Hispanic neighbours that Section 4 saw at the D–C boundary is city-wide: the Black share of firm-adjacent tracts peaks in 1960–70 (48% of firms in the top-quartile-Black tracts) and falls every decade thereafter, while the Hispanic share is the steepest gradient of any measure from 1960 to 2000. Second, tenure and value gradients are strong in 1950–60 (+16 points of ownership per log m) and weaken after, the opposite of the demographic gradients, which is consistent with the housing stock near industry being converted from owner-occupied cottages to rental over the period. Third, the post-2000 flattening coincides with the </w:t>
      </w:r>
      <w:r>
        <w:rPr>
          <w:rFonts w:ascii="Times New Roman" w:cs="Times New Roman" w:eastAsia="Times New Roman" w:hAnsi="Times New Roman"/>
          <w:b w:val="false"/>
          <w:bCs w:val="false"/>
          <w:i w:val="false"/>
          <w:iCs w:val="false"/>
          <w:sz w:val="24"/>
          <w:szCs w:val="24"/>
        </w:rPr>
        <w:t xml:space="preserve">switch to legacy-site exposure, so it cannot be separated from exposure misclassification without a contemporary inventory; it is also what the redevelopment of the river and rail corridors documented in Section 6 would produce, and the two readings are not exclusive</w:t>
      </w:r>
      <w:r>
        <w:rPr>
          <w:rFonts w:ascii="Times New Roman" w:cs="Times New Roman" w:eastAsia="Times New Roman" w:hAnsi="Times New Roman"/>
          <w:b w:val="false"/>
          <w:bCs w:val="false"/>
          <w:i w:val="false"/>
          <w:iCs w:val="false"/>
          <w:sz w:val="24"/>
          <w:szCs w:val="24"/>
        </w:rPr>
        <w:t xml:space="preserv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A hybrid panel of the 185 tracts </w:t>
      </w:r>
      <w:r>
        <w:rPr>
          <w:rFonts w:ascii="Times New Roman" w:cs="Times New Roman" w:eastAsia="Times New Roman" w:hAnsi="Times New Roman"/>
          <w:b w:val="false"/>
          <w:bCs w:val="false"/>
          <w:i w:val="false"/>
          <w:iCs w:val="false"/>
          <w:sz w:val="24"/>
          <w:szCs w:val="24"/>
        </w:rPr>
        <w:t xml:space="preserve">over the censuses 1940–2020 (tract-clustered SE, 898 tract-censuses with a race measure) separates a tract's own change in listed firms from its long-run average. "Active" firms are those listed in the complete directory editions of the decade ending at the census (business-directory trades before 1961; 1983–92 listings carried forward for 2000–2020), and "legacy" firms are those listed in an earlier decade but not the current on</w:t>
      </w:r>
      <w:r>
        <w:rPr>
          <w:rFonts w:ascii="Times New Roman" w:cs="Times New Roman" w:eastAsia="Times New Roman" w:hAnsi="Times New Roman"/>
          <w:b w:val="false"/>
          <w:bCs w:val="false"/>
          <w:i w:val="false"/>
          <w:iCs w:val="false"/>
          <w:sz w:val="24"/>
          <w:szCs w:val="24"/>
        </w:rPr>
        <w:t xml:space="preserve">e. Between tracts, each log-unit of average firm density carries +13.8 points of Hispanic share (p = 0.009), −11.2 of White share (p = 0.03) and +8.2 of poverty (p &lt; 0.001); within tracts, a decade in which firms rise by a log unit sees +3.6 Hispanic (p = 0.002), −2.5 White (p = 0.008) and +2.9 poverty (p &lt; 0.001), and a 3.7% fall in median value. Legacy (former) firms add nothing once </w:t>
      </w:r>
      <w:r>
        <w:rPr>
          <w:rFonts w:ascii="Times New Roman" w:cs="Times New Roman" w:eastAsia="Times New Roman" w:hAnsi="Times New Roman"/>
          <w:b w:val="false"/>
          <w:bCs w:val="false"/>
          <w:i w:val="false"/>
          <w:iCs w:val="false"/>
          <w:sz w:val="24"/>
          <w:szCs w:val="24"/>
        </w:rPr>
        <w:t xml:space="preserve">listed firms are in the model. Reverse models of firm entry on lagged composition find no effect of any group's share on where the next decade's firms appear (all p &gt; 0.18); that asymmetry is consistent with composition following industry rather than the reverse, but the reverse models are low-powered and a null there does not establish the direction. The tract-clustered errors handle repeated observations of the same tract; they do not address spatial dependence, which the between-tract spatial-error estimates (λ ≈ 0.9) show to be strong</w:t>
      </w:r>
      <w:r>
        <w:rPr>
          <w:rFonts w:ascii="Times New Roman" w:cs="Times New Roman" w:eastAsia="Times New Roman" w:hAnsi="Times New Roman"/>
          <w:b w:val="false"/>
          <w:bCs w:val="false"/>
          <w:i w:val="false"/>
          <w:iCs w:val="false"/>
          <w:sz w:val="24"/>
          <w:szCs w:val="24"/>
        </w:rPr>
        <w:t xml:space="preserve">.</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986 hazardous-sector manufacturing sites listed in Denver between 1965 and 1992, </w:t>
      </w:r>
      <w:r>
        <w:rPr>
          <w:rFonts w:ascii="Times New Roman" w:cs="Times New Roman" w:eastAsia="Times New Roman" w:hAnsi="Times New Roman"/>
          <w:b w:val="false"/>
          <w:bCs w:val="false"/>
          <w:i w:val="false"/>
          <w:iCs w:val="false"/>
          <w:sz w:val="24"/>
          <w:szCs w:val="24"/>
        </w:rPr>
        <w:t xml:space="preserve">38</w:t>
      </w:r>
      <w:r>
        <w:rPr>
          <w:rFonts w:ascii="Times New Roman" w:cs="Times New Roman" w:eastAsia="Times New Roman" w:hAnsi="Times New Roman"/>
          <w:b w:val="false"/>
          <w:bCs w:val="false"/>
          <w:i w:val="false"/>
          <w:iCs w:val="false"/>
          <w:sz w:val="24"/>
          <w:szCs w:val="24"/>
        </w:rPr>
        <w:t xml:space="preserve">% are still industrial parcels today, 25% are commercial, 1</w:t>
      </w:r>
      <w:r>
        <w:rPr>
          <w:rFonts w:ascii="Times New Roman" w:cs="Times New Roman" w:eastAsia="Times New Roman" w:hAnsi="Times New Roman"/>
          <w:b w:val="false"/>
          <w:bCs w:val="false"/>
          <w:i w:val="false"/>
          <w:iCs w:val="false"/>
          <w:sz w:val="24"/>
          <w:szCs w:val="24"/>
        </w:rPr>
        <w:t xml:space="preserve">8</w:t>
      </w:r>
      <w:r>
        <w:rPr>
          <w:rFonts w:ascii="Times New Roman" w:cs="Times New Roman" w:eastAsia="Times New Roman" w:hAnsi="Times New Roman"/>
          <w:b w:val="false"/>
          <w:bCs w:val="false"/>
          <w:i w:val="false"/>
          <w:iCs w:val="false"/>
          <w:sz w:val="24"/>
          <w:szCs w:val="24"/>
        </w:rPr>
        <w:t xml:space="preserve">% are </w:t>
      </w:r>
      <w:r>
        <w:rPr>
          <w:rFonts w:ascii="Times New Roman" w:cs="Times New Roman" w:eastAsia="Times New Roman" w:hAnsi="Times New Roman"/>
          <w:b w:val="false"/>
          <w:bCs w:val="false"/>
          <w:i w:val="false"/>
          <w:iCs w:val="false"/>
          <w:sz w:val="24"/>
          <w:szCs w:val="24"/>
        </w:rPr>
        <w:t xml:space="preserve">residential and 13% </w:t>
      </w:r>
      <w:r>
        <w:rPr>
          <w:rFonts w:ascii="Times New Roman" w:cs="Times New Roman" w:eastAsia="Times New Roman" w:hAnsi="Times New Roman"/>
          <w:b w:val="false"/>
          <w:bCs w:val="false"/>
          <w:i w:val="false"/>
          <w:iCs w:val="false"/>
          <w:sz w:val="24"/>
          <w:szCs w:val="24"/>
        </w:rPr>
        <w:t xml:space="preserve">vacant</w:t>
      </w: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val="false"/>
          <w:iCs w:val="false"/>
          <w:sz w:val="24"/>
          <w:szCs w:val="24"/>
        </w:rPr>
        <w:t xml:space="preserve">half</w:t>
      </w:r>
      <w:r>
        <w:rPr>
          <w:rFonts w:ascii="Times New Roman" w:cs="Times New Roman" w:eastAsia="Times New Roman" w:hAnsi="Times New Roman"/>
          <w:b w:val="false"/>
          <w:bCs w:val="false"/>
          <w:i w:val="false"/>
          <w:iCs w:val="false"/>
          <w:sz w:val="24"/>
          <w:szCs w:val="24"/>
        </w:rPr>
        <w:t xml:space="preserve"> are </w:t>
      </w:r>
      <w:r>
        <w:rPr>
          <w:rFonts w:ascii="Times New Roman" w:cs="Times New Roman" w:eastAsia="Times New Roman" w:hAnsi="Times New Roman"/>
          <w:b w:val="false"/>
          <w:bCs w:val="false"/>
          <w:i w:val="false"/>
          <w:iCs w:val="false"/>
          <w:sz w:val="24"/>
          <w:szCs w:val="24"/>
        </w:rPr>
        <w:t xml:space="preserve">still zoned industr</w:t>
      </w:r>
      <w:r>
        <w:rPr>
          <w:rFonts w:ascii="Times New Roman" w:cs="Times New Roman" w:eastAsia="Times New Roman" w:hAnsi="Times New Roman"/>
          <w:b w:val="false"/>
          <w:bCs w:val="false"/>
          <w:i w:val="false"/>
          <w:iCs w:val="false"/>
          <w:sz w:val="24"/>
          <w:szCs w:val="24"/>
        </w:rPr>
        <w:t xml:space="preserve">ial; of the 320 pre-1960 hazardous trades, 53% are now commercial, 1</w:t>
      </w:r>
      <w:r>
        <w:rPr>
          <w:rFonts w:ascii="Times New Roman" w:cs="Times New Roman" w:eastAsia="Times New Roman" w:hAnsi="Times New Roman"/>
          <w:b w:val="false"/>
          <w:bCs w:val="false"/>
          <w:i w:val="false"/>
          <w:iCs w:val="false"/>
          <w:sz w:val="24"/>
          <w:szCs w:val="24"/>
        </w:rPr>
        <w:t xml:space="preserve">9</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residential and 11.5% </w:t>
      </w:r>
      <w:r>
        <w:rPr>
          <w:rFonts w:ascii="Times New Roman" w:cs="Times New Roman" w:eastAsia="Times New Roman" w:hAnsi="Times New Roman"/>
          <w:b w:val="false"/>
          <w:bCs w:val="false"/>
          <w:i w:val="false"/>
          <w:iCs w:val="false"/>
          <w:sz w:val="24"/>
          <w:szCs w:val="24"/>
        </w:rPr>
        <w:t xml:space="preserve">industrial</w:t>
      </w: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val="false"/>
          <w:iCs w:val="false"/>
          <w:sz w:val="24"/>
          <w:szCs w:val="24"/>
        </w:rPr>
        <w:t xml:space="preserve">only 17% remain in an industrial zone</w:t>
      </w:r>
      <w:r>
        <w:rPr>
          <w:rFonts w:ascii="Times New Roman" w:cs="Times New Roman" w:eastAsia="Times New Roman" w:hAnsi="Times New Roman"/>
          <w:b w:val="false"/>
          <w:bCs w:val="false"/>
          <w:i w:val="false"/>
          <w:iCs w:val="false"/>
          <w:sz w:val="24"/>
          <w:szCs w:val="24"/>
        </w:rPr>
        <w:t xml:space="preserve">. Only 17% of the later sites, but 41% of the earlier ones, carry a building newer than their last directory listing. </w:t>
      </w:r>
      <w:r>
        <w:rPr>
          <w:rFonts w:ascii="Times New Roman" w:cs="Times New Roman" w:eastAsia="Times New Roman" w:hAnsi="Times New Roman"/>
          <w:b w:val="false"/>
          <w:bCs w:val="false"/>
          <w:i w:val="false"/>
          <w:iCs w:val="false"/>
          <w:sz w:val="24"/>
          <w:szCs w:val="24"/>
        </w:rPr>
        <w:t xml:space="preserve">176</w:t>
      </w:r>
      <w:r>
        <w:rPr>
          <w:rFonts w:ascii="Times New Roman" w:cs="Times New Roman" w:eastAsia="Times New Roman" w:hAnsi="Times New Roman"/>
          <w:b w:val="false"/>
          <w:bCs w:val="false"/>
          <w:i w:val="false"/>
          <w:iCs w:val="false"/>
          <w:sz w:val="24"/>
          <w:szCs w:val="24"/>
        </w:rPr>
        <w:t xml:space="preserve"> former sites now hold 4,</w:t>
      </w:r>
      <w:r>
        <w:rPr>
          <w:rFonts w:ascii="Times New Roman" w:cs="Times New Roman" w:eastAsia="Times New Roman" w:hAnsi="Times New Roman"/>
          <w:b w:val="false"/>
          <w:bCs w:val="false"/>
          <w:i w:val="false"/>
          <w:iCs w:val="false"/>
          <w:sz w:val="24"/>
          <w:szCs w:val="24"/>
        </w:rPr>
        <w:t xml:space="preserve">619</w:t>
      </w:r>
      <w:r>
        <w:rPr>
          <w:rFonts w:ascii="Times New Roman" w:cs="Times New Roman" w:eastAsia="Times New Roman" w:hAnsi="Times New Roman"/>
          <w:b w:val="false"/>
          <w:bCs w:val="false"/>
          <w:i w:val="false"/>
          <w:iCs w:val="false"/>
          <w:sz w:val="24"/>
          <w:szCs w:val="24"/>
        </w:rPr>
        <w:t xml:space="preserve"> dwelling units, and </w:t>
      </w:r>
      <w:r>
        <w:rPr>
          <w:rFonts w:ascii="Times New Roman" w:cs="Times New Roman" w:eastAsia="Times New Roman" w:hAnsi="Times New Roman"/>
          <w:b w:val="false"/>
          <w:bCs w:val="false"/>
          <w:i w:val="false"/>
          <w:iCs w:val="false"/>
          <w:sz w:val="24"/>
          <w:szCs w:val="24"/>
        </w:rPr>
        <w:t xml:space="preserve">8</w:t>
      </w:r>
      <w:r>
        <w:rPr>
          <w:rFonts w:ascii="Times New Roman" w:cs="Times New Roman" w:eastAsia="Times New Roman" w:hAnsi="Times New Roman"/>
          <w:b w:val="false"/>
          <w:bCs w:val="false"/>
          <w:i w:val="false"/>
          <w:iCs w:val="false"/>
          <w:sz w:val="24"/>
          <w:szCs w:val="24"/>
        </w:rPr>
        <w:t xml:space="preserve">2 of them are residential, school, park or health parcels </w:t>
      </w:r>
      <w:r>
        <w:rPr>
          <w:rFonts w:ascii="Times New Roman" w:cs="Times New Roman" w:eastAsia="Times New Roman" w:hAnsi="Times New Roman"/>
          <w:b w:val="false"/>
          <w:bCs w:val="false"/>
          <w:i w:val="false"/>
          <w:iCs w:val="false"/>
          <w:sz w:val="24"/>
          <w:szCs w:val="24"/>
        </w:rPr>
        <w:t xml:space="preserve">for which no matching record was identified in the cleanup datasets this project searched (EPA FRS, SEMS and RCRA, Colorado VCUP and environmental covenants) — which does not establish that they were never assessed or remediated</w:t>
      </w:r>
      <w:r>
        <w:rPr>
          <w:rFonts w:ascii="Times New Roman" w:cs="Times New Roman" w:eastAsia="Times New Roman" w:hAnsi="Times New Roman"/>
          <w:b w:val="false"/>
          <w:bCs w:val="false"/>
          <w:i w:val="false"/>
          <w:iCs w:val="false"/>
          <w:sz w:val="24"/>
          <w:szCs w:val="24"/>
        </w:rPr>
        <w:t xml:space="preserve">.</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w:t>
      </w:r>
      <w:r>
        <w:rPr>
          <w:rFonts w:ascii="Times New Roman" w:cs="Times New Roman" w:eastAsia="Times New Roman" w:hAnsi="Times New Roman"/>
          <w:b w:val="false"/>
          <w:bCs w:val="false"/>
          <w:i w:val="false"/>
          <w:iCs w:val="false"/>
          <w:sz w:val="24"/>
          <w:szCs w:val="24"/>
        </w:rPr>
        <w:t xml:space="preserve">986 from the 1965–1992 manufacturers' directory in the Frickel &amp; Elliott hazardous sectors, and 320 street-level hazardous trades of the 1891–1956 business directories; 1,258 distinct coordinates, since some addresses recur)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w:t>
      </w:r>
      <w:r>
        <w:rPr>
          <w:rFonts w:ascii="Times New Roman" w:cs="Times New Roman" w:eastAsia="Times New Roman" w:hAnsi="Times New Roman"/>
          <w:b w:val="false"/>
          <w:bCs w:val="false"/>
          <w:i w:val="false"/>
          <w:iCs w:val="false"/>
          <w:sz w:val="24"/>
          <w:szCs w:val="24"/>
        </w:rPr>
        <w:t xml:space="preserve">. The parcel carries the assessor's property class (single family, apartment, warehouse, factory, exempt school, vacant land and so on), the current zone district and the pre-2010 one,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9.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986)</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37.9%</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25.1%</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13.1%</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(I-A, I-B, I-MX)</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29% are residential today and 21% industrial; of those still listed in the 1990s, 14% are residential and 46% industrial. </w:t>
      </w:r>
      <w:r>
        <w:rPr>
          <w:rFonts w:ascii="Times New Roman" w:cs="Times New Roman" w:eastAsia="Times New Roman" w:hAnsi="Times New Roman"/>
          <w:b w:val="false"/>
          <w:bCs w:val="false"/>
          <w:i w:val="false"/>
          <w:iCs w:val="false"/>
          <w:sz w:val="24"/>
          <w:szCs w:val="24"/>
        </w:rPr>
        <w:t xml:space="preserve">Earlier cohorts have had longer to convert, so the rows are not a conversion rate; they show what stands today on the sites of each cohort, and that the industrial corridor of today is the residue of a larger one. A site's last directory listing is the last edition that recorded it, not a confirmed closure date, and a newer building is a redevelopment indicator, not proof the industrial use ended then</w:t>
      </w:r>
      <w:r>
        <w:rPr>
          <w:rFonts w:ascii="Times New Roman" w:cs="Times New Roman" w:eastAsia="Times New Roman" w:hAnsi="Times New Roman"/>
          <w:b w:val="false"/>
          <w:bCs w:val="false"/>
          <w:i w:val="false"/>
          <w:iCs w:val="false"/>
          <w:sz w:val="24"/>
          <w:szCs w:val="24"/>
        </w:rPr>
        <w:t xml:space="preserve">.</w:t>
      </w:r>
    </w:p>
    <w:p>
      <w:pPr>
        <w:spacing w:after="80" w:before="240"/>
      </w:pPr>
      <w:r>
        <w:rPr>
          <w:rFonts w:ascii="Times New Roman" w:cs="Times New Roman" w:eastAsia="Times New Roman" w:hAnsi="Times New Roman"/>
          <w:b/>
          <w:bCs/>
          <w:sz w:val="20"/>
          <w:szCs w:val="20"/>
        </w:rPr>
        <w:t xml:space="preserve">Table 10.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w:t>
            </w:r>
            <w:r>
              <w:rPr>
                <w:rFonts w:ascii="Times New Roman" w:cs="Times New Roman" w:eastAsia="Times New Roman" w:hAnsi="Times New Roman"/>
                <w:b w:val="false"/>
                <w:bCs w:val="false"/>
                <w:i w:val="false"/>
                <w:iCs w:val="false"/>
                <w:sz w:val="16"/>
                <w:szCs w:val="16"/>
              </w:rPr>
              <w:t xml:space="preserve">; includes the one site with no parcel match, so the cohorts sum to 987</w:t>
            </w:r>
            <w:r>
              <w:rPr>
                <w:rFonts w:ascii="Times New Roman" w:cs="Times New Roman" w:eastAsia="Times New Roman" w:hAnsi="Times New Roman"/>
                <w:b w:val="false"/>
                <w:bCs w:val="false"/>
                <w:i w:val="false"/>
                <w:iCs w:val="false"/>
                <w:sz w:val="16"/>
                <w:szCs w:val="16"/>
              </w:rPr>
              <w:t xml:space="preserv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exposure the Hispanic neighbourhoods of 1970–2000 lived with has not been removed, only thinned at its edges. Second, the pre-1960 trades — the smelters, foundries, tanneries and rendering works of the Platte bottoms and the downtown fringe — have almost all turned over: half are commercial, one in five residential, and 41% have been rebuilt. These </w:t>
      </w:r>
      <w:r>
        <w:rPr>
          <w:rFonts w:ascii="Times New Roman" w:cs="Times New Roman" w:eastAsia="Times New Roman" w:hAnsi="Times New Roman"/>
          <w:b w:val="false"/>
          <w:bCs w:val="false"/>
          <w:i w:val="false"/>
          <w:iCs w:val="false"/>
          <w:sz w:val="24"/>
          <w:szCs w:val="24"/>
        </w:rPr>
        <w:t xml:space="preserve">resemble the "relict" sites of Elliott &amp; Frickel (2013): their last listings fall decades before the regulatory inventories searched here began, which is consistent with, though does not by itself explain, their absence from those inventories</w:t>
      </w:r>
      <w:r>
        <w:rPr>
          <w:rFonts w:ascii="Times New Roman" w:cs="Times New Roman" w:eastAsia="Times New Roman" w:hAnsi="Times New Roman"/>
          <w:b w:val="false"/>
          <w:bCs w:val="false"/>
          <w:i w:val="false"/>
          <w:iCs w:val="false"/>
          <w:sz w:val="24"/>
          <w:szCs w:val="24"/>
        </w:rPr>
        <w:t xml:space="preserve">, and in the path of the river-corridor redevelopment that produced the flattening gradients of Section 5.</w:t>
      </w:r>
    </w:p>
    <w:p>
      <w:pPr>
        <w:spacing w:after="160" w:line="360"/>
        <w:jc w:val="both"/>
      </w:pPr>
      <w:r>
        <w:rPr>
          <w:rFonts w:ascii="Times New Roman" w:cs="Times New Roman" w:eastAsia="Times New Roman" w:hAnsi="Times New Roman"/>
          <w:b/>
          <w:bCs/>
          <w:i w:val="false"/>
          <w:iCs w:val="false"/>
          <w:sz w:val="24"/>
          <w:szCs w:val="24"/>
        </w:rPr>
        <w:t xml:space="preserve">Hidden conversions.</w:t>
      </w:r>
      <w:r>
        <w:rPr>
          <w:rFonts w:ascii="Times New Roman" w:cs="Times New Roman" w:eastAsia="Times New Roman" w:hAnsi="Times New Roman"/>
          <w:b w:val="false"/>
          <w:bCs w:val="false"/>
          <w:i w:val="false"/>
          <w:iCs w:val="false"/>
          <w:sz w:val="24"/>
          <w:szCs w:val="24"/>
        </w:rPr>
        <w:t xml:space="preserve"> The </w:t>
      </w:r>
      <w:r>
        <w:rPr>
          <w:rFonts w:ascii="Times New Roman" w:cs="Times New Roman" w:eastAsia="Times New Roman" w:hAnsi="Times New Roman"/>
          <w:b w:val="false"/>
          <w:bCs w:val="false"/>
          <w:i w:val="false"/>
          <w:iCs w:val="false"/>
          <w:sz w:val="24"/>
          <w:szCs w:val="24"/>
        </w:rPr>
        <w:t xml:space="preserve">8</w:t>
      </w:r>
      <w:r>
        <w:rPr>
          <w:rFonts w:ascii="Times New Roman" w:cs="Times New Roman" w:eastAsia="Times New Roman" w:hAnsi="Times New Roman"/>
          <w:b w:val="false"/>
          <w:bCs w:val="false"/>
          <w:i w:val="false"/>
          <w:iCs w:val="false"/>
          <w:sz w:val="24"/>
          <w:szCs w:val="24"/>
        </w:rPr>
        <w:t xml:space="preserve">2 later sites now in residential, school, park or health use with no cleanup record, and the </w:t>
      </w:r>
      <w:r>
        <w:rPr>
          <w:rFonts w:ascii="Times New Roman" w:cs="Times New Roman" w:eastAsia="Times New Roman" w:hAnsi="Times New Roman"/>
          <w:b w:val="false"/>
          <w:bCs w:val="false"/>
          <w:i w:val="false"/>
          <w:iCs w:val="false"/>
          <w:sz w:val="24"/>
          <w:szCs w:val="24"/>
        </w:rPr>
        <w:t xml:space="preserve">62</w:t>
      </w:r>
      <w:r>
        <w:rPr>
          <w:rFonts w:ascii="Times New Roman" w:cs="Times New Roman" w:eastAsia="Times New Roman" w:hAnsi="Times New Roman"/>
          <w:b w:val="false"/>
          <w:bCs w:val="false"/>
          <w:i w:val="false"/>
          <w:iCs w:val="false"/>
          <w:sz w:val="24"/>
          <w:szCs w:val="24"/>
        </w:rPr>
        <w:t xml:space="preserve"> pre-1960 trade sites now residential, are the cases for archival follow-up. For each, the Denver Public Library's Sanborn sheets (1887–1930 editions via the Library of Congress) show what stood on the lot and what it stored, and the Polk reverse directories give the sequence of occupants from the last industrial listing to the first residential one. </w:t>
      </w:r>
    </w:p>
    <w:p>
      <w:pPr>
        <w:pStyle w:val="Heading1"/>
        <w:spacing w:after="160" w:before="360"/>
      </w:pPr>
      <w:r>
        <w:rPr>
          <w:rFonts w:ascii="Times New Roman" w:cs="Times New Roman" w:eastAsia="Times New Roman" w:hAnsi="Times New Roman"/>
          <w:b/>
          <w:bCs/>
          <w:color w:val="000000"/>
          <w:sz w:val="26"/>
          <w:szCs w:val="26"/>
        </w:rPr>
        <w:t xml:space="preserve">7.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are established and one is not. First, the ordering of Denver's population around hazardous industry — Black, foreign-born and labouring households near it, owners and higher-status workers away from it — is present in the earliest census that can be mapped and in every one after, decades before the city zoned, before deeds carried racial covenants, and before the HOLC appraisers arrived. Second, the three instruments of the 1920s–30s marked the same corridor: the 1925 ordinance zoned a sixth of the future D land industrial and almost none of the rest; the appraisers described industry in half their D areas; the D–C boundaries separated Black from white districts in 1930 and 1940, and that difference is not accounted for by rail or by zoning. Third, after 1938 the gap widened, hazardous siting concentrated in the D and industrially zoned areas, the group beside the industry changed from Black to Hispanic, and the corridor is still largely industrial in the parcel record while its oldest sites have become housing absent from the cleanup inventories. What is not established is the independent contribution of any one instrument. The grading, the zoning, FHA practice, the railways and the post-war land market all pointed at the same land, and a boundary design with fifteen tracts a side cannot pull them apart.</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therefore closer to "reinforcement" than to "creation" in the terms of Aaronson, Hartley and Mazumder (2021) and Fishback et al. (2024), but with a different emphasis from either. For Denver the question of whether the HOLC map caused the later divergence is less interesting than the observation that every instrument the city and the federal government produced between 1925 and 1938 recorded, rather than chose, a corridor that was already two generations old — and that the corridor then absorbed each new disadvantaged group in turn.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Any study that begins with the regulatory inventories of the 1980s begins after Denver's pre-1960 hazardous trades had closed, after their sites had been converted, and after the Black residents who lived beside them had been replaced by Hispanic ones; it will find a Hispanic–industry association and attribute it to the 1960s–90s when the location of the industry was fixed before 1920. The directory series and the full-count census make the earlier period measurable, and the methods here are not specific to Denver. The second is about the relict sites. One in six of the 1965–92 hazardous sites and one in five of the pre-1960 trades now stand under housing, and 82 of the former carry no record in any inventory this project searched. Whether they are contaminated is unknown; what is known is that they are invisible to the instruments that would find out, and that they sit in the same corridor the paper has traced since 1880.</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the directory inventory has twelve partial editions set aside and a source change in 1961; the 1929 zoning layer cannot fully separate apartment from industrial hatching; </w:t>
      </w:r>
      <w:r>
        <w:rPr>
          <w:rFonts w:ascii="Times New Roman" w:cs="Times New Roman" w:eastAsia="Times New Roman" w:hAnsi="Times New Roman"/>
          <w:b w:val="false"/>
          <w:bCs w:val="false"/>
          <w:i w:val="false"/>
          <w:iCs w:val="false"/>
          <w:sz w:val="24"/>
          <w:szCs w:val="24"/>
        </w:rPr>
        <w:t xml:space="preserve">with spatially robust errors the pre-map Black gap at the D–C boundary is a consistent but imprecise estimate, so the claim that the gap predates the map rests on its sign and growth across three censuses rather than on any one of them</w:t>
      </w:r>
      <w:r>
        <w:rPr>
          <w:rFonts w:ascii="Times New Roman" w:cs="Times New Roman" w:eastAsia="Times New Roman" w:hAnsi="Times New Roman"/>
          <w:b w:val="false"/>
          <w:bCs w:val="false"/>
          <w:i w:val="false"/>
          <w:iCs w:val="false"/>
          <w:sz w:val="24"/>
          <w:szCs w:val="24"/>
        </w:rPr>
        <w:t xml:space="preserve">; the post-2000 exposure is to historically listed sites; and no archival check at the block or parcel level has yet been made. The next pass on this paper is those checks,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3"/>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2026-10-18T20:28:22.655Z</dcterms:created>
  <dcterms:modified xsi:type="dcterms:W3CDTF">2026-10-18T20:28:22.660Z</dcterms:modified>
</cp:coreProperties>
</file>

<file path=docProps/custom.xml><?xml version="1.0" encoding="utf-8"?>
<Properties xmlns="http://schemas.openxmlformats.org/officeDocument/2006/custom-properties" xmlns:vt="http://schemas.openxmlformats.org/officeDocument/2006/docPropsVTypes"/>
</file>