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Before and After the Map: Industrial Siting and the Making of Environmental Inequality in Denver, 1880–2020</w:t>
      </w:r>
    </w:p>
    <w:p>
      <w:pPr>
        <w:spacing w:after="60"/>
        <w:jc w:val="center"/>
      </w:pPr>
      <w:r>
        <w:rPr>
          <w:rFonts w:ascii="Times New Roman" w:cs="Times New Roman" w:eastAsia="Times New Roman" w:hAnsi="Times New Roman"/>
          <w:sz w:val="24"/>
          <w:szCs w:val="24"/>
        </w:rPr>
        <w:t xml:space="preserve">Priyanka deSouza</w:t>
      </w:r>
    </w:p>
    <w:p>
      <w:pPr>
        <w:spacing w:after="360"/>
        <w:jc w:val="center"/>
      </w:pPr>
      <w:r>
        <w:rPr>
          <w:rFonts w:ascii="Times New Roman" w:cs="Times New Roman" w:eastAsia="Times New Roman" w:hAnsi="Times New Roman"/>
          <w:i/>
          <w:iCs/>
          <w:sz w:val="22"/>
          <w:szCs w:val="22"/>
        </w:rPr>
        <w:t xml:space="preserve">[Affiliation and correspondence address]</w:t>
      </w:r>
    </w:p>
    <w:p>
      <w:pPr>
        <w:spacing w:after="160" w:line="300"/>
        <w:jc w:val="both"/>
      </w:pPr>
      <w:r>
        <w:rPr>
          <w:rFonts w:ascii="Times New Roman" w:cs="Times New Roman" w:eastAsia="Times New Roman" w:hAnsi="Times New Roman"/>
          <w:b/>
          <w:bCs/>
          <w:i w:val="false"/>
          <w:iCs w:val="false"/>
          <w:sz w:val="22"/>
          <w:szCs w:val="22"/>
        </w:rPr>
        <w:t xml:space="preserve">Abstract.</w:t>
      </w:r>
      <w:r>
        <w:rPr>
          <w:rFonts w:ascii="Times New Roman" w:cs="Times New Roman" w:eastAsia="Times New Roman" w:hAnsi="Times New Roman"/>
          <w:b w:val="false"/>
          <w:bCs w:val="false"/>
          <w:i w:val="false"/>
          <w:iCs w:val="false"/>
          <w:sz w:val="22"/>
          <w:szCs w:val="22"/>
        </w:rPr>
        <w:t xml:space="preserve"> Environmental inequality is usually measured where regulatory inventories begin, in the 1980s, long after the industrial geography that produces it was laid down. This paper reconstructs that geography for Denver from its first state business directory (1871) to the present and asks what came first: hazardous industry, the people who lived beside it, or the instruments — the 1925 zoning ordinance and the 1938 HOLC map — that are often credited with creating the pattern. Three sources are linked: the street-level hazardous trades of 34 business-directory editions (1871–1956) and 13 complete manufacturers' directory editions (1965–1992); the complete-count censuses of 1880–1940 aggregated to reconstructed enumeration districts and census tracts within 10 km of downtown for 1950–2020; and the city's 1929 zoning map, the 1938 HOLC map and today's assessor parcels. Four findings follow. First, the disparities preceded both instruments. From 1880 to 1940 districts nearer hazardous industry held more foreign-born, labouring and lodging households and fewer owners, and the hazardous trades that opened before 1940 opened in places that already had more of those households. Second, the land the appraisers graded D combined two different geographies. Black Denver became concentrated in two residential D areas northeast of downtown between 1900 and 1930, before the map, while the industrially zoned land, in D and in the ungraded industrial zones, lost Black residents and became Mexican and Hispano. The D–C Black gap describes the first geography, not the second. Third, neither instrument coincides with an acceleration that the data can detect. Per directory edition, hazardous siting after 1938 favoured D land within the range it had before (D/C 2.1, against 1.7–6.4), and after 1950 the Hispanic concentration beside industry is strong between places but does not track a tract's own changes in industry. Hazardous manufacturers that arrived after 1965 went to tracts that were less poor than those that never had one, and those tracts then gained Hispanic residents faster. Concentration of both groups in D and industrial tracts peaked around 1960 and has declined since. Fourth, four in ten of the 1965–92 sites are still industrial parcels, and most of the 168 now residential were small firms in residential buildings rather than conversions. The instruments recorded an industrial and racial geography that already existed; the data do not show that either created it or measurably accelerated it.</w:t>
      </w:r>
    </w:p>
    <w:p>
      <w:pPr>
        <w:spacing w:after="160" w:line="360"/>
        <w:jc w:val="both"/>
      </w:pPr>
      <w:r>
        <w:rPr>
          <w:rFonts w:ascii="Times New Roman" w:cs="Times New Roman" w:eastAsia="Times New Roman" w:hAnsi="Times New Roman"/>
          <w:b/>
          <w:bCs/>
          <w:i w:val="false"/>
          <w:iCs w:val="false"/>
          <w:sz w:val="22"/>
          <w:szCs w:val="22"/>
        </w:rPr>
        <w:t xml:space="preserve">Keywords:</w:t>
      </w:r>
      <w:r>
        <w:rPr>
          <w:rFonts w:ascii="Times New Roman" w:cs="Times New Roman" w:eastAsia="Times New Roman" w:hAnsi="Times New Roman"/>
          <w:b w:val="false"/>
          <w:bCs w:val="false"/>
          <w:i w:val="false"/>
          <w:iCs w:val="false"/>
          <w:sz w:val="22"/>
          <w:szCs w:val="22"/>
        </w:rPr>
        <w:t xml:space="preserve"> environmental justice; industrial geography; redlining; zoning; historical GIS; Denver</w:t>
      </w:r>
    </w:p>
    <w:p>
      <w:pPr>
        <w:pStyle w:val="Heading1"/>
        <w:spacing w:after="160" w:before="360"/>
      </w:pPr>
      <w:r>
        <w:rPr>
          <w:rFonts w:ascii="Times New Roman" w:cs="Times New Roman" w:eastAsia="Times New Roman" w:hAnsi="Times New Roman"/>
          <w:b/>
          <w:bCs/>
          <w:color w:val="000000"/>
          <w:sz w:val="26"/>
          <w:szCs w:val="26"/>
        </w:rPr>
        <w:t xml:space="preserve">1. 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Does hazardous industry find the poor, or do the poor find hazardous industry? The question has organised the environmental-justice literature since Been's (1994) challenge to the siting studies of the 1980s, and it has rarely been answered with evidence from the period when the answer was decided. Most studies measure exposure from inventories that begin in the 1980s — the Toxics Release Inventory, Superfund, RCRA — and composition from censuses after 1970, which places the observation window a century after the first smelters and tanneries were built in American cities and decades after the housing market had sorted people around them (Pastor, Sadd and Hipp 2001; Mohai and Saha 2015). Frickel and Elliott (2018) showed how much that window misses: in Portland, Philadelphia, Minneapolis and New Orleans the great majority of historical hazardous sites had closed before any inventory existed, most had been converted to other uses, and the inventories captured a small, recent and unrepresentative residue of the industrial land that still underlies the city. The historical origins of environmental inequality are, on this account, both the explanation of the present pattern and the part of it least often measured.</w:t>
      </w:r>
    </w:p>
    <w:p>
      <w:pPr>
        <w:spacing w:after="160" w:line="360"/>
        <w:jc w:val="both"/>
      </w:pPr>
      <w:r>
        <w:rPr>
          <w:rFonts w:ascii="Times New Roman" w:cs="Times New Roman" w:eastAsia="Times New Roman" w:hAnsi="Times New Roman"/>
          <w:b w:val="false"/>
          <w:bCs w:val="false"/>
          <w:i w:val="false"/>
          <w:iCs w:val="false"/>
          <w:sz w:val="24"/>
          <w:szCs w:val="24"/>
        </w:rPr>
        <w:t xml:space="preserve">This paper reconstructs those origins for one city over 140 years. Denver is a useful case because it is a late, planned and well-documented city: it had a state business directory listing every trade from 1871, a manufacturers' directory with industry codes from 1961, one of the earliest comprehensive zoning ordinances in the mountain West (1925), a HOLC residential security map (1938), and a public library that holds the city directories, the zone maps and the Sanborn fire-insurance atlases that let the inventory be placed on the historical street grid. It is also a city whose environmental-justice geography is well known in its present form — the Globeville, Elyria-Swansea and Sun Valley neighbourhoods along the South Platte and the rail yards are the usual exhibits — so that the question of how that geography formed can be asked against a known end-point.</w:t>
      </w:r>
    </w:p>
    <w:p>
      <w:pPr>
        <w:spacing w:after="160" w:line="360"/>
        <w:jc w:val="both"/>
      </w:pPr>
      <w:r>
        <w:rPr>
          <w:rFonts w:ascii="Times New Roman" w:cs="Times New Roman" w:eastAsia="Times New Roman" w:hAnsi="Times New Roman"/>
          <w:b w:val="false"/>
          <w:bCs w:val="false"/>
          <w:i w:val="false"/>
          <w:iCs w:val="false"/>
          <w:sz w:val="24"/>
          <w:szCs w:val="24"/>
        </w:rPr>
        <w:t xml:space="preserve">The argument runs in three steps, each with its own section of evidence. Section 3 uses the complete-count censuses of 1880–1940, aggregated to reconstructed enumeration districts, to describe who lived beside the hazardous trades in each decade before the instruments of the 1920s and 1930s existed. Section 4 brings in the 1925 zoning ordinance and the 1938 HOLC map and asks, in the design of Aaronson, Hartley and Mazumder (2021), whether the map created the pattern or recorded it, using the map's own boundaries as the comparison and controlling for rail and for what the city had already zoned. Section 4 ends with descriptive sequences on fixed geographies — which came first in each place, industry or its neighbours, and whether anything changed when the zoning or the map arrived. Section 5 carries the analysis onto census tracts from 1950 to 2020, where the group beside industry changes. Section 6 asks what became of the sites themselves, matching every one to the parcel that stands there today, and Section 7 asks whether they are associated with mortality: among residents today, before and after the sites were rebuilt, and among Denver residents of 1940 followed to their deaths. Section 8 draws the steps together and sets out what the evidence can and cannot support.</w:t>
      </w:r>
    </w:p>
    <w:p>
      <w:pPr>
        <w:spacing w:after="160" w:line="360"/>
        <w:jc w:val="both"/>
      </w:pPr>
      <w:r>
        <w:rPr>
          <w:rFonts w:ascii="Times New Roman" w:cs="Times New Roman" w:eastAsia="Times New Roman" w:hAnsi="Times New Roman"/>
          <w:b w:val="false"/>
          <w:bCs w:val="false"/>
          <w:i w:val="false"/>
          <w:iCs w:val="false"/>
          <w:sz w:val="24"/>
          <w:szCs w:val="24"/>
        </w:rPr>
        <w:t xml:space="preserve">The contribution is partly substantive and partly methodological. Substantively, the paper shows that a class and nativity gradient around hazardous industry in Denver predates zoning, covenants and redlining; that each of those instruments marked the same corridor; that the group most concentrated beside it after 1950 was Hispanic; and that the corridor persists in the parcel record. Methodologically, it demonstrates a reproducible chain — OCR of directory scans, geocoding to historical streets, district reconstruction from full-count microdata, texture classification of a hatched zoning map, and parcel matching — that can be run for any city with a directory series and a Sanborn atlas, and it sets out what such a chain needs in order not to overclaim: one definition of hazardous industry throughout, one study area, fixed-geography checks on every trend, and comparisons of firm density within one source rather than across a change of source. The code and the derived data are published (microdata and address files are not redistributed), and a companion web application shows every site, district, grade and parcel behind the tables.</w:t>
      </w:r>
    </w:p>
    <w:p>
      <w:pPr>
        <w:pStyle w:val="Heading1"/>
        <w:spacing w:after="160" w:before="360"/>
      </w:pPr>
      <w:r>
        <w:rPr>
          <w:rFonts w:ascii="Times New Roman" w:cs="Times New Roman" w:eastAsia="Times New Roman" w:hAnsi="Times New Roman"/>
          <w:b/>
          <w:bCs/>
          <w:color w:val="000000"/>
          <w:sz w:val="26"/>
          <w:szCs w:val="26"/>
        </w:rPr>
        <w:t xml:space="preserve">2. Data and methods</w:t>
      </w:r>
    </w:p>
    <w:p>
      <w:pPr>
        <w:spacing w:after="160" w:line="360"/>
        <w:jc w:val="both"/>
      </w:pPr>
      <w:r>
        <w:rPr>
          <w:rFonts w:ascii="Times New Roman" w:cs="Times New Roman" w:eastAsia="Times New Roman" w:hAnsi="Times New Roman"/>
          <w:b/>
          <w:bCs/>
          <w:i w:val="false"/>
          <w:iCs w:val="false"/>
          <w:sz w:val="24"/>
          <w:szCs w:val="24"/>
        </w:rPr>
        <w:t xml:space="preserve">Hazardous industry, 1871–1992.</w:t>
      </w:r>
      <w:r>
        <w:rPr>
          <w:rFonts w:ascii="Times New Roman" w:cs="Times New Roman" w:eastAsia="Times New Roman" w:hAnsi="Times New Roman"/>
          <w:b w:val="false"/>
          <w:bCs w:val="false"/>
          <w:i w:val="false"/>
          <w:iCs w:val="false"/>
          <w:sz w:val="24"/>
          <w:szCs w:val="24"/>
        </w:rPr>
        <w:t xml:space="preserve"> The inventory follows Frickel and Elliott (2018) in using city and state directories rather than regulatory lists as the primary record of where hazardous manufacturing stood, and uses their set of hazardous sectors throughout: the same sector definition selects the business-directory trades, the manufacturers and the firms counted in every model and map. Two series are used. The </w:t>
      </w:r>
      <w:r>
        <w:rPr>
          <w:rFonts w:ascii="Times New Roman" w:cs="Times New Roman" w:eastAsia="Times New Roman" w:hAnsi="Times New Roman"/>
          <w:b w:val="false"/>
          <w:bCs w:val="false"/>
          <w:i/>
          <w:iCs/>
          <w:sz w:val="24"/>
          <w:szCs w:val="24"/>
        </w:rPr>
        <w:t xml:space="preserve">Colorado State Business Directory</w:t>
      </w:r>
      <w:r>
        <w:rPr>
          <w:rFonts w:ascii="Times New Roman" w:cs="Times New Roman" w:eastAsia="Times New Roman" w:hAnsi="Times New Roman"/>
          <w:b w:val="false"/>
          <w:bCs w:val="false"/>
          <w:i w:val="false"/>
          <w:iCs w:val="false"/>
          <w:sz w:val="24"/>
          <w:szCs w:val="24"/>
        </w:rPr>
        <w:t xml:space="preserve"> (1871–1956, 34 editions scanned by the Denver Public Library) lists every business by town and trade; the hazardous trades — smelting and refining, foundries and metal working, chemicals and paints, petroleum, tanneries, rendering, gas works, printing and plating — were extracted by OCR and keyword matching, and those with a street address (321 in Denver; the rest are placed at the town centre and excluded from every spatial analysis) were geocoded against the historical street grid. The </w:t>
      </w:r>
      <w:r>
        <w:rPr>
          <w:rFonts w:ascii="Times New Roman" w:cs="Times New Roman" w:eastAsia="Times New Roman" w:hAnsi="Times New Roman"/>
          <w:b w:val="false"/>
          <w:bCs w:val="false"/>
          <w:i/>
          <w:iCs/>
          <w:sz w:val="24"/>
          <w:szCs w:val="24"/>
        </w:rPr>
        <w:t xml:space="preserve">Directory of Colorado Manufacturers</w:t>
      </w:r>
      <w:r>
        <w:rPr>
          <w:rFonts w:ascii="Times New Roman" w:cs="Times New Roman" w:eastAsia="Times New Roman" w:hAnsi="Times New Roman"/>
          <w:b w:val="false"/>
          <w:bCs w:val="false"/>
          <w:i w:val="false"/>
          <w:iCs w:val="false"/>
          <w:sz w:val="24"/>
          <w:szCs w:val="24"/>
        </w:rPr>
        <w:t xml:space="preserve"> (Business Research Division, University of Colorado, 1961–2002) lists every manufacturer with its address and SIC code. Only the thirteen editions whose scans are complete (1965–68, 1970, 1973–74, 1977, 1980, 1983, 1988, 1990, 1992) are used anywhere in the paper; they yield 3,171 Colorado sites in the hazardous sectors after linking listings across editions within 30 m, 976 of them in the City and County of Denver. Twelve further editions survive only in part and are excluded. Thirty-four listings, almost all in the 1965 edition, had been placed by the geocoder's direction-loose pass on the unprefixed north-Denver street of a south-Denver address ("4000 S. Kalamath" on north Kalamath Street, in the industrial corridor); every Denver listing whose point lies on the wrong side of the street-grid baselines for its own direction was set to unlocated, removing 19 sites. "Firms of the decade" for a census year are the listings of the ten years ending at it. Business-directory editions are uneven (none survives for 1893–1909, and only 1910 for the decade ending in 1910), so the number of firms of the decade before 1940 reflects which editions exist as much as how many firms there were, and counts of firms are not compared across censuses; for 2000–2020 the last complete decade, 1983–92, is carried forward, so those years measure proximity to historically listed sites, not to active manufacturing.</w:t>
      </w:r>
    </w:p>
    <w:p>
      <w:pPr>
        <w:spacing w:after="160" w:line="360"/>
        <w:jc w:val="both"/>
      </w:pPr>
      <w:r>
        <w:rPr>
          <w:rFonts w:ascii="Times New Roman" w:cs="Times New Roman" w:eastAsia="Times New Roman" w:hAnsi="Times New Roman"/>
          <w:b/>
          <w:bCs/>
          <w:i w:val="false"/>
          <w:iCs w:val="false"/>
          <w:sz w:val="24"/>
          <w:szCs w:val="24"/>
        </w:rPr>
        <w:t xml:space="preserve">Benchmarks.</w:t>
      </w:r>
      <w:r>
        <w:rPr>
          <w:rFonts w:ascii="Times New Roman" w:cs="Times New Roman" w:eastAsia="Times New Roman" w:hAnsi="Times New Roman"/>
          <w:b w:val="false"/>
          <w:bCs w:val="false"/>
          <w:i w:val="false"/>
          <w:iCs w:val="false"/>
          <w:sz w:val="24"/>
          <w:szCs w:val="24"/>
        </w:rPr>
        <w:t xml:space="preserve"> The directories were compared with the public establishment counts. Against County Business Patterns (CBP), the complete editions list 0.61 (1992) to 1.16 (1980) as many Colorado hazardous-sector establishments as CBP counts (1977 0.77, 1983 1.07, 1988 0.98, 1990 0.99); the partial editions list 0.39–0.87. Across counties, the log directory count and the log CBP count correlate at 0.85 for all manufacturing and 0.88 for the hazardous sectors (15 editions, 63 counties; Denver's ratio is 0.77). CBP counts every employer establishment and has no addresses, so the ratios are coverage rates and CBP cannot replace the directory for siting. For 1880–1940 the business directory's hazardous trades are compared with the census of manufactures' county establishment counts (NHGIS); because the directory lists only hazardous trades, the ratio is a floor on its coverage.</w:t>
      </w:r>
    </w:p>
    <w:p>
      <w:pPr>
        <w:spacing w:after="160" w:line="360"/>
        <w:jc w:val="both"/>
      </w:pPr>
      <w:r>
        <w:rPr>
          <w:rFonts w:ascii="Times New Roman" w:cs="Times New Roman" w:eastAsia="Times New Roman" w:hAnsi="Times New Roman"/>
          <w:b/>
          <w:bCs/>
          <w:i w:val="false"/>
          <w:iCs w:val="false"/>
          <w:sz w:val="24"/>
          <w:szCs w:val="24"/>
        </w:rPr>
        <w:t xml:space="preserve">Archival check.</w:t>
      </w:r>
      <w:r>
        <w:rPr>
          <w:rFonts w:ascii="Times New Roman" w:cs="Times New Roman" w:eastAsia="Times New Roman" w:hAnsi="Times New Roman"/>
          <w:b w:val="false"/>
          <w:bCs w:val="false"/>
          <w:i w:val="false"/>
          <w:iCs w:val="false"/>
          <w:sz w:val="24"/>
          <w:szCs w:val="24"/>
        </w:rPr>
        <w:t xml:space="preserve"> For twenty street-located trades listed in 1891–92 with exact addresses, the 1890 Sanborn sheets (Library of Congress) were read lot by lot. On five the sheet shows the trade at the geocoded lot (foundries on Blake and Delgany, the Colorado Lead Works, a tin shop on Stout); on five it shows a related use on the lot or immediately adjoining; on six it shows something else (a laundry, offices, a stable, a warehouse, a vacant lot); four are inconclusive (excavations or a lumber yard). Ten of the sixteen conclusive cases therefore place industrial work at or beside the geocode. The mismatches are what one would expect from directory addresses that name an office or a residence, and from a sheet surveyed a year or two before the listing; they are a reason to read the street-level results as neighbourhood-scale rather than lot-scale.</w:t>
      </w:r>
    </w:p>
    <w:p>
      <w:pPr>
        <w:spacing w:after="160" w:line="360"/>
        <w:jc w:val="both"/>
      </w:pPr>
      <w:r>
        <w:rPr>
          <w:rFonts w:ascii="Times New Roman" w:cs="Times New Roman" w:eastAsia="Times New Roman" w:hAnsi="Times New Roman"/>
          <w:b/>
          <w:bCs/>
          <w:i w:val="false"/>
          <w:iCs w:val="false"/>
          <w:sz w:val="24"/>
          <w:szCs w:val="24"/>
        </w:rPr>
        <w:t xml:space="preserve">Population, 1880–1940.</w:t>
      </w:r>
      <w:r>
        <w:rPr>
          <w:rFonts w:ascii="Times New Roman" w:cs="Times New Roman" w:eastAsia="Times New Roman" w:hAnsi="Times New Roman"/>
          <w:b w:val="false"/>
          <w:bCs w:val="false"/>
          <w:i w:val="false"/>
          <w:iCs w:val="false"/>
          <w:sz w:val="24"/>
          <w:szCs w:val="24"/>
        </w:rPr>
        <w:t xml:space="preserve"> The complete-count censuses (Ruggles et al., IPUMS USA) give every person's enumeration district (ED) but no address, and no public source maps the EDs of 1900–1940. They were reconstructed by placing the household heads that IPUMS can match to street addresses on the historical street grid and tessellating the city so that each ED's polygon contains its matched households (73% of the 1900 population is placed at street level); 1880 uses the Urban Transition Historical GIS of Brown University, which geocoded that census to buildings, rebuilt the same way so that all six censuses are constructed alike. The EDs are those of Denver itself (Arapahoe County before 1902, the City and County of Denver after), and the mapped populations reproduce the county totals (for example 316,385 of 322,780 in 1940). The resulting districts (17 in 1880, 128–325 in 1900–1940) carry race, Hispanic origin, nativity, occupation (laborers; Duncan's SEI), tenure, rent and household structure. A measure is left missing in a census that did not ask the question rather than set to zero (ownership in 1880; SEI in the 1900 extract; rent and residence five years earlier only in 1940). Hispanic origin before 1980 is the IPUMS HISPAN variable, which IPUMS infers from birthplace, parents' birthplace and Spanish surname; it is not a self-identification and is not the same measure as the tract Hispanic counts of 1960 onwards, so the two series are compared in direction, not level. "Boarders and lodgers" are household members unrelated to the head (IPUMS RELATE 12–13). Only aggregates leave the project.</w:t>
      </w:r>
    </w:p>
    <w:p>
      <w:pPr>
        <w:spacing w:after="160" w:line="360"/>
        <w:jc w:val="both"/>
      </w:pPr>
      <w:r>
        <w:rPr>
          <w:rFonts w:ascii="Times New Roman" w:cs="Times New Roman" w:eastAsia="Times New Roman" w:hAnsi="Times New Roman"/>
          <w:b/>
          <w:bCs/>
          <w:i w:val="false"/>
          <w:iCs w:val="false"/>
          <w:sz w:val="24"/>
          <w:szCs w:val="24"/>
        </w:rPr>
        <w:t xml:space="preserve">Population, 1950–2020.</w:t>
      </w:r>
      <w:r>
        <w:rPr>
          <w:rFonts w:ascii="Times New Roman" w:cs="Times New Roman" w:eastAsia="Times New Roman" w:hAnsi="Times New Roman"/>
          <w:b w:val="false"/>
          <w:bCs w:val="false"/>
          <w:i w:val="false"/>
          <w:iCs w:val="false"/>
          <w:sz w:val="24"/>
          <w:szCs w:val="24"/>
        </w:rPr>
        <w:t xml:space="preserve"> The study area for every tract analysis is one fixed set: the 147 census tracts (2010 boundaries) whose centroid lies within 10 km of downtown Denver. For 1990–2020 population, race and Hispanic origin come from the NHGIS standardised time series, already on 2010 tracts. Every other census and measure is moved from that census's own tracts to 2010 tracts by area weighting: counts are interpolated first and shares computed afterwards, with each share's denominator (persons, households, persons for whom poverty status is determined, and so on) interpolated from the same table as its numerator; medians are averaged with weights of occupied units times overlap area. Dollar measures are in 2020 prices; rent is gross rent from 1960 and contract rent for 1940–50. Tracts with fewer than 200 residents are dropped from every measure. Hispanic origin is first reported on tracts in 1960 (Spanish surname or language), so the tract panel has no Hispanic measure for 1940–50; the 1940 HOLC tract value used in Section 4 alone is filled from the 1940 districts and is labelled so. The 1940 tract tables report nonwhite rather than Black, and the 1940 tract "Black" figures in Section 4 are nonwhite shares.</w:t>
      </w:r>
    </w:p>
    <w:p>
      <w:pPr>
        <w:spacing w:after="160" w:line="360"/>
        <w:jc w:val="both"/>
      </w:pPr>
      <w:r>
        <w:rPr>
          <w:rFonts w:ascii="Times New Roman" w:cs="Times New Roman" w:eastAsia="Times New Roman" w:hAnsi="Times New Roman"/>
          <w:b w:val="false"/>
          <w:bCs w:val="false"/>
          <w:i w:val="false"/>
          <w:iCs w:val="false"/>
          <w:sz w:val="24"/>
          <w:szCs w:val="24"/>
        </w:rPr>
        <w:t xml:space="preserve">Not every one of the 147 tracts was tracted in every census: 97 had a population of 200 or more on 1950 tracts, 144 in 1960 and 145–147 from 1970. A trend computed over "all tracts" in each year therefore compares partly different places, and every tract result is repeated on the fixed sets of tracts observed from 1950 (95 tracts), 1960 (142) and 1970 (144).</w:t>
      </w:r>
    </w:p>
    <w:p>
      <w:pPr>
        <w:spacing w:after="160" w:line="360"/>
        <w:jc w:val="both"/>
      </w:pPr>
      <w:r>
        <w:rPr>
          <w:rFonts w:ascii="Times New Roman" w:cs="Times New Roman" w:eastAsia="Times New Roman" w:hAnsi="Times New Roman"/>
          <w:b/>
          <w:bCs/>
          <w:i w:val="false"/>
          <w:iCs w:val="false"/>
          <w:sz w:val="24"/>
          <w:szCs w:val="24"/>
        </w:rPr>
        <w:t xml:space="preserve">Instruments.</w:t>
      </w:r>
      <w:r>
        <w:rPr>
          <w:rFonts w:ascii="Times New Roman" w:cs="Times New Roman" w:eastAsia="Times New Roman" w:hAnsi="Times New Roman"/>
          <w:b w:val="false"/>
          <w:bCs w:val="false"/>
          <w:i w:val="false"/>
          <w:iCs w:val="false"/>
          <w:sz w:val="24"/>
          <w:szCs w:val="24"/>
        </w:rPr>
        <w:t xml:space="preserve"> The 1938 HOLC residential security map and area descriptions are from Mapping Inequality (Nelson, Winling et al.); 730 racially restrictive deeds of 1931–35 from the Denver Public Library's Mapping Prejudice pilot. The 1925 zoning ordinance is taken from the official </w:t>
      </w:r>
      <w:r>
        <w:rPr>
          <w:rFonts w:ascii="Times New Roman" w:cs="Times New Roman" w:eastAsia="Times New Roman" w:hAnsi="Times New Roman"/>
          <w:b w:val="false"/>
          <w:bCs w:val="false"/>
          <w:i/>
          <w:iCs/>
          <w:sz w:val="24"/>
          <w:szCs w:val="24"/>
        </w:rPr>
        <w:t xml:space="preserve">Building Zone Map</w:t>
      </w:r>
      <w:r>
        <w:rPr>
          <w:rFonts w:ascii="Times New Roman" w:cs="Times New Roman" w:eastAsia="Times New Roman" w:hAnsi="Times New Roman"/>
          <w:b w:val="false"/>
          <w:bCs w:val="false"/>
          <w:i w:val="false"/>
          <w:iCs w:val="false"/>
          <w:sz w:val="24"/>
          <w:szCs w:val="24"/>
        </w:rPr>
        <w:t xml:space="preserve"> as revised to January 1929 (Denver Public Library, CG4314 .D4 G44 1929), a monochrome hatched map: a texture classifier labelled 32-pixel cells of the scan as Industrial A, Industrial B or Commercial by hatch orientation and density, and the result was georeferenced from 13 of 16 candidate control points (street intersections and park corners) resolved to TIGER road intersections (affine fit in UTM 13N, RMSE 25 m). Residence E and Industrial A share a hatch and are separated only by the absence of lot lines, the classification's main uncertainty. The map sheet does not cover the whole of the 1938 graded area; zoning shares are computed only for land on the sheet, and units less than half on it are left missing. The library's other edition, the same map revised to April 1944, was registered to the 1929 scan by a ten-point affine fit and compared with it cell by cell. One texture classifier trained on the 1929 labels was applied to both scans; every cluster of disagreement of about a city block or more (118 of 226 clusters) was inspected on side-by-side crops of the two scans, and only districts visibly redrawn were accepted (8 areas). Most disagreements came from the darker 1944 print rather than from redrawn districts; changes smaller than a block, and amendments coloured by hand on the 1944 copy, are not included. Today's land use is the City and County of Denver assessor parcel layer (property class, current zone district, dwelling units, year built), matched to the nearest parcel within 40 m of each site (median 10 m). Regulatory status is from EPA FRS, TRI, SEMS and RCRA and Colorado's VCUP and environmental-covenant registers, matched by location (40–75 m), address or name; "no match" means no record in those searched inventories, not an absence of contamination or of assessment.</w:t>
      </w:r>
    </w:p>
    <w:p>
      <w:pPr>
        <w:spacing w:after="160" w:line="360"/>
        <w:jc w:val="both"/>
      </w:pPr>
      <w:r>
        <w:rPr>
          <w:rFonts w:ascii="Times New Roman" w:cs="Times New Roman" w:eastAsia="Times New Roman" w:hAnsi="Times New Roman"/>
          <w:b/>
          <w:bCs/>
          <w:i w:val="false"/>
          <w:iCs w:val="false"/>
          <w:sz w:val="24"/>
          <w:szCs w:val="24"/>
        </w:rPr>
        <w:t xml:space="preserve">Designs.</w:t>
      </w:r>
      <w:r>
        <w:rPr>
          <w:rFonts w:ascii="Times New Roman" w:cs="Times New Roman" w:eastAsia="Times New Roman" w:hAnsi="Times New Roman"/>
          <w:b w:val="false"/>
          <w:bCs w:val="false"/>
          <w:i w:val="false"/>
          <w:iCs w:val="false"/>
          <w:sz w:val="24"/>
          <w:szCs w:val="24"/>
        </w:rPr>
        <w:t xml:space="preserve"> Section 3 regresses each district measure on the log distance from the district centroid to the nearest hazardous firm of the decade, weighted by population with HC1 errors, census by census and pooled with census effects, and repeats each model with the log distance to downtown as a control, because both industry and the poorest housing were central. Segregation is measured on each census's own districts and, because the number and size of districts change, also on a fixed 500 m grid onto which each census is area-weighted. Section 4 follows Aaronson, Hartley and Mazumder (2021): for each pair of adjacent HOLC grades, units within 400 m (districts) or 800 m (tracts) of both grades are compared across the boundary, with rail distance and 1929 industrial zoning as controls; and follows Xu (2022) in regressing the change in each tract outcome on the tract's dominant 1938 class (A reference; Industrial and Commercial ungraded zones included), with the starting value, 1940 nonwhite share and 1931–40 firms controlled; the A class has only four tracts and B six, so every class contrast rests on few reference tracts. Firm densities by grade are compared per directory edition and within each source, never across the change of source in 1957–65. Whether the D–C gap trended is tested within one unit type at a time (districts 1900–40; tracts 1940–70 and 1970–2020). Section 4 then tabulates, without models, sequences on fixed geographies: a 500 m grid over the area mapped in every census 1900–1940 (309 cells, each assigned its future 1938 class and its 1929 zoning) and the 142 study tracts observed in every census from 1960, with location quotients (a group's share in a set of places divided by its share in the whole area) and comparisons of places before and after a first hazardous firm arrived. Section 5 repeats the Section 3 design on tracts and estimates a hybrid within/between panel (Marlow, Frickel and Elliott 2020) for 1970–1990, the only censuses with active complete-edition firms, with tract-clustered errors and a between-tract spatial-error model; 2000–2020 are analysed as cross-sections around the 1983–92 sites, and a reverse model asks whether composition at one census predicts the change in a tract's number of hazardous establishments by the next. Section 6 tabulates current parcel use by series and by the decade of last listing. Standard errors are HC1 in the main tables; Section 4 reports the boundary and change estimates again with Conley (2 km) spatially robust errors, narrower and wider boundary bands, and a strict version of the zoning layer.</w:t>
      </w:r>
    </w:p>
    <w:p>
      <w:pPr>
        <w:pStyle w:val="Heading1"/>
        <w:spacing w:after="160" w:before="360"/>
      </w:pPr>
      <w:r>
        <w:rPr>
          <w:rFonts w:ascii="Times New Roman" w:cs="Times New Roman" w:eastAsia="Times New Roman" w:hAnsi="Times New Roman"/>
          <w:b/>
          <w:bCs/>
          <w:color w:val="000000"/>
          <w:sz w:val="26"/>
          <w:szCs w:val="26"/>
        </w:rPr>
        <w:t xml:space="preserve">3. Who lived next to industry, 1880–1940</w:t>
      </w:r>
    </w:p>
    <w:p>
      <w:pPr>
        <w:spacing w:after="160" w:line="360"/>
        <w:jc w:val="both"/>
      </w:pPr>
      <w:r>
        <w:rPr>
          <w:rFonts w:ascii="Times New Roman" w:cs="Times New Roman" w:eastAsia="Times New Roman" w:hAnsi="Times New Roman"/>
          <w:b w:val="false"/>
          <w:bCs w:val="false"/>
          <w:i w:val="false"/>
          <w:iCs w:val="false"/>
          <w:sz w:val="24"/>
          <w:szCs w:val="24"/>
        </w:rPr>
        <w:t xml:space="preserve">In every census from 1880 to 1940 the Denver districts with a smelter, foundry, tannery or other hazardous trade held more foreign-born and labouring residents, more boarders and lodgers and fewer owners than the rest of the city. The Black and Hispanic patterns are less uniform. Districts with a firm were more Black in 1880, 1900 and 1940 but not in 1910, 1920 or 1930, and more Hispanic from 1920. Some of what looks like proximity to industry is proximity to downtown, where both industry and the poorest housing stood. The cross-sections describe who lived where; they cannot by themselves say whether people followed industry or industry followed people.</w:t>
      </w:r>
    </w:p>
    <w:p>
      <w:pPr>
        <w:spacing w:after="160" w:line="360"/>
        <w:jc w:val="both"/>
      </w:pPr>
      <w:r>
        <w:rPr>
          <w:rFonts w:ascii="Times New Roman" w:cs="Times New Roman" w:eastAsia="Times New Roman" w:hAnsi="Times New Roman"/>
          <w:b/>
          <w:bCs/>
          <w:i w:val="false"/>
          <w:iCs w:val="false"/>
          <w:sz w:val="24"/>
          <w:szCs w:val="24"/>
        </w:rPr>
        <w:t xml:space="preserve">Units and sources.</w:t>
      </w:r>
      <w:r>
        <w:rPr>
          <w:rFonts w:ascii="Times New Roman" w:cs="Times New Roman" w:eastAsia="Times New Roman" w:hAnsi="Times New Roman"/>
          <w:b w:val="false"/>
          <w:bCs w:val="false"/>
          <w:i w:val="false"/>
          <w:iCs w:val="false"/>
          <w:sz w:val="24"/>
          <w:szCs w:val="24"/>
        </w:rPr>
        <w:t xml:space="preserve"> Each census 1880–1940 is reconstructed at the enumeration district (17 EDs in 1880, 128 in 1900, 158 in 1910, 309 in 1920, 228 in 1930, 325 in 1940). Hazardous trades are the street-level listings of the business directory in the Frickel &amp; Elliott hazardous sectors; a decade's firms are those listed in the ten years ending at the census (60, 21, 5, 103, 21 and 43 firms), and 12, 12, 4, 40, 17 and 27 districts contain one. The small number of firm districts in 1910 (4) and 1930 (17) makes those comparisons fragile.</w:t>
      </w:r>
    </w:p>
    <w:p>
      <w:pPr>
        <w:spacing w:after="160" w:line="360"/>
        <w:jc w:val="both"/>
      </w:pPr>
      <w:r>
        <w:rPr>
          <w:rFonts w:ascii="Times New Roman" w:cs="Times New Roman" w:eastAsia="Times New Roman" w:hAnsi="Times New Roman"/>
          <w:b/>
          <w:bCs/>
          <w:i w:val="false"/>
          <w:iCs w:val="false"/>
          <w:sz w:val="24"/>
          <w:szCs w:val="24"/>
        </w:rPr>
        <w:t xml:space="preserve">Composition of districts with and without a hazardous firm</w:t>
      </w:r>
      <w:r>
        <w:rPr>
          <w:rFonts w:ascii="Times New Roman" w:cs="Times New Roman" w:eastAsia="Times New Roman" w:hAnsi="Times New Roman"/>
          <w:b w:val="false"/>
          <w:bCs w:val="false"/>
          <w:i w:val="false"/>
          <w:iCs w:val="false"/>
          <w:sz w:val="24"/>
          <w:szCs w:val="24"/>
        </w:rPr>
        <w:t xml:space="preserve"> (population-weighted %).</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 Composition of Denver enumeration districts with and without a hazardous-trade firm, 1880–1940 (population-weighted %)</w:t>
      </w:r>
    </w:p>
    <w:tbl>
      <w:tblPr>
        <w:tblW w:type="dxa" w:w="13680"/>
        <w:tblBorders>
          <w:top w:val="single" w:sz="6"/>
          <w:left w:val="none"/>
          <w:bottom w:val="single" w:sz="6"/>
          <w:right w:val="none"/>
          <w:insideH w:val="single" w:color="BBBBBB" w:sz="2"/>
          <w:insideV w:val="none"/>
        </w:tblBorders>
      </w:tblPr>
      <w:tblGrid>
        <w:gridCol w:w="3010"/>
        <w:gridCol w:w="1185"/>
        <w:gridCol w:w="1185"/>
        <w:gridCol w:w="1185"/>
        <w:gridCol w:w="1185"/>
        <w:gridCol w:w="1185"/>
        <w:gridCol w:w="1185"/>
        <w:gridCol w:w="1185"/>
        <w:gridCol w:w="1185"/>
        <w:gridCol w:w="1190"/>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census</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group</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EDs</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population</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Black</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foreign born</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Hispanic</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laborers</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owner households</w:t>
            </w:r>
          </w:p>
        </w:tc>
        <w:tc>
          <w:tcPr>
            <w:tcW w:type="dxa" w:w="119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boarders and lodgers</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1880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24,993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28.9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1880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10,639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11,377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13.3</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122,101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30.5</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5,366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13.4</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207,130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36.0</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57,242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2.39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24.6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2.41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14.9</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200,075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2.39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42.0</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21,098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27.9</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263,725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46.8</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 hazardous firms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30,990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9.25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without</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285,395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4.07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41.9</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6.6</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Mean SEI (Duncan socioeconomic index of employed adults) was 29–31 in firm districts in every census with the measure, against 34–39 elsewhere; the median monthly rent in 1940 was $17 in firm districts and $52 elsewhere.</w:t>
      </w:r>
    </w:p>
    <w:p>
      <w:pPr>
        <w:spacing w:after="160" w:line="360"/>
        <w:jc w:val="both"/>
      </w:pPr>
      <w:r>
        <w:rPr>
          <w:rFonts w:ascii="Times New Roman" w:cs="Times New Roman" w:eastAsia="Times New Roman" w:hAnsi="Times New Roman"/>
          <w:b/>
          <w:bCs/>
          <w:i w:val="false"/>
          <w:iCs w:val="false"/>
          <w:sz w:val="24"/>
          <w:szCs w:val="24"/>
        </w:rPr>
        <w:t xml:space="preserve">Distance gradients.</w:t>
      </w:r>
      <w:r>
        <w:rPr>
          <w:rFonts w:ascii="Times New Roman" w:cs="Times New Roman" w:eastAsia="Times New Roman" w:hAnsi="Times New Roman"/>
          <w:b w:val="false"/>
          <w:bCs w:val="false"/>
          <w:i w:val="false"/>
          <w:iCs w:val="false"/>
          <w:sz w:val="24"/>
          <w:szCs w:val="24"/>
        </w:rPr>
        <w:t xml:space="preserve"> The table gives the change in each measure per log-metre of distance from the nearest hazardous firm, so a positive coefficient means the measure rises away from industry. The last column adds the log distance to downtown as a control.</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2. Distance gradients: change in each district measure per log metre of distance from the nearest hazardous firm, 1880–1940, with the pooled estimate controlling for distance to downtown</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outcome (percentage points per log m)</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1880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1900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1910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1920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1930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1940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pooled</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pooled, downtown controlled</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White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−2.25***</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+18.46***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+9.21***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+3.83***</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boarders and lodgers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−13.15***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−7.83***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 (workers)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−0.77***</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 p &lt; 0.05, ** p &lt; 0.01, *** p &lt; 0.001; HC1 errors. EDs per census as above. Measures the census did not ask are missing, not zero, so the pooled models for ownership, SEI and the industry of workers omit 1880 or 1900. Ownership shares are weighted by district population, not households.</w:t>
      </w:r>
    </w:p>
    <w:p>
      <w:pPr>
        <w:spacing w:after="160" w:line="360"/>
        <w:jc w:val="both"/>
      </w:pPr>
      <w:r>
        <w:rPr>
          <w:rFonts w:ascii="Times New Roman" w:cs="Times New Roman" w:eastAsia="Times New Roman" w:hAnsi="Times New Roman"/>
          <w:b w:val="false"/>
          <w:bCs w:val="false"/>
          <w:i w:val="false"/>
          <w:iCs w:val="false"/>
          <w:sz w:val="24"/>
          <w:szCs w:val="24"/>
        </w:rPr>
        <w:t xml:space="preserve">Three readings follow, each narrower than a simple story of industry and race.</w:t>
      </w:r>
    </w:p>
    <w:p>
      <w:pPr>
        <w:pStyle w:val="ListParagraph"/>
        <w:numPr>
          <w:ilvl w:val="0"/>
          <w:numId w:val="2"/>
        </w:numPr>
        <w:spacing w:after="120" w:line="340"/>
        <w:jc w:val="both"/>
      </w:pPr>
      <w:r>
        <w:rPr>
          <w:rFonts w:ascii="Times New Roman" w:cs="Times New Roman" w:eastAsia="Times New Roman" w:hAnsi="Times New Roman"/>
          <w:b w:val="false"/>
          <w:bCs w:val="false"/>
          <w:i/>
          <w:iCs/>
          <w:sz w:val="24"/>
          <w:szCs w:val="24"/>
        </w:rPr>
        <w:t xml:space="preserve">Class and nativity.</w:t>
      </w:r>
      <w:r>
        <w:rPr>
          <w:rFonts w:ascii="Times New Roman" w:cs="Times New Roman" w:eastAsia="Times New Roman" w:hAnsi="Times New Roman"/>
          <w:b w:val="false"/>
          <w:bCs w:val="false"/>
          <w:i w:val="false"/>
          <w:iCs w:val="false"/>
          <w:sz w:val="24"/>
          <w:szCs w:val="24"/>
        </w:rPr>
        <w:t xml:space="preserve"> The laborer, ownership, SEI and foreign-born gradients are present in nearly every census and survive the downtown control, although the ownership and lodging gradients shrink by half or more once centrality is held constant. This is the most secure pre-zoning pattern in the data: Denver's hazardous trades stood among the city's poorer, rented and immigrant housing well before 1925.</w:t>
      </w:r>
    </w:p>
    <w:p>
      <w:pPr>
        <w:pStyle w:val="ListParagraph"/>
        <w:numPr>
          <w:ilvl w:val="0"/>
          <w:numId w:val="2"/>
        </w:numPr>
        <w:spacing w:after="120" w:line="340"/>
        <w:jc w:val="both"/>
      </w:pPr>
      <w:r>
        <w:rPr>
          <w:rFonts w:ascii="Times New Roman" w:cs="Times New Roman" w:eastAsia="Times New Roman" w:hAnsi="Times New Roman"/>
          <w:b w:val="false"/>
          <w:bCs w:val="false"/>
          <w:i/>
          <w:iCs/>
          <w:sz w:val="24"/>
          <w:szCs w:val="24"/>
        </w:rPr>
        <w:t xml:space="preserve">Race and ethnicity.</w:t>
      </w:r>
      <w:r>
        <w:rPr>
          <w:rFonts w:ascii="Times New Roman" w:cs="Times New Roman" w:eastAsia="Times New Roman" w:hAnsi="Times New Roman"/>
          <w:b w:val="false"/>
          <w:bCs w:val="false"/>
          <w:i w:val="false"/>
          <w:iCs w:val="false"/>
          <w:sz w:val="24"/>
          <w:szCs w:val="24"/>
        </w:rPr>
        <w:t xml:space="preserve"> The Black gradient is negative in all six censuses and significant in five, and it strengthens with the downtown control (−1.48 pooled). Black Denverites were a small population, about 2.4–2.8% of the city in every census, so the gradient rests on few districts and the with/without comparison flips with them (Black shares were lower in firm districts in 1910 and 1930). The Hispanic gradient, by contrast, is a downtown gradient: it appears from 1920, steepens to −2.40 in 1940, and falls to −0.13 to −0.17 and loses significance once distance to downtown is controlled. Before 1940 Hispanic Denver was concentrated in the central districts, which were also the industrial ones; the analysis cannot distinguish proximity to the plants from proximity to the centre for this group.</w:t>
      </w:r>
    </w:p>
    <w:p>
      <w:pPr>
        <w:pStyle w:val="ListParagraph"/>
        <w:numPr>
          <w:ilvl w:val="0"/>
          <w:numId w:val="2"/>
        </w:numPr>
        <w:spacing w:after="120" w:line="340"/>
        <w:jc w:val="both"/>
      </w:pPr>
      <w:r>
        <w:rPr>
          <w:rFonts w:ascii="Times New Roman" w:cs="Times New Roman" w:eastAsia="Times New Roman" w:hAnsi="Times New Roman"/>
          <w:b w:val="false"/>
          <w:bCs w:val="false"/>
          <w:i/>
          <w:iCs/>
          <w:sz w:val="24"/>
          <w:szCs w:val="24"/>
        </w:rPr>
        <w:t xml:space="preserve">Workers.</w:t>
      </w:r>
      <w:r>
        <w:rPr>
          <w:rFonts w:ascii="Times New Roman" w:cs="Times New Roman" w:eastAsia="Times New Roman" w:hAnsi="Times New Roman"/>
          <w:b w:val="false"/>
          <w:bCs w:val="false"/>
          <w:i w:val="false"/>
          <w:iCs w:val="false"/>
          <w:sz w:val="24"/>
          <w:szCs w:val="24"/>
        </w:rPr>
        <w:t xml:space="preserve"> Without the downtown control the share of a district's workers employed in the hazardous industries does not vary with distance from the plants; with it, those workers lived closer to them (−0.77 per log m). The census gives industry of employment, not workplace, so this is consistent with, but does not prove, workers living near their plants once the pull of the centre is set aside. An earlier draft of this paper read the uncontrolled estimate as evidence against a workers'-housing account; the controlled estimate does not support that reading.</w:t>
      </w:r>
    </w:p>
    <w:p>
      <w:pPr>
        <w:spacing w:after="160" w:line="360"/>
        <w:jc w:val="both"/>
      </w:pPr>
      <w:r>
        <w:rPr>
          <w:rFonts w:ascii="Times New Roman" w:cs="Times New Roman" w:eastAsia="Times New Roman" w:hAnsi="Times New Roman"/>
          <w:b/>
          <w:bCs/>
          <w:i w:val="false"/>
          <w:iCs w:val="false"/>
          <w:sz w:val="24"/>
          <w:szCs w:val="24"/>
        </w:rPr>
        <w:t xml:space="preserve">Segregation.</w:t>
      </w:r>
      <w:r>
        <w:rPr>
          <w:rFonts w:ascii="Times New Roman" w:cs="Times New Roman" w:eastAsia="Times New Roman" w:hAnsi="Times New Roman"/>
          <w:b w:val="false"/>
          <w:bCs w:val="false"/>
          <w:i w:val="false"/>
          <w:iCs w:val="false"/>
          <w:sz w:val="24"/>
          <w:szCs w:val="24"/>
        </w:rPr>
        <w:t xml:space="preserve"> The Black–nonblack dissimilarity index across districts rose from 0.41 in 1880 to 0.82 in 1940, but the districts became smaller and more numerous over the period (17 to 325), and dissimilarity rises mechanically as units shrink. On a fixed 500 m grid the rise is smaller and still clear.</w:t>
      </w:r>
    </w:p>
    <w:p>
      <w:pPr>
        <w:spacing w:after="80" w:before="240"/>
      </w:pPr>
      <w:r>
        <w:rPr>
          <w:rFonts w:ascii="Times New Roman" w:cs="Times New Roman" w:eastAsia="Times New Roman" w:hAnsi="Times New Roman"/>
          <w:b/>
          <w:bCs/>
          <w:sz w:val="20"/>
          <w:szCs w:val="20"/>
        </w:rPr>
        <w:t xml:space="preserve">Table 3. Black–nonblack dissimilarity, 1880–1940, on each census's districts and on fixed 500 m grids</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census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EDs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dissimilarity on that census's EDs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fixed grid, 1880 city (53 cells)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fixed grid, 1900 city (309 cells)</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0.65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0.61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228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0.66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325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0.82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0.80</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Segregation of Black from other residents roughly doubled on the same land between 1880 and 1940, with the steepest rise in 1920–30, before the HOLC map and in the years of the city's first zoning and its covenant campaign.</w:t>
      </w:r>
    </w:p>
    <w:p>
      <w:pPr>
        <w:pStyle w:val="Heading1"/>
        <w:spacing w:after="160" w:before="360"/>
      </w:pPr>
      <w:r>
        <w:rPr>
          <w:rFonts w:ascii="Times New Roman" w:cs="Times New Roman" w:eastAsia="Times New Roman" w:hAnsi="Times New Roman"/>
          <w:b/>
          <w:bCs/>
          <w:color w:val="000000"/>
          <w:sz w:val="26"/>
          <w:szCs w:val="26"/>
        </w:rPr>
        <w:t xml:space="preserve">4. The pre-trend: before and after the map</w:t>
      </w:r>
    </w:p>
    <w:p>
      <w:pPr>
        <w:spacing w:after="160" w:line="360"/>
        <w:jc w:val="both"/>
      </w:pPr>
      <w:r>
        <w:rPr>
          <w:rFonts w:ascii="Times New Roman" w:cs="Times New Roman" w:eastAsia="Times New Roman" w:hAnsi="Times New Roman"/>
          <w:b w:val="false"/>
          <w:bCs w:val="false"/>
          <w:i w:val="false"/>
          <w:iCs w:val="false"/>
          <w:sz w:val="24"/>
          <w:szCs w:val="24"/>
        </w:rPr>
        <w:t xml:space="preserve">The 1938 HOLC map of Denver recorded an industrial geography that was already forty years old. The land graded D had held more hazardous trades per square kilometre than C land since the first decade of the century, and the 1925 ordinance had zoned it industrial sixteen times as often. A Black gap at the D–C boundaries opened in the 1920s and 1930s, before the map, but it is imprecisely estimated. After the map, hazardous manufacturing continued to concentrate in D and ungraded industrial land, and the D tracts gained Hispanic residents and lost value relative to A tracts. The analysis cannot isolate the contribution of the HOLC grading itself from zoning, FHA practice, rail and the post-war land market. The design follows Aaronson, Hartley and Mazumder (2021) and Faber (2020) in asking whether the map </w:t>
      </w:r>
      <w:r>
        <w:rPr>
          <w:rFonts w:ascii="Times New Roman" w:cs="Times New Roman" w:eastAsia="Times New Roman" w:hAnsi="Times New Roman"/>
          <w:b w:val="false"/>
          <w:bCs w:val="false"/>
          <w:i/>
          <w:iCs/>
          <w:sz w:val="24"/>
          <w:szCs w:val="24"/>
        </w:rPr>
        <w:t xml:space="preserve">created</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reinforced</w:t>
      </w:r>
      <w:r>
        <w:rPr>
          <w:rFonts w:ascii="Times New Roman" w:cs="Times New Roman" w:eastAsia="Times New Roman" w:hAnsi="Times New Roman"/>
          <w:b w:val="false"/>
          <w:bCs w:val="false"/>
          <w:i w:val="false"/>
          <w:iCs w:val="false"/>
          <w:sz w:val="24"/>
          <w:szCs w:val="24"/>
        </w:rPr>
        <w:t xml:space="preserve"> the pattern, and Fishback et al. (2024) in treating the appraisers as describing more than deciding.</w:t>
      </w:r>
    </w:p>
    <w:p>
      <w:pPr>
        <w:spacing w:after="160" w:line="360"/>
        <w:jc w:val="both"/>
      </w:pPr>
      <w:r>
        <w:rPr>
          <w:rFonts w:ascii="Times New Roman" w:cs="Times New Roman" w:eastAsia="Times New Roman" w:hAnsi="Times New Roman"/>
          <w:b/>
          <w:bCs/>
          <w:i w:val="false"/>
          <w:iCs w:val="false"/>
          <w:sz w:val="24"/>
          <w:szCs w:val="24"/>
        </w:rPr>
        <w:t xml:space="preserve">Industry by grade, before and after 1938.</w:t>
      </w:r>
      <w:r>
        <w:rPr>
          <w:rFonts w:ascii="Times New Roman" w:cs="Times New Roman" w:eastAsia="Times New Roman" w:hAnsi="Times New Roman"/>
          <w:b w:val="false"/>
          <w:bCs w:val="false"/>
          <w:i w:val="false"/>
          <w:iCs w:val="false"/>
          <w:sz w:val="24"/>
          <w:szCs w:val="24"/>
        </w:rPr>
        <w:t xml:space="preserve"> Of the 145 street-level hazardous trades listed before the map within the graded and ungraded HOLC areas, none stood in an A or B area; 11 stood in C (in 6 of 20 areas), 21 in D (in 7 of 16), and the remaining 113 in the zones the appraisers left ungraded as Industrial (20) or Commercial (93, mostly the downtown and Larimer Street fringe). The appraisers' remarks mention industry in 8 of the 16 D descriptions and 5 of the 20 C descriptions. Of the 682 hazardous-sector manufacturers of the complete 1965–1992 editions located in these areas, 48.7% were in D areas, which hold 26.0% of the land, and a further 22.6% in the ungraded Industrial areas (12.1% of the land).</w:t>
      </w:r>
    </w:p>
    <w:p>
      <w:pPr>
        <w:spacing w:after="160" w:line="360"/>
        <w:jc w:val="both"/>
      </w:pPr>
      <w:r>
        <w:rPr>
          <w:rFonts w:ascii="Times New Roman" w:cs="Times New Roman" w:eastAsia="Times New Roman" w:hAnsi="Times New Roman"/>
          <w:b/>
          <w:bCs/>
          <w:i w:val="false"/>
          <w:iCs w:val="false"/>
          <w:sz w:val="24"/>
          <w:szCs w:val="24"/>
        </w:rPr>
        <w:t xml:space="preserve">Hazardous firms per km² per directory edition, by grade.</w:t>
      </w:r>
      <w:r>
        <w:rPr>
          <w:rFonts w:ascii="Times New Roman" w:cs="Times New Roman" w:eastAsia="Times New Roman" w:hAnsi="Times New Roman"/>
          <w:b w:val="false"/>
          <w:bCs w:val="false"/>
          <w:i w:val="false"/>
          <w:iCs w:val="false"/>
          <w:sz w:val="24"/>
          <w:szCs w:val="24"/>
        </w:rPr>
        <w:t xml:space="preserve"> The two sources differ in what they list, so each period's density is per edition and the defensible comparison is within a row.</w:t>
      </w:r>
    </w:p>
    <w:p>
      <w:pPr>
        <w:spacing w:after="80" w:before="240"/>
      </w:pPr>
      <w:r>
        <w:rPr>
          <w:rFonts w:ascii="Times New Roman" w:cs="Times New Roman" w:eastAsia="Times New Roman" w:hAnsi="Times New Roman"/>
          <w:b/>
          <w:bCs/>
          <w:sz w:val="20"/>
          <w:szCs w:val="20"/>
        </w:rPr>
        <w:t xml:space="preserve">Table 4. Hazardous firms per km² per directory edition, by HOLC grade and source</w:t>
      </w:r>
    </w:p>
    <w:tbl>
      <w:tblPr>
        <w:tblW w:type="dxa" w:w="9360"/>
        <w:tblBorders>
          <w:top w:val="single" w:sz="6"/>
          <w:left w:val="none"/>
          <w:bottom w:val="single" w:sz="6"/>
          <w:right w:val="none"/>
          <w:insideH w:val="single" w:color="BBBBBB" w:sz="2"/>
          <w:insideV w:val="none"/>
        </w:tblBorders>
      </w:tblPr>
      <w:tblGrid>
        <w:gridCol w:w="2059"/>
        <w:gridCol w:w="1043"/>
        <w:gridCol w:w="1043"/>
        <w:gridCol w:w="1043"/>
        <w:gridCol w:w="1043"/>
        <w:gridCol w:w="1043"/>
        <w:gridCol w:w="1043"/>
        <w:gridCol w:w="1043"/>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period</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source</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editions</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A</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D/C</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1891–1905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business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1906–1920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business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1921–1937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business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0.039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0.066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1938–1956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business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0.287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1965–1980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manufacturers'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0.149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2.892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1981–1992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manufacturers' directory</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0.044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0.188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3.162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16.8</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Within the business directory the D/C ratio was 6.4 before 1920, 1.7 in 1921–37 and 2.1 after the map: there is no sign that hazardous trades moved toward D land faster after 1938 than before. Within the manufacturers' directory D held 14–17 times the C density per edition. The jump between the two sources is mostly a difference in what they list (one listing per firm per edition, small trades before 1957; every manufacturer in the hazardous sectors after 1965) and cannot be read as a post-map acceleration.</w:t>
      </w:r>
    </w:p>
    <w:p>
      <w:pPr>
        <w:spacing w:after="160" w:line="360"/>
        <w:jc w:val="both"/>
      </w:pPr>
      <w:r>
        <w:rPr>
          <w:rFonts w:ascii="Times New Roman" w:cs="Times New Roman" w:eastAsia="Times New Roman" w:hAnsi="Times New Roman"/>
          <w:b w:val="false"/>
          <w:bCs w:val="false"/>
          <w:i w:val="false"/>
          <w:iCs w:val="false"/>
          <w:sz w:val="24"/>
          <w:szCs w:val="24"/>
        </w:rPr>
        <w:t xml:space="preserve">Covenants were recorded in every grade (40 deeds in A areas, 26 in B, 144 in C and 216 in D; 440 of the 730 name Black residents, 27 also bar manufacturing). Within D, the 11 districts with a covenant held 1.1% Black residents in 1930 against 8.9% in the 51 without, consistent with covenants guarding white blocks within and beside the D areas.</w:t>
      </w:r>
    </w:p>
    <w:p>
      <w:pPr>
        <w:spacing w:after="160" w:line="360"/>
        <w:jc w:val="both"/>
      </w:pPr>
      <w:r>
        <w:rPr>
          <w:rFonts w:ascii="Times New Roman" w:cs="Times New Roman" w:eastAsia="Times New Roman" w:hAnsi="Times New Roman"/>
          <w:b/>
          <w:bCs/>
          <w:i w:val="false"/>
          <w:iCs w:val="false"/>
          <w:sz w:val="24"/>
          <w:szCs w:val="24"/>
        </w:rPr>
        <w:t xml:space="preserve">The 1925 zoning ordinance.</w:t>
      </w:r>
      <w:r>
        <w:rPr>
          <w:rFonts w:ascii="Times New Roman" w:cs="Times New Roman" w:eastAsia="Times New Roman" w:hAnsi="Times New Roman"/>
          <w:b w:val="false"/>
          <w:bCs w:val="false"/>
          <w:i w:val="false"/>
          <w:iCs w:val="false"/>
          <w:sz w:val="24"/>
          <w:szCs w:val="24"/>
        </w:rPr>
        <w:t xml:space="preserve"> Denver zoned thirteen years before the HOLC map. On the </w:t>
      </w:r>
      <w:r>
        <w:rPr>
          <w:rFonts w:ascii="Times New Roman" w:cs="Times New Roman" w:eastAsia="Times New Roman" w:hAnsi="Times New Roman"/>
          <w:b w:val="false"/>
          <w:bCs w:val="false"/>
          <w:i/>
          <w:iCs/>
          <w:sz w:val="24"/>
          <w:szCs w:val="24"/>
        </w:rPr>
        <w:t xml:space="preserve">Building Zone Map</w:t>
      </w:r>
      <w:r>
        <w:rPr>
          <w:rFonts w:ascii="Times New Roman" w:cs="Times New Roman" w:eastAsia="Times New Roman" w:hAnsi="Times New Roman"/>
          <w:b w:val="false"/>
          <w:bCs w:val="false"/>
          <w:i w:val="false"/>
          <w:iCs w:val="false"/>
          <w:sz w:val="24"/>
          <w:szCs w:val="24"/>
        </w:rPr>
        <w:t xml:space="preserve"> as revised to January 1929, 28.4 km² of the city was zoned Industrial A or B and 3.6 km² Commercial. Of the D land on the map sheet, 16.0% was zoned industrial in 1929; of the C land 1.6%, B 0.2% and A 0.7%. The 1925 ordinance is the first map of the same geography, drawn around the industrial corridor that Section 3 shows was in place by 1900–1920.</w:t>
      </w:r>
    </w:p>
    <w:p>
      <w:pPr>
        <w:spacing w:after="80" w:before="240"/>
      </w:pPr>
      <w:r>
        <w:rPr>
          <w:rFonts w:ascii="Times New Roman" w:cs="Times New Roman" w:eastAsia="Times New Roman" w:hAnsi="Times New Roman"/>
          <w:b/>
          <w:bCs/>
          <w:sz w:val="20"/>
          <w:szCs w:val="20"/>
        </w:rPr>
        <w:t xml:space="preserve">Table 5. The 1925 zoning ordinance (1929 map) by HOLC grade, land on the map sheet only</w:t>
      </w:r>
    </w:p>
    <w:tbl>
      <w:tblPr>
        <w:tblW w:type="dxa" w:w="9360"/>
        <w:tblBorders>
          <w:top w:val="single" w:sz="6"/>
          <w:left w:val="none"/>
          <w:bottom w:val="single" w:sz="6"/>
          <w:right w:val="none"/>
          <w:insideH w:val="single" w:color="BBBBBB" w:sz="2"/>
          <w:insideV w:val="none"/>
        </w:tblBorders>
      </w:tblPr>
      <w:tblGrid>
        <w:gridCol w:w="2808"/>
        <w:gridCol w:w="1310"/>
        <w:gridCol w:w="1310"/>
        <w:gridCol w:w="1310"/>
        <w:gridCol w:w="1310"/>
        <w:gridCol w:w="1312"/>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HOLC grade (1938)</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areas</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on the 1929 sheet</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km² on the sheet</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 zoned industrial, 1929</w:t>
            </w:r>
          </w:p>
        </w:tc>
        <w:tc>
          <w:tcPr>
            <w:tcW w:type="dxa" w:w="1312"/>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 zoned commercial, 1929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A</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5.7</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B</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13.4</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C</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36.9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D</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25.9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16.0</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4.8</w:t>
            </w:r>
          </w:p>
        </w:tc>
      </w:tr>
    </w:tbl>
    <w:p>
      <w:pPr>
        <w:spacing w:after="120"/>
      </w:pPr>
    </w:p>
    <w:p>
      <w:pPr>
        <w:spacing w:after="160" w:line="360"/>
        <w:jc w:val="both"/>
      </w:pPr>
      <w:r>
        <w:rPr>
          <w:rFonts w:ascii="Times New Roman" w:cs="Times New Roman" w:eastAsia="Times New Roman" w:hAnsi="Times New Roman"/>
          <w:b/>
          <w:bCs/>
          <w:i w:val="false"/>
          <w:iCs w:val="false"/>
          <w:sz w:val="24"/>
          <w:szCs w:val="24"/>
        </w:rPr>
        <w:t xml:space="preserve">1929 to 1944.</w:t>
      </w:r>
      <w:r>
        <w:rPr>
          <w:rFonts w:ascii="Times New Roman" w:cs="Times New Roman" w:eastAsia="Times New Roman" w:hAnsi="Times New Roman"/>
          <w:b w:val="false"/>
          <w:bCs w:val="false"/>
          <w:i w:val="false"/>
          <w:iCs w:val="false"/>
          <w:sz w:val="24"/>
          <w:szCs w:val="24"/>
        </w:rPr>
        <w:t xml:space="preserve"> The districts barely moved across the years of the HOLC survey. Between the January 1929 and April 1944 revisions no industrial district was added. About 0.47 km² of Industrial A (2% of it) was redrawn: as commercial districts near W 41st Avenue, as business blocks in River North (Brighton Boulevard and 36th Street) and by the rail yards near E 40th Avenue, and as apartment blocks (Residence D) in two small areas. On the land both sheets cover, the share of D land zoned industrial went from 16.2% to 15.9%, and of C land from 1.6% to 1.5%. The zoning the appraisers saw in 1938 was in substance the zoning of 1929, and it was not extended into the areas they graded D by 1944.</w:t>
      </w:r>
    </w:p>
    <w:p>
      <w:pPr>
        <w:spacing w:after="160" w:line="360"/>
        <w:jc w:val="both"/>
      </w:pPr>
      <w:r>
        <w:rPr>
          <w:rFonts w:ascii="Times New Roman" w:cs="Times New Roman" w:eastAsia="Times New Roman" w:hAnsi="Times New Roman"/>
          <w:b/>
          <w:bCs/>
          <w:i w:val="false"/>
          <w:iCs w:val="false"/>
          <w:sz w:val="24"/>
          <w:szCs w:val="24"/>
        </w:rPr>
        <w:t xml:space="preserve">Boundary design.</w:t>
      </w:r>
      <w:r>
        <w:rPr>
          <w:rFonts w:ascii="Times New Roman" w:cs="Times New Roman" w:eastAsia="Times New Roman" w:hAnsi="Times New Roman"/>
          <w:b w:val="false"/>
          <w:bCs w:val="false"/>
          <w:i w:val="false"/>
          <w:iCs w:val="false"/>
          <w:sz w:val="24"/>
          <w:szCs w:val="24"/>
        </w:rPr>
        <w:t xml:space="preserve"> For each pair of adjacent grades the units within 400 m (districts, 1900–1940) or 800 m (2010 tracts, 1940–2020) of the common boundary are compared, population-weighted, with HC1 errors; further specifications add each unit's distance to the nearest railway (TIGER rail lines), because the appraisers graded along the tracks, and its 1929 industrial-zoned share. Gaps are the lower minus the higher grade in percentage points.</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6. Gaps at adjacent HOLC grade boundaries, 1900–2020 (percentage points; units within 400 m of both grades for districts, 800 m for tracts)</w:t>
      </w:r>
    </w:p>
    <w:tbl>
      <w:tblPr>
        <w:tblW w:type="dxa" w:w="13680"/>
        <w:tblBorders>
          <w:top w:val="single" w:sz="6"/>
          <w:left w:val="none"/>
          <w:bottom w:val="single" w:sz="6"/>
          <w:right w:val="none"/>
          <w:insideH w:val="single" w:color="BBBBBB" w:sz="2"/>
          <w:insideV w:val="none"/>
        </w:tblBorders>
      </w:tblPr>
      <w:tblGrid>
        <w:gridCol w:w="3010"/>
        <w:gridCol w:w="711"/>
        <w:gridCol w:w="711"/>
        <w:gridCol w:w="711"/>
        <w:gridCol w:w="711"/>
        <w:gridCol w:w="711"/>
        <w:gridCol w:w="711"/>
        <w:gridCol w:w="711"/>
        <w:gridCol w:w="711"/>
        <w:gridCol w:w="711"/>
        <w:gridCol w:w="711"/>
        <w:gridCol w:w="711"/>
        <w:gridCol w:w="711"/>
        <w:gridCol w:w="711"/>
        <w:gridCol w:w="711"/>
        <w:gridCol w:w="716"/>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pair</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outcome</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1900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1910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1920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1930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1940 (districts)</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1940 (tracts)</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1950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1960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1970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1980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1990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2000</w:t>
            </w:r>
          </w:p>
        </w:tc>
        <w:tc>
          <w:tcPr>
            <w:tcW w:type="dxa" w:w="71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2010</w:t>
            </w:r>
          </w:p>
        </w:tc>
        <w:tc>
          <w:tcPr>
            <w:tcW w:type="dxa" w:w="7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2020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 rail-adjusted</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+23.7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 rail- and zoning-adjusted</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 Conley p</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0.89</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+12.0</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 rail- and zoning-adjusted</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D–C, Conley p</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0.005</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0.031</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C–B</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C–B, rail- and zoning-adjusted</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+4.3*</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+5.2*</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+4.9</w:t>
            </w:r>
          </w:p>
        </w:tc>
        <w:tc>
          <w:tcPr>
            <w:tcW w:type="dxa" w:w="71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w:t>
            </w:r>
          </w:p>
        </w:tc>
        <w:tc>
          <w:tcPr>
            <w:tcW w:type="dxa" w:w="7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 p &lt; 0.05, ** p &lt; 0.01 (HC1) unless a Conley row. District comparisons: 10 D and 12 C districts in 1900 rising to 35/35 in 1920, 25/24 in 1930 and 36/31 in 1940; tract comparisons: 13–15 tracts a side. The 1940 tract "Black" is nonwhite and the 1940 tract Hispanic share is filled from the 1940 districts. The zoning adjustment adds each unit's 1929 industrial-zoned share.</w:t>
      </w:r>
    </w:p>
    <w:p>
      <w:pPr>
        <w:spacing w:after="160" w:line="360"/>
        <w:jc w:val="both"/>
      </w:pPr>
      <w:r>
        <w:rPr>
          <w:rFonts w:ascii="Times New Roman" w:cs="Times New Roman" w:eastAsia="Times New Roman" w:hAnsi="Times New Roman"/>
          <w:b w:val="false"/>
          <w:bCs w:val="false"/>
          <w:i w:val="false"/>
          <w:iCs w:val="false"/>
          <w:sz w:val="24"/>
          <w:szCs w:val="24"/>
        </w:rPr>
        <w:t xml:space="preserve">Three features of the table carry the argument, each with its uncertainty.</w:t>
      </w:r>
    </w:p>
    <w:p>
      <w:pPr>
        <w:pStyle w:val="ListParagraph"/>
        <w:numPr>
          <w:ilvl w:val="0"/>
          <w:numId w:val="3"/>
        </w:numPr>
        <w:spacing w:after="120" w:line="340"/>
        <w:jc w:val="both"/>
      </w:pPr>
      <w:r>
        <w:rPr>
          <w:rFonts w:ascii="Times New Roman" w:cs="Times New Roman" w:eastAsia="Times New Roman" w:hAnsi="Times New Roman"/>
          <w:b/>
          <w:bCs/>
          <w:i w:val="false"/>
          <w:iCs w:val="false"/>
          <w:sz w:val="24"/>
          <w:szCs w:val="24"/>
        </w:rPr>
        <w:t xml:space="preserve">A D–C Black gap opened before the map, in two areas.</w:t>
      </w:r>
      <w:r>
        <w:rPr>
          <w:rFonts w:ascii="Times New Roman" w:cs="Times New Roman" w:eastAsia="Times New Roman" w:hAnsi="Times New Roman"/>
          <w:b w:val="false"/>
          <w:bCs w:val="false"/>
          <w:i w:val="false"/>
          <w:iCs w:val="false"/>
          <w:sz w:val="24"/>
          <w:szCs w:val="24"/>
        </w:rPr>
        <w:t xml:space="preserve"> It is −1.0 in 1900, +0.3 in 1910, +1.2 in 1920, +4.2 in 1930 and +5.9 in 1940 at the district level; adjusted for rail and zoning it is significant in 1920, 1930 and 1940. Within districts the gap rose by 1.5 points a decade over 1900–40 (p = 0.01). The gap is positive at every bandwidth from 1920 and grows with the band (1930: +1.4, +4.2 and +8.3 at 200, 400 and 800 m; 1940: +3.1, +5.9, +11.2). With Conley errors, however, no single census's gap is significant (p = 0.17–0.28). The appraisers drew the D–C line along a boundary that was becoming a racial one, but the evidence for that is the consistency of the sign and its growth across censuses, not the precision of any one estimate. The gap is also local: in 1940 two D areas northeast of downtown held 98% of the Black residents of all sixteen D areas, and one of them had no industrially zoned land (see the descriptive sequences below).</w:t>
      </w:r>
    </w:p>
    <w:p>
      <w:pPr>
        <w:pStyle w:val="ListParagraph"/>
        <w:numPr>
          <w:ilvl w:val="0"/>
          <w:numId w:val="3"/>
        </w:numPr>
        <w:spacing w:after="120" w:line="340"/>
        <w:jc w:val="both"/>
      </w:pPr>
      <w:r>
        <w:rPr>
          <w:rFonts w:ascii="Times New Roman" w:cs="Times New Roman" w:eastAsia="Times New Roman" w:hAnsi="Times New Roman"/>
          <w:b/>
          <w:bCs/>
          <w:i w:val="false"/>
          <w:iCs w:val="false"/>
          <w:sz w:val="24"/>
          <w:szCs w:val="24"/>
        </w:rPr>
        <w:t xml:space="preserve">On tracts the Black gap rose to 1960 and then closed.</w:t>
      </w:r>
      <w:r>
        <w:rPr>
          <w:rFonts w:ascii="Times New Roman" w:cs="Times New Roman" w:eastAsia="Times New Roman" w:hAnsi="Times New Roman"/>
          <w:b w:val="false"/>
          <w:bCs w:val="false"/>
          <w:i w:val="false"/>
          <w:iCs w:val="false"/>
          <w:sz w:val="24"/>
          <w:szCs w:val="24"/>
        </w:rPr>
        <w:t xml:space="preserve"> The D–C Black gap on tracts climbs from +6.7 (1940, nonwhite) to +17.6 (1960) and falls to zero by 2010–20. None of the tract gaps is significant with fifteen tracts a side, and within the tract series the 1940–70 rise is not significant (+3.4 points a decade, p = 0.08) while the 1970–2020 decline is (−2.3, p = 0.005). The Hispanic gap opens in 1940 and stays large through 2010; it is significant in 1940, 1960, 2000 and 2010 with Conley errors, rose within tracts over 1940–70 (+3.8 a decade, p = 0.02) and fell after 1970 (−2.1, p = 0.03). Rail and zoning controls halve the post-1960 Hispanic gaps.</w:t>
      </w:r>
    </w:p>
    <w:p>
      <w:pPr>
        <w:pStyle w:val="ListParagraph"/>
        <w:numPr>
          <w:ilvl w:val="0"/>
          <w:numId w:val="3"/>
        </w:numPr>
        <w:spacing w:after="120" w:line="340"/>
        <w:jc w:val="both"/>
      </w:pPr>
      <w:r>
        <w:rPr>
          <w:rFonts w:ascii="Times New Roman" w:cs="Times New Roman" w:eastAsia="Times New Roman" w:hAnsi="Times New Roman"/>
          <w:b/>
          <w:bCs/>
          <w:i w:val="false"/>
          <w:iCs w:val="false"/>
          <w:sz w:val="24"/>
          <w:szCs w:val="24"/>
        </w:rPr>
        <w:t xml:space="preserve">The C–B boundary acquired a Black gap only after 1960.</w:t>
      </w:r>
      <w:r>
        <w:rPr>
          <w:rFonts w:ascii="Times New Roman" w:cs="Times New Roman" w:eastAsia="Times New Roman" w:hAnsi="Times New Roman"/>
          <w:b w:val="false"/>
          <w:bCs w:val="false"/>
          <w:i w:val="false"/>
          <w:iCs w:val="false"/>
          <w:sz w:val="24"/>
          <w:szCs w:val="24"/>
        </w:rPr>
        <w:t xml:space="preserve"> Within ±0.6 points from 1900 to 1960, it is +3.7 to +4.4 points in 1980–2000 and significant with Conley errors in 1970–90. The map's middle boundary separated two kinds of white neighbourhood when it was drawn and became a racial boundary a generation later, as Denver's Black population grew into the B and C areas of northeast Denver.</w:t>
      </w:r>
    </w:p>
    <w:p>
      <w:pPr>
        <w:spacing w:after="160" w:line="360"/>
        <w:jc w:val="both"/>
      </w:pPr>
      <w:r>
        <w:rPr>
          <w:rFonts w:ascii="Times New Roman" w:cs="Times New Roman" w:eastAsia="Times New Roman" w:hAnsi="Times New Roman"/>
          <w:b/>
          <w:bCs/>
          <w:i w:val="false"/>
          <w:iCs w:val="false"/>
          <w:sz w:val="24"/>
          <w:szCs w:val="24"/>
        </w:rPr>
        <w:t xml:space="preserve">Change by grade (Xu-style).</w:t>
      </w:r>
      <w:r>
        <w:rPr>
          <w:rFonts w:ascii="Times New Roman" w:cs="Times New Roman" w:eastAsia="Times New Roman" w:hAnsi="Times New Roman"/>
          <w:b w:val="false"/>
          <w:bCs w:val="false"/>
          <w:i w:val="false"/>
          <w:iCs w:val="false"/>
          <w:sz w:val="24"/>
          <w:szCs w:val="24"/>
        </w:rPr>
        <w:t xml:space="preserve"> Following Xu's (2022) Chicago design, the 2010 tracts are assigned their dominant 1938 class — A, B, C, D, or the ungraded Industrial and Commercial zones — and the change in each outcome is regressed on class with A as the reference, controlling for the starting level, 1940 nonwhite share and the hazardous firms of 1931–40 (HC1 errors; 63–70 tracts).</w:t>
      </w:r>
    </w:p>
    <w:p>
      <w:pPr>
        <w:spacing w:after="80" w:before="240"/>
      </w:pPr>
      <w:r>
        <w:rPr>
          <w:rFonts w:ascii="Times New Roman" w:cs="Times New Roman" w:eastAsia="Times New Roman" w:hAnsi="Times New Roman"/>
          <w:b/>
          <w:bCs/>
          <w:sz w:val="20"/>
          <w:szCs w:val="20"/>
        </w:rPr>
        <w:t xml:space="preserve">Table 7. Change in tract outcomes by dominant 1938 class, relative to A tracts</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change relative to A tracts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period</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Industrial</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Commercial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1940–1980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1980–2010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 (1940 nonwhite)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below poverty (first measured 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log median home value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1940–1980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log median home value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−0.41*</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 p &lt; 0.05, ** p &lt; 0.01, *** p &lt; 0.001. The 1940 Hispanic level is filled from the 1940 districts for 65 tracts. With Conley errors the D estimates for Hispanic share (1940–2010, p &lt; 0.001), poverty (1970–2010, p = 0.017) and log value (1940–2010, p = 0.003) remain significant. Adding the 1929 industrial-zoned share leaves the D estimates close to these (Hispanic 1940–2010 +42.9; poverty +13.0; log value −0.67); the zoning share's own coefficient is imprecise because, with 63–70 tracts, zoning is concentrated in the D and Industrial classes and the two cannot be separated.</w:t>
      </w:r>
    </w:p>
    <w:p>
      <w:pPr>
        <w:spacing w:after="160" w:line="360"/>
        <w:jc w:val="both"/>
      </w:pPr>
      <w:r>
        <w:rPr>
          <w:rFonts w:ascii="Times New Roman" w:cs="Times New Roman" w:eastAsia="Times New Roman" w:hAnsi="Times New Roman"/>
          <w:b w:val="false"/>
          <w:bCs w:val="false"/>
          <w:i w:val="false"/>
          <w:iCs w:val="false"/>
          <w:sz w:val="24"/>
          <w:szCs w:val="24"/>
        </w:rPr>
        <w:t xml:space="preserve">The ordering A &lt; C &lt; D holds for the Hispanic share and poverty (larger increases) and for home value (larger relative declines), and the ungraded Industrial zones are at or beyond D on poverty and value. No class differs from A in the change of Black share or ownership, as in Xu's Chicago estimates: the D tracts that were 8% nonwhite in 1940 were not where Denver's Black population grew after 1950. The map and the ordinance marked the </w:t>
      </w:r>
      <w:r>
        <w:rPr>
          <w:rFonts w:ascii="Times New Roman" w:cs="Times New Roman" w:eastAsia="Times New Roman" w:hAnsi="Times New Roman"/>
          <w:b w:val="false"/>
          <w:bCs w:val="false"/>
          <w:i/>
          <w:iCs/>
          <w:sz w:val="24"/>
          <w:szCs w:val="24"/>
        </w:rPr>
        <w:t xml:space="preserve">location</w:t>
      </w:r>
      <w:r>
        <w:rPr>
          <w:rFonts w:ascii="Times New Roman" w:cs="Times New Roman" w:eastAsia="Times New Roman" w:hAnsi="Times New Roman"/>
          <w:b w:val="false"/>
          <w:bCs w:val="false"/>
          <w:i w:val="false"/>
          <w:iCs w:val="false"/>
          <w:sz w:val="24"/>
          <w:szCs w:val="24"/>
        </w:rPr>
        <w:t xml:space="preserve"> of industrial disadvantage; which group came to occupy it was decided afterwards, by processes these models do not identify. Mortgage outcomes today follow the same order only weakly (HMDA denial rates 2018–21: 6.0% in D tracts, 5.2% in C).</w:t>
      </w:r>
    </w:p>
    <w:p>
      <w:pPr>
        <w:spacing w:after="160" w:line="360"/>
        <w:jc w:val="both"/>
      </w:pPr>
      <w:r>
        <w:rPr>
          <w:rFonts w:ascii="Times New Roman" w:cs="Times New Roman" w:eastAsia="Times New Roman" w:hAnsi="Times New Roman"/>
          <w:b/>
          <w:bCs/>
          <w:i w:val="false"/>
          <w:iCs w:val="false"/>
          <w:sz w:val="24"/>
          <w:szCs w:val="24"/>
        </w:rPr>
        <w:t xml:space="preserve">What came first: descriptive sequences on fixed geography.</w:t>
      </w:r>
      <w:r>
        <w:rPr>
          <w:rFonts w:ascii="Times New Roman" w:cs="Times New Roman" w:eastAsia="Times New Roman" w:hAnsi="Times New Roman"/>
          <w:b w:val="false"/>
          <w:bCs w:val="false"/>
          <w:i w:val="false"/>
          <w:iCs w:val="false"/>
          <w:sz w:val="24"/>
          <w:szCs w:val="24"/>
        </w:rPr>
        <w:t xml:space="preserve"> The models above compare places at one time. The tables below follow the same places through time, without models, to ask three questions directly: did the disparities precede the zoning and the map, did hazardous industry arrive where disadvantaged residents already lived or the reverse, and did anything speed up when the instruments arrived. Before 1940 the places are 309 cells of a 500 m grid over the area mapped in every census from 1900, each assigned its future 1938 class (the class covering most of the cell) and its 1929 zoning (zoned industrial where at least a quarter of the cell is). The location quotient is a group's share of the population in those cells divided by its share of the population of the whole grid, so 1 means no concentration and changes in the city's composition do not move it.</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8. Location quotients by future 1938 class and 1929 zoning, 500 m grid over the 1900 city, 1900–1940</w:t>
      </w:r>
    </w:p>
    <w:tbl>
      <w:tblPr>
        <w:tblW w:type="dxa" w:w="13680"/>
        <w:tblBorders>
          <w:top w:val="single" w:sz="6"/>
          <w:left w:val="none"/>
          <w:bottom w:val="single" w:sz="6"/>
          <w:right w:val="none"/>
          <w:insideH w:val="single" w:color="BBBBBB" w:sz="2"/>
          <w:insideV w:val="none"/>
        </w:tblBorders>
      </w:tblPr>
      <w:tblGrid>
        <w:gridCol w:w="3010"/>
        <w:gridCol w:w="970"/>
        <w:gridCol w:w="970"/>
        <w:gridCol w:w="970"/>
        <w:gridCol w:w="970"/>
        <w:gridCol w:w="970"/>
        <w:gridCol w:w="970"/>
        <w:gridCol w:w="970"/>
        <w:gridCol w:w="970"/>
        <w:gridCol w:w="970"/>
        <w:gridCol w:w="970"/>
        <w:gridCol w:w="970"/>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future class or 1929 zoning</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cells</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Black LQ 1900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1910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1920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1930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1940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Hispanic LQ 1900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1910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1920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1930</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1940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future A</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future B</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future 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future D</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0.75</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future ungraded industrial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4.89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zoned industrial in 1929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4.69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not zoned industrial in 1929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237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0.65</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Each census's district counts are area-weighted onto the cells; the zoning rows use the cells on the 1929 map sheet. Labourers and owners follow the same order: in every census the future D and industrial cells had 0.9–2.2 times the city's share of labourers, and the future A and B cells 1.5–2.2 times its share of owner-occupiers.</w:t>
      </w:r>
    </w:p>
    <w:p>
      <w:pPr>
        <w:spacing w:after="160" w:line="360"/>
        <w:jc w:val="both"/>
      </w:pPr>
      <w:r>
        <w:rPr>
          <w:rFonts w:ascii="Times New Roman" w:cs="Times New Roman" w:eastAsia="Times New Roman" w:hAnsi="Times New Roman"/>
          <w:b w:val="false"/>
          <w:bCs w:val="false"/>
          <w:i w:val="false"/>
          <w:iCs w:val="false"/>
          <w:sz w:val="24"/>
          <w:szCs w:val="24"/>
        </w:rPr>
        <w:t xml:space="preserve">Two geographies are visible from 1900. The land the 1925 ordinance would zone industrial began with more than its share of Black residents (1.43 in 1900) and lost them steadily, to 0.27 by 1940, while its Mexican and Hispano share rose from about the city's share to three to five times it by 1920–30. The land the appraisers would grade D moved the other way for Black residents: from about the city's share in 1900 to three times it by 1930. Most of that rise happened between 1910 and 1930 and none of it after 1930, so it preceded the HOLC map entirely and was largely in place before the 1925 ordinance. Within the future D land the two geographies separate cleanly.</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9. Black and Hispanic shares in the future D, ungraded industrial and C land by 1929 zoning, 1920–1940 (500 m grid)</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1929 zoning within the future class</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cells</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Black 1920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1930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1940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Hispanic 1920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1930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1940</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population change 1920–40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future D, not zoned industrial</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6.39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10.51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10.18</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future D, zoned industrial</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14.70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future ungraded industrial, zoned industrial</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7.48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19.15</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future C, not zoned industrial</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Black Denver's concentration was in the residential, not the industrial, part of the future D land, and in two areas: in 1940 two D areas northeast of downtown, one 14% zoned industrial and one with no industrially zoned land, held 98% of the Black residents of the sixteen D areas. Both had passed twice the city's Black share by 1910 and 1920. Of the sixteen D areas, seven had a listed hazardous trade before 1938 — one from 1891, four first listed in 1911–14; because no directory edition survives for 1893–1909, those first listings are upper bounds on when the trades arrived. The Hispanic share rose in all four groups between 1930 and 1940, earliest and furthest in the industrially zoned land. Some of the 1930–40 rise, which is city-wide (1.0% to 4.1%), may reflect differences in how IPUMS infers Hispanic origin in the two censuses as well as the migration of Hispanos from southern Colorado and New Mexico in the 1930s, so the 1930 and 1940 levels should be compared with caution.</w:t>
      </w:r>
    </w:p>
    <w:p>
      <w:pPr>
        <w:spacing w:after="160" w:line="360"/>
        <w:jc w:val="both"/>
      </w:pPr>
      <w:r>
        <w:rPr>
          <w:rFonts w:ascii="Times New Roman" w:cs="Times New Roman" w:eastAsia="Times New Roman" w:hAnsi="Times New Roman"/>
          <w:b w:val="false"/>
          <w:bCs w:val="false"/>
          <w:i/>
          <w:iCs/>
          <w:sz w:val="24"/>
          <w:szCs w:val="24"/>
        </w:rPr>
        <w:t xml:space="preserve">Which came first in each place?</w:t>
      </w:r>
      <w:r>
        <w:rPr>
          <w:rFonts w:ascii="Times New Roman" w:cs="Times New Roman" w:eastAsia="Times New Roman" w:hAnsi="Times New Roman"/>
          <w:b w:val="false"/>
          <w:bCs w:val="false"/>
          <w:i w:val="false"/>
          <w:iCs w:val="false"/>
          <w:sz w:val="24"/>
          <w:szCs w:val="24"/>
        </w:rPr>
        <w:t xml:space="preserve"> For each decade, places with no hazardous firm ever listed are divided into those where a first firm was listed in the next decade and those where none was. Their composition at the start of the decade shows whether industry arrived where disadvantaged residents already lived; the change over the decade shows whether composition then changed differently.</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10. Places before and after a first hazardous firm: composition at the start of the decade and change over it</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places</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decade</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places (n)</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Black at start</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foreign born at start</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owner-occupied at start</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change in % Black</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change in % Hispanic</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change in % owner-occupied</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grid cells, first trade arrives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1910–1920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4.87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grid cells, no trade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1910–1920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grid cells, first trade arrives</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1930–1940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−9.39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grid cells, no trade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1930–1940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+3.46</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−8.14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tracts, first hazardous manufacturer listed 1973–80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1970–1990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6.36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+11.15</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tracts, none listed 1965–92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1970–1990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+6.98</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tracts, listed 1965–70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1970–1990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7.44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60.4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+8.30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−5.53</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Population-weighted shares. Grid cells: business-directory trades; too few first arrivals occurred in 1900–1910 (1, because no edition survives for 1893–1909) and 1920–1930 (3) to tabulate. Tracts: the 142 study tracts observed in every census from 1960, with first arrival judged within the manufacturers' directory only (no listing in the 1965–70 editions, first listing in 1973–80), so the comparison does not cross the change of source. The tracts first listed in 1983–92 (7) are omitted. Poverty in 1970: 10.5% in the arrival tracts, 15.3% in tracts that never had a hazardous manufacturer.</w:t>
      </w:r>
    </w:p>
    <w:p>
      <w:pPr>
        <w:spacing w:after="160" w:line="360"/>
        <w:jc w:val="both"/>
      </w:pPr>
      <w:r>
        <w:rPr>
          <w:rFonts w:ascii="Times New Roman" w:cs="Times New Roman" w:eastAsia="Times New Roman" w:hAnsi="Times New Roman"/>
          <w:b w:val="false"/>
          <w:bCs w:val="false"/>
          <w:i w:val="false"/>
          <w:iCs w:val="false"/>
          <w:sz w:val="24"/>
          <w:szCs w:val="24"/>
        </w:rPr>
        <w:t xml:space="preserve">The two periods point in different directions. Before 1940 the trades that opened did so in places that already had more Black residents and fewer owners than places that never got one, and composition then changed little differently. After 1965 hazardous manufacturers arrived in tracts that were less poor and more owner-occupied than tracts that never had one, and those tracts then gained Hispanic residents faster (+11.2 points against +7.0) and lost owners faster (−9.1 against −2.0). The post-1965 sequence is consistent with residents following industry, or with both following cheap land, but with 24 arrival tracts it is a description, not an estimate.</w:t>
      </w:r>
    </w:p>
    <w:p>
      <w:pPr>
        <w:spacing w:after="160" w:line="360"/>
        <w:jc w:val="both"/>
      </w:pPr>
      <w:r>
        <w:rPr>
          <w:rFonts w:ascii="Times New Roman" w:cs="Times New Roman" w:eastAsia="Times New Roman" w:hAnsi="Times New Roman"/>
          <w:b w:val="false"/>
          <w:bCs w:val="false"/>
          <w:i/>
          <w:iCs/>
          <w:sz w:val="24"/>
          <w:szCs w:val="24"/>
        </w:rPr>
        <w:t xml:space="preserve">Did anything speed up?</w:t>
      </w:r>
      <w:r>
        <w:rPr>
          <w:rFonts w:ascii="Times New Roman" w:cs="Times New Roman" w:eastAsia="Times New Roman" w:hAnsi="Times New Roman"/>
          <w:b w:val="false"/>
          <w:bCs w:val="false"/>
          <w:i w:val="false"/>
          <w:iCs w:val="false"/>
          <w:sz w:val="24"/>
          <w:szCs w:val="24"/>
        </w:rPr>
        <w:t xml:space="preserve"> On tracts, the location quotients by 1938 class show when concentration peaked.</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11. Location quotients by dominant 1938 class, fixed set of 142 study tracts, 1940–2020</w:t>
      </w:r>
    </w:p>
    <w:tbl>
      <w:tblPr>
        <w:tblW w:type="dxa" w:w="13680"/>
        <w:tblBorders>
          <w:top w:val="single" w:sz="6"/>
          <w:left w:val="none"/>
          <w:bottom w:val="single" w:sz="6"/>
          <w:right w:val="none"/>
          <w:insideH w:val="single" w:color="BBBBBB" w:sz="2"/>
          <w:insideV w:val="none"/>
        </w:tblBorders>
      </w:tblPr>
      <w:tblGrid>
        <w:gridCol w:w="3010"/>
        <w:gridCol w:w="1067"/>
        <w:gridCol w:w="1067"/>
        <w:gridCol w:w="1067"/>
        <w:gridCol w:w="1067"/>
        <w:gridCol w:w="1067"/>
        <w:gridCol w:w="1067"/>
        <w:gridCol w:w="1067"/>
        <w:gridCol w:w="1067"/>
        <w:gridCol w:w="1067"/>
        <w:gridCol w:w="1067"/>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dominant 1938 class (tracts)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measure</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1940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1950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1960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1970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1980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1990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2000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2010</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2020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 (18)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Black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4.04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 (18)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Hispanic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D (18)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poverty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ungraded industrial (4)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Hispanic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4.57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ungraded industrial (4)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poverty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B (6)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Black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C (36)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Black LQ</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0.94</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Tracts at least 40% inside the HOLC areas, within the fixed set of 142 study tracts; the 1940 Black share is nonwhite. Hispanic origin is first reported on tracts in 1960.</w:t>
      </w:r>
    </w:p>
    <w:p>
      <w:pPr>
        <w:spacing w:after="160" w:line="360"/>
        <w:jc w:val="both"/>
      </w:pPr>
      <w:r>
        <w:rPr>
          <w:rFonts w:ascii="Times New Roman" w:cs="Times New Roman" w:eastAsia="Times New Roman" w:hAnsi="Times New Roman"/>
          <w:b w:val="false"/>
          <w:bCs w:val="false"/>
          <w:i w:val="false"/>
          <w:iCs w:val="false"/>
          <w:sz w:val="24"/>
          <w:szCs w:val="24"/>
        </w:rPr>
        <w:t xml:space="preserve">Black concentration in the D tracts rose a little after the map, to a peak in 1960, and then fell as Denver's Black population moved east into B and C tracts of northeast Denver. Hispanic concentration in D and industrial tracts was at its highest in 1960, the first year it can be measured on tracts, and has fallen since; poverty in the industrial tracts remains twice the city's rate. None of the series turns at 1938, and the steepest change in any of them, the Black rise into the future D land, happened between 1910 and 1930.</w:t>
      </w:r>
    </w:p>
    <w:p>
      <w:pPr>
        <w:spacing w:after="160" w:line="360"/>
        <w:jc w:val="both"/>
      </w:pPr>
      <w:r>
        <w:rPr>
          <w:rFonts w:ascii="Times New Roman" w:cs="Times New Roman" w:eastAsia="Times New Roman" w:hAnsi="Times New Roman"/>
          <w:b/>
          <w:bCs/>
          <w:i w:val="false"/>
          <w:iCs w:val="false"/>
          <w:sz w:val="24"/>
          <w:szCs w:val="24"/>
        </w:rPr>
        <w:t xml:space="preserve">Interpretation.</w:t>
      </w:r>
      <w:r>
        <w:rPr>
          <w:rFonts w:ascii="Times New Roman" w:cs="Times New Roman" w:eastAsia="Times New Roman" w:hAnsi="Times New Roman"/>
          <w:b w:val="false"/>
          <w:bCs w:val="false"/>
          <w:i w:val="false"/>
          <w:iCs w:val="false"/>
          <w:sz w:val="24"/>
          <w:szCs w:val="24"/>
        </w:rPr>
        <w:t xml:space="preserve"> The evidence answers the three questions as follows, each within the limits of the data. </w:t>
      </w:r>
      <w:r>
        <w:rPr>
          <w:rFonts w:ascii="Times New Roman" w:cs="Times New Roman" w:eastAsia="Times New Roman" w:hAnsi="Times New Roman"/>
          <w:b w:val="false"/>
          <w:bCs w:val="false"/>
          <w:i/>
          <w:iCs/>
          <w:sz w:val="24"/>
          <w:szCs w:val="24"/>
        </w:rPr>
        <w:t xml:space="preserve">Did the zoning or the map create the disparities?</w:t>
      </w:r>
      <w:r>
        <w:rPr>
          <w:rFonts w:ascii="Times New Roman" w:cs="Times New Roman" w:eastAsia="Times New Roman" w:hAnsi="Times New Roman"/>
          <w:b w:val="false"/>
          <w:bCs w:val="false"/>
          <w:i w:val="false"/>
          <w:iCs w:val="false"/>
          <w:sz w:val="24"/>
          <w:szCs w:val="24"/>
        </w:rPr>
        <w:t xml:space="preserve"> No. The class and nativity gradient around hazardous industry is present from 1880; the trades that opened before 1940 opened where poorer, Black and immigrant households already lived; the Black concentration in the future D land had tripled before the map and was largely in place before the ordinance; and the industrially zoned land had been the city's most immigrant and labouring land since 1900. </w:t>
      </w:r>
      <w:r>
        <w:rPr>
          <w:rFonts w:ascii="Times New Roman" w:cs="Times New Roman" w:eastAsia="Times New Roman" w:hAnsi="Times New Roman"/>
          <w:b w:val="false"/>
          <w:bCs w:val="false"/>
          <w:i/>
          <w:iCs/>
          <w:sz w:val="24"/>
          <w:szCs w:val="24"/>
        </w:rPr>
        <w:t xml:space="preserve">What preceded the disparities?</w:t>
      </w:r>
      <w:r>
        <w:rPr>
          <w:rFonts w:ascii="Times New Roman" w:cs="Times New Roman" w:eastAsia="Times New Roman" w:hAnsi="Times New Roman"/>
          <w:b w:val="false"/>
          <w:bCs w:val="false"/>
          <w:i w:val="false"/>
          <w:iCs w:val="false"/>
          <w:sz w:val="24"/>
          <w:szCs w:val="24"/>
        </w:rPr>
        <w:t xml:space="preserve"> The industrial corridor along the Platte and the rail yards, and the housing market that put the city's poorest, newest and Black residents near the centre and the tracks. The two later diverged: Black residents concentrated in residential blocks northeast of downtown, Mexican and Hispano residents in the industrial blocks. </w:t>
      </w:r>
      <w:r>
        <w:rPr>
          <w:rFonts w:ascii="Times New Roman" w:cs="Times New Roman" w:eastAsia="Times New Roman" w:hAnsi="Times New Roman"/>
          <w:b w:val="false"/>
          <w:bCs w:val="false"/>
          <w:i/>
          <w:iCs/>
          <w:sz w:val="24"/>
          <w:szCs w:val="24"/>
        </w:rPr>
        <w:t xml:space="preserve">Did the instruments or later siting accelerate the disparities?</w:t>
      </w:r>
      <w:r>
        <w:rPr>
          <w:rFonts w:ascii="Times New Roman" w:cs="Times New Roman" w:eastAsia="Times New Roman" w:hAnsi="Times New Roman"/>
          <w:b w:val="false"/>
          <w:bCs w:val="false"/>
          <w:i w:val="false"/>
          <w:iCs w:val="false"/>
          <w:sz w:val="24"/>
          <w:szCs w:val="24"/>
        </w:rPr>
        <w:t xml:space="preserve"> The data show no acceleration at 1925 or 1938 that can be attributed to either instrument. Within the business directory hazardous siting after 1938 favoured D land within the range it had before (D/C 2.1, against 1.7–6.4), and within the manufacturers' directory the ratio moved only from 13.6 to 16.8; Black concentration in D rose most in 1910–30, before the map; the D–C gaps that are significant after 1940 are Hispanic ones, and both the Hispanic and Black concentrations in D and industrial tracts peaked around 1960 and then declined. What the instruments did was record the geography, in an ordinance that zoned for industry the land industry already occupied and an appraisal that marked the same land as hazardous to lend in. Whether that recording slowed the decline of the concentrations, prevented investment, or kept industry in place cannot be identified from these data: the zoning and the appraisers' Industrial designation overlap too closely, the boundary gaps are imprecise, and there is no comparison city without the instruments.</w:t>
      </w:r>
    </w:p>
    <w:p>
      <w:pPr>
        <w:pStyle w:val="Heading1"/>
        <w:spacing w:after="160" w:before="360"/>
      </w:pPr>
      <w:r>
        <w:rPr>
          <w:rFonts w:ascii="Times New Roman" w:cs="Times New Roman" w:eastAsia="Times New Roman" w:hAnsi="Times New Roman"/>
          <w:b/>
          <w:bCs/>
          <w:color w:val="000000"/>
          <w:sz w:val="26"/>
          <w:szCs w:val="26"/>
        </w:rPr>
        <w:t xml:space="preserve">5. After the full count, 1950–2020</w:t>
      </w:r>
    </w:p>
    <w:p>
      <w:pPr>
        <w:spacing w:after="160" w:line="360"/>
        <w:jc w:val="both"/>
      </w:pPr>
      <w:r>
        <w:rPr>
          <w:rFonts w:ascii="Times New Roman" w:cs="Times New Roman" w:eastAsia="Times New Roman" w:hAnsi="Times New Roman"/>
          <w:b w:val="false"/>
          <w:bCs w:val="false"/>
          <w:i w:val="false"/>
          <w:iCs w:val="false"/>
          <w:sz w:val="24"/>
          <w:szCs w:val="24"/>
        </w:rPr>
        <w:t xml:space="preserve">On census tracts — a coarser unit, with exposure measured from the directory sites — the group most concentrated beside hazardous industry is Hispanic. Between 1960 and 2010 the Hispanic share of a tract fell 6 to 11 points (5.7 in 2010) for every log-metre of distance from the nearest hazardous firm of the decade. That gradient holds on fixed tract sets and, at a smaller size, with distance to downtown controlled. The White share rose away from industry from 1980; the Black share shows no gradient in any census. Poverty fell away from industry in every census in which it is measured. The ownership gradient was strong in 1950–60 but is largely a downtown gradient. For 2000–2020 the firms are those of the last complete directory decade (1983–92), so those columns measure composition around historically listed sites, not active manufacturing.</w:t>
      </w:r>
    </w:p>
    <w:p>
      <w:pPr>
        <w:spacing w:after="160" w:line="360"/>
        <w:jc w:val="both"/>
      </w:pPr>
      <w:r>
        <w:rPr>
          <w:rFonts w:ascii="Times New Roman" w:cs="Times New Roman" w:eastAsia="Times New Roman" w:hAnsi="Times New Roman"/>
          <w:b/>
          <w:bCs/>
          <w:i w:val="false"/>
          <w:iCs w:val="false"/>
          <w:sz w:val="24"/>
          <w:szCs w:val="24"/>
        </w:rPr>
        <w:t xml:space="preserve">Units and sources.</w:t>
      </w:r>
      <w:r>
        <w:rPr>
          <w:rFonts w:ascii="Times New Roman" w:cs="Times New Roman" w:eastAsia="Times New Roman" w:hAnsi="Times New Roman"/>
          <w:b w:val="false"/>
          <w:bCs w:val="false"/>
          <w:i w:val="false"/>
          <w:iCs w:val="false"/>
          <w:sz w:val="24"/>
          <w:szCs w:val="24"/>
        </w:rPr>
        <w:t xml:space="preserve"> The 147 tracts (2010 boundaries) whose centroid lies within 10 km of downtown, with tracts under 200 residents dropped (97 tracts in 1950, 144 in 1960, 145–147 thereafter). Hazardous firms are the business-directory trades to 1956 and the hazardous-sector manufacturers of the complete directory editions from 1965 (2000–2020 use 1983–92). Population-weighted regressions of each tract measure on log distance to the nearest firm, HC1 errors, with and without the log distance to downtown.</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12. Tract-level distance gradients, 147 tracts within 10 km of downtown, 1950–2020, with and without a downtown control</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change per log m of distance from the nearest hazardous firm</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1950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1960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1970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1980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1990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2000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2010</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2020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 downtown controlled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White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White, downtown controlled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+4.2**</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below poverty</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below poverty, downtown controlled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owner-occupied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owner-occupied, downtown controlled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log median home value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 p &lt; 0.05, ** p &lt; 0.01, *** p &lt; 0.001. Tracts per census as above. On the fixed sets of tracts observed from 1950 (95), 1960 (142) and 1970 (144) every Hispanic coefficient from 1960 to 2000 is between −6.0 and −12.0 and significant, and the Black coefficient is never significant. Rent gradients are reported in the application; the 1980 rent coefficient changes sign (−0.36) against every other census, which we have not resolved and do not interpret.</w:t>
      </w:r>
    </w:p>
    <w:p>
      <w:pPr>
        <w:spacing w:after="160" w:line="360"/>
        <w:jc w:val="both"/>
      </w:pPr>
      <w:r>
        <w:rPr>
          <w:rFonts w:ascii="Times New Roman" w:cs="Times New Roman" w:eastAsia="Times New Roman" w:hAnsi="Times New Roman"/>
          <w:b/>
          <w:bCs/>
          <w:i w:val="false"/>
          <w:iCs w:val="false"/>
          <w:sz w:val="24"/>
          <w:szCs w:val="24"/>
        </w:rPr>
        <w:t xml:space="preserve">Share of the decade's hazardous firms in the tracts housing the top population quartile on each measure</w:t>
      </w:r>
      <w:r>
        <w:rPr>
          <w:rFonts w:ascii="Times New Roman" w:cs="Times New Roman" w:eastAsia="Times New Roman" w:hAnsi="Times New Roman"/>
          <w:b w:val="false"/>
          <w:bCs w:val="false"/>
          <w:i w:val="false"/>
          <w:iCs w:val="false"/>
          <w:sz w:val="24"/>
          <w:szCs w:val="24"/>
        </w:rPr>
        <w:t xml:space="preserve"> (25% of people; a value of 25 would mean no concentration).</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13. Share of each decade's hazardous firms in the tracts housing the top population quartile on each measure</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measure</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1950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1960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1970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1980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1990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2000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2010</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2020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68.6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below poverty</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61.7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58.3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57.6</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44.8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46.2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White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15.4</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6.2</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owner-occupied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10.8</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Firms located in the study tracts: 139 (1950), 46 (1960), 669 (1970), 907 (1980), 835 (1990), 861–873 (2000–2020, the 1983–92 sites). The 1950 and 1960 counts are business-directory trades and are not comparable in number with the later manufacturers.</w:t>
      </w:r>
    </w:p>
    <w:p>
      <w:pPr>
        <w:spacing w:after="160" w:line="360"/>
        <w:jc w:val="both"/>
      </w:pPr>
      <w:r>
        <w:rPr>
          <w:rFonts w:ascii="Times New Roman" w:cs="Times New Roman" w:eastAsia="Times New Roman" w:hAnsi="Times New Roman"/>
          <w:b w:val="false"/>
          <w:bCs w:val="false"/>
          <w:i w:val="false"/>
          <w:iCs w:val="false"/>
          <w:sz w:val="24"/>
          <w:szCs w:val="24"/>
        </w:rPr>
        <w:t xml:space="preserve">Three things stand out. First, Hispanic and poor residents were the most concentrated beside industry from 1960 on: the most Hispanic quarter of the population lived in tracts holding 51–69% of the firms in every census from 1960 to 1990. Second, the Black share of firm-adjacent tracts was highest in 1960–70 (48–50% of firms in the top-quartile-Black tracts) and lower afterwards, but the Black distance gradient is never significant, so the city-wide hand-over from Black to Hispanic neighbours that the D–C boundary suggests is a matter of the quartile shares, not of the gradients. Black–nonblack dissimilarity across these tracts fell from 0.78–0.85 in 1950–70 to 0.41 in 2020. Third, the ownership gradient is the one most changed by the downtown control: owners lived away from industry because they lived away from the centre.</w:t>
      </w:r>
    </w:p>
    <w:p>
      <w:pPr>
        <w:spacing w:after="160" w:line="360"/>
        <w:jc w:val="both"/>
      </w:pPr>
      <w:r>
        <w:rPr>
          <w:rFonts w:ascii="Times New Roman" w:cs="Times New Roman" w:eastAsia="Times New Roman" w:hAnsi="Times New Roman"/>
          <w:b/>
          <w:bCs/>
          <w:i w:val="false"/>
          <w:iCs w:val="false"/>
          <w:sz w:val="24"/>
          <w:szCs w:val="24"/>
        </w:rPr>
        <w:t xml:space="preserve">Within and between tracts.</w:t>
      </w:r>
      <w:r>
        <w:rPr>
          <w:rFonts w:ascii="Times New Roman" w:cs="Times New Roman" w:eastAsia="Times New Roman" w:hAnsi="Times New Roman"/>
          <w:b w:val="false"/>
          <w:bCs w:val="false"/>
          <w:i w:val="false"/>
          <w:iCs w:val="false"/>
          <w:sz w:val="24"/>
          <w:szCs w:val="24"/>
        </w:rPr>
        <w:t xml:space="preserve"> The panel uses the three censuses with active complete-edition firms, 1970, 1980 and 1990 (437 tract-years, 147 tracts). It separates a tract's own change in hazardous-firm density from its average density.</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14. Hazardous industry and tract composition: within and between tracts (1970–1990), legacy-site cross-sections (2000–2020) and the reverse model</w:t>
      </w:r>
    </w:p>
    <w:tbl>
      <w:tblPr>
        <w:tblW w:type="dxa" w:w="13680"/>
        <w:tblBorders>
          <w:top w:val="single" w:sz="6"/>
          <w:left w:val="none"/>
          <w:bottom w:val="single" w:sz="6"/>
          <w:right w:val="none"/>
          <w:insideH w:val="single" w:color="BBBBBB" w:sz="2"/>
          <w:insideV w:val="none"/>
        </w:tblBorders>
      </w:tblPr>
      <w:tblGrid>
        <w:gridCol w:w="3010"/>
        <w:gridCol w:w="1333"/>
        <w:gridCol w:w="1333"/>
        <w:gridCol w:w="1333"/>
        <w:gridCol w:w="1333"/>
        <w:gridCol w:w="1333"/>
        <w:gridCol w:w="1333"/>
        <w:gridCol w:w="1333"/>
        <w:gridCol w:w="1339"/>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outcome</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within tracts</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between tracts</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between, spatial-error</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legacy firms (gone before the census), between</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2000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2010</w:t>
            </w:r>
          </w:p>
        </w:tc>
        <w:tc>
          <w:tcPr>
            <w:tcW w:type="dxa" w:w="133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2020</w:t>
            </w:r>
          </w:p>
        </w:tc>
        <w:tc>
          <w:tcPr>
            <w:tcW w:type="dxa" w:w="1339"/>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reverse: composition → change in hazardous firms</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+17.65***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+12.30***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+8.21***</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White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−10.42**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−4.47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−7.68***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−6.50***</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−7.30***</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+4.05***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+3.15***</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−0.128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below poverty</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+5.82***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+5.92***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+3.17***</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owner-occupied</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−0.55</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−6.37</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−5.23**</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−6.99***</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log median home value</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−0.06</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−0.22***</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−0.18***</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w:t>
            </w:r>
          </w:p>
        </w:tc>
        <w:tc>
          <w:tcPr>
            <w:tcW w:type="dxa" w:w="133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339"/>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−1.60*</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 p &lt; 0.05, ** p &lt; 0.01, *** p &lt; 0.001. Within and between: hybrid panel, 1970–90, coefficients per log unit of hazardous firms per km², tract-clustered errors. Spatial-error between-tract model: λ = 0.58–0.94. 2000–2020: cross-sections on the log density of 1983–92 sites (145–147 tracts, HC1). Reverse: change in the tract's number of active hazardous establishments to the next census per percentage point (per log unit for value) of its composition, controlling for current firm density, population density, distance to downtown and census (290 tract-decades).</w:t>
      </w:r>
    </w:p>
    <w:p>
      <w:pPr>
        <w:spacing w:after="160" w:line="360"/>
        <w:jc w:val="both"/>
      </w:pPr>
      <w:r>
        <w:rPr>
          <w:rFonts w:ascii="Times New Roman" w:cs="Times New Roman" w:eastAsia="Times New Roman" w:hAnsi="Times New Roman"/>
          <w:b w:val="false"/>
          <w:bCs w:val="false"/>
          <w:i w:val="false"/>
          <w:iCs w:val="false"/>
          <w:sz w:val="24"/>
          <w:szCs w:val="24"/>
        </w:rPr>
        <w:t xml:space="preserve">Between tracts, places with more hazardous industry had higher Hispanic and poverty shares and lower White shares and home values. The Hispanic and poverty associations survive the spatial-error model; the White and value associations do not. Within tracts nothing is significant: a decade in which a tract gained or lost firms was not a decade in which its composition changed. The association is therefore a property of places, set before 1970 and persisting, rather than a response to new industry. In 2000–2020 the tracts around the 1983–92 sites were still more Hispanic, foreign-born and poor and less White, owned and valuable. The reverse model runs the other way as well: tracts with higher Hispanic and poverty shares, and lower home values, at one census gained more (or lost fewer) hazardous establishments by the next. Composition and industry are associated in both directions, and these models do not identify which came first.</w:t>
      </w:r>
    </w:p>
    <w:p>
      <w:pPr>
        <w:spacing w:after="160" w:line="360"/>
        <w:jc w:val="both"/>
      </w:pPr>
      <w:r>
        <w:rPr>
          <w:rFonts w:ascii="Times New Roman" w:cs="Times New Roman" w:eastAsia="Times New Roman" w:hAnsi="Times New Roman"/>
          <w:b/>
          <w:bCs/>
          <w:i w:val="false"/>
          <w:iCs w:val="false"/>
          <w:sz w:val="24"/>
          <w:szCs w:val="24"/>
        </w:rPr>
        <w:t xml:space="preserve">Land use and freeways, 1937–1997.</w:t>
      </w:r>
      <w:r>
        <w:rPr>
          <w:rFonts w:ascii="Times New Roman" w:cs="Times New Roman" w:eastAsia="Times New Roman" w:hAnsi="Times New Roman"/>
          <w:b w:val="false"/>
          <w:bCs w:val="false"/>
          <w:i w:val="false"/>
          <w:iCs w:val="false"/>
          <w:sz w:val="24"/>
          <w:szCs w:val="24"/>
        </w:rPr>
        <w:t xml:space="preserve"> The directories place firms and the zoning maps record what was allowed; the U.S. Geological Survey's historical land-use maps of the northern Front Range record what the land was used for, interpreted by hand from aerial photographs of 1937, 1957, 1977 and 1997 at 1 m with a minimum mapping unit of about a hectare (Drummond et al. 2019). Grouped into eight categories and summarised on 10 m cells, they show that industrial land use was concentrated in D areas before the HOLC map: 5.3% of D land was in industrial use in 1937, against at most 0.5% of A, B or C land, and 9.0% by 1977. (Ibsen et al. 2025, using the same maps, report about a quarter of D land as industrial in 1937; recomputed from the 1 m rasters on the Mapping Inequality D polygons, the area-weighted share is 5.4%, so the difference lies in how the grades are summarised.) Zoning ran ahead of use. In 1937 two-thirds of the city's industrial land lay in the 1929 industrial districts, but only 19% of those districts was in industrial use; the share reached 38% by 1977, so most of the zoned land filled in after the HOLC map rather than before it. The maps also offer an independent check on the inventory, since they were drawn without reference to the directories: within 30 m, 47% of the 1965–92 sites on a current regulatory inventory stood on land the interpreters marked industrial in 1977, against 21% of the sites on no inventory, consistent with the parcel evidence (Section 6) that many of the latter were small shops on mixed blocks.</w:t>
      </w:r>
    </w:p>
    <w:p>
      <w:pPr>
        <w:spacing w:after="160" w:line="360"/>
        <w:jc w:val="both"/>
      </w:pPr>
      <w:r>
        <w:rPr>
          <w:rFonts w:ascii="Times New Roman" w:cs="Times New Roman" w:eastAsia="Times New Roman" w:hAnsi="Times New Roman"/>
          <w:b w:val="false"/>
          <w:bCs w:val="false"/>
          <w:i w:val="false"/>
          <w:iCs w:val="false"/>
          <w:sz w:val="24"/>
          <w:szCs w:val="24"/>
        </w:rPr>
        <w:t xml:space="preserve">Freeways added a second, later industrial geography. Dated alignments from OpenHistoricalMap, checked against the NBER/FHWA interstate opening dates (Baum-Snow 2007; I-25 opened to interstate standard in Denver County in 1958–1965, I-70 in 1965–1968), put 133 km of freeway in the study area by 1970. Freeways built in 1950–1979 ran 0.74 km per km² through D land, against 0.17 in C, 0.04 in B and none in A, and 17% of D land lies within 250 m of one. A quarter of their length crossed the 1929 industrial districts, which were 12% of the mapped land, and two-thirds crossed residence and business districts. The 34 study tracts they cut through were already more Hispanic in 1960 (13% against 7.5% elsewhere) and lost more population afterwards (92% of their 1950 population in 1990, against 99%). To see what followed the openings rather than what preceded them, each of the 48 study tracts with a freeway opened within 250 m in 1950–1979 was lined up on its own opening year, and its population-weighted gap from tracts with no freeway within 1 km was traced from the last census before the opening; most of these openings fell in 1951–1968. Against inner tracts at a similar distance from downtown (within 5.8 km, 34 tracts), the freeway tracts' Hispanic share rose from about 1 point above theirs at the last census before opening to 17 points above two decades later and 25 points above four decades later; their white share went from 8 points above to 6 below; the owner-occupancy gap narrowed from 16 to 9 points; and poverty, first measured in 1970, went from 5 points below to 4 above. Population fell in both groups, and less in the freeway tracts (to 85% of the pre-opening count after four decades, against 70%). Against all tracts with no nearby freeway the direction is the same (Hispanic gap from 2 to 22 points, white from 5 to −8, poverty from 1 to 7). This is a comparison of trends, not a causal estimate: the routes were chosen through places already changing, and the owner-occupancy gap was already shrinking in the decades before opening. What it does show is that the neighbourhoods beside the new freeways became steadily more Hispanic and poorer than comparable inner neighbourhoods, while keeping more of their residents.</w:t>
      </w:r>
    </w:p>
    <w:p>
      <w:pPr>
        <w:spacing w:after="80" w:before="240"/>
      </w:pPr>
      <w:r>
        <w:rPr>
          <w:rFonts w:ascii="Times New Roman" w:cs="Times New Roman" w:eastAsia="Times New Roman" w:hAnsi="Times New Roman"/>
          <w:b/>
          <w:bCs/>
          <w:sz w:val="20"/>
          <w:szCs w:val="20"/>
        </w:rPr>
        <w:t xml:space="preserve">Table 15. Land use and freeways by 1938 HOLC grade, 1937–1979</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A</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B</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C</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D</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land use, 1937 (% of grade)</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land use, 1977 (% of grade)</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single-family residential, 1937 (% of grade)</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60.3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77.8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69.9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46.6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freeway built 1950–1979 (km per km²)</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land within 250 m of such a freeway (%)</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17.2</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Land use from the USGS historical land-use maps (Drummond et al. 2019), 10 m cells, mapped land only; freeways from OpenHistoricalMap. HOLC areas as in Section 4.</w:t>
      </w:r>
    </w:p>
    <w:p>
      <w:pPr>
        <w:pStyle w:val="Heading1"/>
        <w:spacing w:after="160" w:before="360"/>
      </w:pPr>
      <w:r>
        <w:rPr>
          <w:rFonts w:ascii="Times New Roman" w:cs="Times New Roman" w:eastAsia="Times New Roman" w:hAnsi="Times New Roman"/>
          <w:b/>
          <w:bCs/>
          <w:color w:val="000000"/>
          <w:sz w:val="26"/>
          <w:szCs w:val="26"/>
        </w:rPr>
        <w:t xml:space="preserve">6. What became of the sites</w:t>
      </w:r>
    </w:p>
    <w:p>
      <w:pPr>
        <w:spacing w:after="160" w:line="360"/>
        <w:jc w:val="both"/>
      </w:pPr>
      <w:r>
        <w:rPr>
          <w:rFonts w:ascii="Times New Roman" w:cs="Times New Roman" w:eastAsia="Times New Roman" w:hAnsi="Times New Roman"/>
          <w:b w:val="false"/>
          <w:bCs w:val="false"/>
          <w:i w:val="false"/>
          <w:iCs w:val="false"/>
          <w:sz w:val="24"/>
          <w:szCs w:val="24"/>
        </w:rPr>
        <w:t xml:space="preserve">Of the 976 hazardous-sector manufacturing sites listed in Denver between 1965 and 1992, 38% are still industrial parcels today, 25% are commercial, 17% residential and 13% vacant, and half are still zoned industrial. Of the 321 pre-1960 hazardous trades, 53% are now commercial, 19% residential and 11.5% industrial, and only 17% remain in an industrial zone. Only 17% of the later sites, but 41% of the earlier ones, carry a building newer than their last directory listing. 168 of the later sites are residential parcels holding 4,606 dwelling units; 67 of those 168 (40%) have no matching record in the cleanup datasets searched, which does not establish that they were never assessed or remediated.</w:t>
      </w:r>
    </w:p>
    <w:p>
      <w:pPr>
        <w:spacing w:after="160" w:line="360"/>
        <w:jc w:val="both"/>
      </w:pPr>
      <w:r>
        <w:rPr>
          <w:rFonts w:ascii="Times New Roman" w:cs="Times New Roman" w:eastAsia="Times New Roman" w:hAnsi="Times New Roman"/>
          <w:b/>
          <w:bCs/>
          <w:i w:val="false"/>
          <w:iCs w:val="false"/>
          <w:sz w:val="24"/>
          <w:szCs w:val="24"/>
        </w:rPr>
        <w:t xml:space="preserve">Method.</w:t>
      </w:r>
      <w:r>
        <w:rPr>
          <w:rFonts w:ascii="Times New Roman" w:cs="Times New Roman" w:eastAsia="Times New Roman" w:hAnsi="Times New Roman"/>
          <w:b w:val="false"/>
          <w:bCs w:val="false"/>
          <w:i w:val="false"/>
          <w:iCs w:val="false"/>
          <w:sz w:val="24"/>
          <w:szCs w:val="24"/>
        </w:rPr>
        <w:t xml:space="preserve"> Every geocoded site in the City and County of Denver (976 from the 1965–1992 manufacturers' directory in the Frickel &amp; Elliott hazardous sectors, and 321 street-level hazardous trades of the 1891–1956 business directories; one of each has no parcel within 40 m) is matched to the nearest assessor parcel within 40 m (median distance 10 m). A match identifies the parcel at the geocoded address today, not necessarily the historical lot: street-centreline geocodes, consolidated or subdivided parcels and multi-building sites all need checking against the Sanborn sheets before an individual site is cited. The parcel carries the assessor's property class, the current zone district, the dwelling-unit count and the year the present building was built. "Redeveloped" means the building post-dates the site's last directory year. This is the land-use-conversion question Frickel &amp; Elliott (2008) posed for a sample of Portland and Philadelphia sites, answered here for the whole Denver inventory.</w:t>
      </w:r>
    </w:p>
    <w:p>
      <w:pPr>
        <w:spacing w:after="80" w:before="240"/>
      </w:pPr>
      <w:r>
        <w:rPr>
          <w:rFonts w:ascii="Times New Roman" w:cs="Times New Roman" w:eastAsia="Times New Roman" w:hAnsi="Times New Roman"/>
          <w:b/>
          <w:bCs/>
          <w:sz w:val="20"/>
          <w:szCs w:val="20"/>
        </w:rPr>
        <w:t xml:space="preserve">Table 16. Current parcel use of former hazardous sites, City and County of Denver</w:t>
      </w:r>
    </w:p>
    <w:tbl>
      <w:tblPr>
        <w:tblW w:type="dxa" w:w="9360"/>
        <w:tblBorders>
          <w:top w:val="single" w:sz="6"/>
          <w:left w:val="none"/>
          <w:bottom w:val="single" w:sz="6"/>
          <w:right w:val="none"/>
          <w:insideH w:val="single" w:color="BBBBBB" w:sz="2"/>
          <w:insideV w:val="none"/>
        </w:tblBorders>
      </w:tblPr>
      <w:tblGrid>
        <w:gridCol w:w="2808"/>
        <w:gridCol w:w="3276"/>
        <w:gridCol w:w="3276"/>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current parcel use</w:t>
            </w:r>
          </w:p>
        </w:tc>
        <w:tc>
          <w:tcPr>
            <w:tcW w:type="dxa" w:w="327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manufacturers' directory sites 1965–1992 (n = 975 matched)</w:t>
            </w:r>
          </w:p>
        </w:tc>
        <w:tc>
          <w:tcPr>
            <w:tcW w:type="dxa" w:w="327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business-directory hazardous trades 1891–1956 (n = 320 matched)</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 utility</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38.3%</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Commercial / office</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25.3%</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53.3%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Residential</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17.2%</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Vacant</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13.2%</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Civic / school / health</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3.6%</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Park / open space</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1.8%</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Still zoned industrial (current zone district)</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51.2%</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Building newer than last listing</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16.7%</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40.9%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Median year built of present building</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1963</w:t>
            </w:r>
          </w:p>
        </w:tc>
        <w:tc>
          <w:tcPr>
            <w:tcW w:type="dxa" w:w="327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1953</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The fate of a site depends on when it was last listed. Of the sites that disappeared from the directory in the 1960s, 25% are residential today and 23% industrial; of those still listed in the 1990s, 14% are residential and 46% industrial. Earlier cohorts have had longer to convert, so the rows are not a conversion rate; they show what stands today on the sites of each cohort. A site's last directory listing is the last edition that recorded it, not a confirmed closure date, and a newer building is a redevelopment indicator, not proof the industrial use ended then.</w:t>
      </w:r>
    </w:p>
    <w:p>
      <w:pPr>
        <w:spacing w:after="80" w:before="240"/>
      </w:pPr>
      <w:r>
        <w:rPr>
          <w:rFonts w:ascii="Times New Roman" w:cs="Times New Roman" w:eastAsia="Times New Roman" w:hAnsi="Times New Roman"/>
          <w:b/>
          <w:bCs/>
          <w:sz w:val="20"/>
          <w:szCs w:val="20"/>
        </w:rPr>
        <w:t xml:space="preserve">Table 17. Current use of the 1965–1992 sites by decade of last listing</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decade of last listing</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sites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industrial / utility</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commercial / office</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residential</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vacant</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civic, school, park</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1960s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1970s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1980s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1990s (listed in 1990 or 1992; includes the one site with no parcel match)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446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46.0%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Two results matter for the argument of Sections 4 and 5. First, the industrial corridor of the 1960s–90s is largely still there: four in ten sites are industrial parcels and half are still in an industrial zone district, so the industrial land beside the Hispanic neighbourhoods of 1970–2000 has not been removed, only thinned at its edges. Second, the pre-1960 trades — the smelters, foundries, tanneries and rendering works of the Platte bottoms and the downtown fringe — have almost all turned over: half are commercial, one in five residential, and 41% have been rebuilt. These resemble the "relict" sites of Elliott &amp; Frickel (2013): their last listings fall decades before the regulatory inventories searched here began, which is consistent with, though does not by itself explain, their absence from those inventories.</w:t>
      </w:r>
    </w:p>
    <w:p>
      <w:pPr>
        <w:spacing w:after="160" w:line="360"/>
        <w:jc w:val="both"/>
      </w:pPr>
      <w:r>
        <w:rPr>
          <w:rFonts w:ascii="Times New Roman" w:cs="Times New Roman" w:eastAsia="Times New Roman" w:hAnsi="Times New Roman"/>
          <w:b/>
          <w:bCs/>
          <w:i w:val="false"/>
          <w:iCs w:val="false"/>
          <w:sz w:val="24"/>
          <w:szCs w:val="24"/>
        </w:rPr>
        <w:t xml:space="preserve">Residential sites are mostly not conversions.</w:t>
      </w:r>
      <w:r>
        <w:rPr>
          <w:rFonts w:ascii="Times New Roman" w:cs="Times New Roman" w:eastAsia="Times New Roman" w:hAnsi="Times New Roman"/>
          <w:b w:val="false"/>
          <w:bCs w:val="false"/>
          <w:i w:val="false"/>
          <w:iCs w:val="false"/>
          <w:sz w:val="24"/>
          <w:szCs w:val="24"/>
        </w:rPr>
        <w:t xml:space="preserve"> For 114 of the 168 residential sites of 1965–92 the present building was built in or before the site's last listing year (47 were built later; 7 have no date). Most of these are therefore small firms that operated in or beside houses and apartment buildings, or geocodes that fell on a neighbouring dwelling, rather than factories later replaced by housing. Of the 67 residential sites with no cleanup record, 51 are of this kind. Of the 62 pre-1960 trades now residential, 29 carry a building newer than the listing. The 82 later sites now in residential (67), civic (12) or park (3) use with no cleanup record, and the 62 pre-1960 trade sites now residential, are the cases for archival follow-up: the Sanborn sheets show what stood on the lot and what it stored, and the Polk reverse directories give the sequence of occupants. The 1890 Sanborn check in Section 2 is the first step of that work.</w:t>
      </w:r>
    </w:p>
    <w:p>
      <w:pPr>
        <w:spacing w:after="160" w:line="360"/>
        <w:jc w:val="both"/>
      </w:pPr>
      <w:r>
        <w:rPr>
          <w:rFonts w:ascii="Times New Roman" w:cs="Times New Roman" w:eastAsia="Times New Roman" w:hAnsi="Times New Roman"/>
          <w:b/>
          <w:bCs/>
          <w:i w:val="false"/>
          <w:iCs w:val="false"/>
          <w:sz w:val="24"/>
          <w:szCs w:val="24"/>
        </w:rPr>
        <w:t xml:space="preserve">Zoning in 2023.</w:t>
      </w:r>
      <w:r>
        <w:rPr>
          <w:rFonts w:ascii="Times New Roman" w:cs="Times New Roman" w:eastAsia="Times New Roman" w:hAnsi="Times New Roman"/>
          <w:b w:val="false"/>
          <w:bCs w:val="false"/>
          <w:i w:val="false"/>
          <w:iCs w:val="false"/>
          <w:sz w:val="24"/>
          <w:szCs w:val="24"/>
        </w:rPr>
        <w:t xml:space="preserve"> A Denver-metro zoning layer of 3 October 2023, compiled by Makarewicz (2023) for the National Zoning Atlas, places the local district codes of 51 jurisdictions in common categories and covers 99% of the study area. It refines the zoning count above in one respect: about a quarter of the Denver sites "still zoned industrial" lie in Denver's industrial mixed-use (I-MX) districts, which allow housing. Of the 959 Denver sites of 1965–92 that fall within the layer, 39% stand in industrial districts that exclude housing, 13.5% in I-MX and 34% in other mixed-use districts with housing. Of the 278 sites in the study tracts outside Denver County, which the city's parcel data do not cover, 58% stand in industrial districts. Seven in ten pre-1960 trade sites are now in mixed-use districts with housing. The land tells the same story: of the 24.6 km² zoned Industrial A in 1929, 51% is zoned industrial without housing in 2023, 12% industrial mixed use and 24% other mixed use with housing. Industrial zoning today sits beside the same population as in 1970. In the 22 study tracts with a fifth or more of their land zoned industrial, 49% of residents were Hispanic and 18% poor in 2020, against 25% and 11.5% in the 105 tracts with none.</w:t>
      </w:r>
    </w:p>
    <w:p>
      <w:pPr>
        <w:spacing w:after="80" w:before="240"/>
      </w:pPr>
      <w:r>
        <w:rPr>
          <w:rFonts w:ascii="Times New Roman" w:cs="Times New Roman" w:eastAsia="Times New Roman" w:hAnsi="Times New Roman"/>
          <w:b/>
          <w:bCs/>
          <w:sz w:val="20"/>
          <w:szCs w:val="20"/>
        </w:rPr>
        <w:t xml:space="preserve">Table 18. Zoning in 2023 of the 1929 industrial districts and of the former hazardous sites</w:t>
      </w:r>
    </w:p>
    <w:tbl>
      <w:tblPr>
        <w:tblW w:type="dxa" w:w="9360"/>
        <w:tblBorders>
          <w:top w:val="single" w:sz="6"/>
          <w:left w:val="none"/>
          <w:bottom w:val="single" w:sz="6"/>
          <w:right w:val="none"/>
          <w:insideH w:val="single" w:color="BBBBBB" w:sz="2"/>
          <w:insideV w:val="none"/>
        </w:tblBorders>
      </w:tblPr>
      <w:tblGrid>
        <w:gridCol w:w="2808"/>
        <w:gridCol w:w="1310"/>
        <w:gridCol w:w="1310"/>
        <w:gridCol w:w="1310"/>
        <w:gridCol w:w="1310"/>
        <w:gridCol w:w="1312"/>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2023 zoning</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1929 Industrial A land (24.6 km²)</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1929 Industrial B land (3.8 km²)</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1965–92 sites, Denver County (n = 959)</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1965–92 sites, suburban study tracts (n = 278)</w:t>
            </w:r>
          </w:p>
        </w:tc>
        <w:tc>
          <w:tcPr>
            <w:tcW w:type="dxa" w:w="1312"/>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pre-1960 trades, Denver County (n = 316)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housing not allowed</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50.7%</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59.9%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38.9%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57.9%</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mixed use, housing allowed (Denver I-MX)</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11.8%</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13.5%</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1.8%</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Other mixed use with housing</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23.8%</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16.5%</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33.6%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16.2%</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69.6%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Residential</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11.8%</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18.3%</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Commercial</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5.0%</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Open space, civic, other</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0.7%</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3.2%</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Shares of each 1929 district's land and of each set of sites by their zoning on 3 October 2023. Sites are street-located hazardous-sector sites; the suburban column covers the study tracts outside the City and County of Denver.</w:t>
      </w:r>
    </w:p>
    <w:p>
      <w:pPr>
        <w:spacing w:after="160" w:line="360"/>
        <w:jc w:val="both"/>
      </w:pPr>
      <w:r>
        <w:rPr>
          <w:rFonts w:ascii="Times New Roman" w:cs="Times New Roman" w:eastAsia="Times New Roman" w:hAnsi="Times New Roman"/>
          <w:b/>
          <w:bCs/>
          <w:i w:val="false"/>
          <w:iCs w:val="false"/>
          <w:sz w:val="24"/>
          <w:szCs w:val="24"/>
        </w:rPr>
        <w:t xml:space="preserve">Zoning, 1929 to today.</w:t>
      </w:r>
      <w:r>
        <w:rPr>
          <w:rFonts w:ascii="Times New Roman" w:cs="Times New Roman" w:eastAsia="Times New Roman" w:hAnsi="Times New Roman"/>
          <w:b w:val="false"/>
          <w:bCs w:val="false"/>
          <w:i w:val="false"/>
          <w:iCs w:val="false"/>
          <w:sz w:val="24"/>
          <w:szCs w:val="24"/>
        </w:rPr>
        <w:t xml:space="preserve"> Four zoning maps of Denver exist in digital form: the 1925 ordinance as amended to 1929 and to 1944, the 2023 National Zoning Atlas layer, and the city's official zoning map today, which records for every district the year of the ordinance that last zoned it. The 1956 ordinance's map has not been digitised, so the series has a gap between 1944 and 2023. On the 202 km² that both historical sheets cover within the City and County of Denver, the share of land zoned industrial was 14.0% in 1929, 13.8% in 1944, 10.6% in 2023 and 10.4% today, with another 2.5% now in industrial mixed-use districts that allow housing. Industrial zoning has always been a D-grade matter: 16.3% of D land was zoned industrial in 1929, 16.1% in 1944 and 12.2% today (17.5% including I-MX), against at most 1.7% of A, B or C land then and none now.</w:t>
      </w:r>
    </w:p>
    <w:p>
      <w:pPr>
        <w:spacing w:after="160" w:line="360"/>
        <w:jc w:val="both"/>
      </w:pPr>
      <w:r>
        <w:rPr>
          <w:rFonts w:ascii="Times New Roman" w:cs="Times New Roman" w:eastAsia="Times New Roman" w:hAnsi="Times New Roman"/>
          <w:b w:val="false"/>
          <w:bCs w:val="false"/>
          <w:i w:val="false"/>
          <w:iCs w:val="false"/>
          <w:sz w:val="24"/>
          <w:szCs w:val="24"/>
        </w:rPr>
        <w:t xml:space="preserve">The contraction came late. Of the 28.3 km² zoned industrial in 1929, 51% is still zoned industrial, 11% is industrial mixed use, 18% commercial or mixed use, 10% residential and 10% open space, civic land or planned unit developments. For the 13.8 km² no longer zoned industrial, the ordinance that last zoned the land passed before 2000 for under 3% of it, in 2000–09 for 12.5%, in the 2010 citywide remapping for 53%, and after 2010 for 32%. Because the city layer keeps only the latest ordinance, earlier rezonings are hidden, and land recoded in 2010 may have left industrial zoning at any time after 1944; the date is therefore an upper bound. The sites follow the land. Of the 910 hazardous-sector sites of 1965–92 on the land both sheets cover, 44% stood in an industrial district in 1929 and 35% do today, while 61% now stand where housing is allowed; of the 319 pre-1960 trades, 26% and 7%, with housing allowed on 88%.</w:t>
      </w:r>
    </w:p>
    <w:p>
      <w:pPr>
        <w:spacing w:after="80" w:before="240"/>
      </w:pPr>
      <w:r>
        <w:rPr>
          <w:rFonts w:ascii="Times New Roman" w:cs="Times New Roman" w:eastAsia="Times New Roman" w:hAnsi="Times New Roman"/>
          <w:b/>
          <w:bCs/>
          <w:sz w:val="20"/>
          <w:szCs w:val="20"/>
        </w:rPr>
        <w:t xml:space="preserve">Table 19. Land and sites zoned industrial, 1929–today</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zoned industrial (housing not allowed)</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1929</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1944</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2023</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today</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land mapped in 1929 and 1944 (202 km²)</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HOLC D land (25.3 km²)</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HOLC A, B and C land (54.0 km²)</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0.2–1.6%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hazardous-sector sites 1965–92 (n = 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44.2%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43.2%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35.5%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35.3%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hazardous trades before 1960 (n = 319)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26.3%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25.7%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7.2%</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Share of each unit within the part of the City and County of Denver covered by both the 1929 and 1944 map sheets. Today = the city's zoning map; 2023 = the National Zoning Atlas layer.</w:t>
      </w:r>
    </w:p>
    <w:p>
      <w:pPr>
        <w:spacing w:after="160" w:line="360"/>
        <w:jc w:val="both"/>
      </w:pPr>
      <w:r>
        <w:rPr>
          <w:rFonts w:ascii="Times New Roman" w:cs="Times New Roman" w:eastAsia="Times New Roman" w:hAnsi="Times New Roman"/>
          <w:b w:val="false"/>
          <w:bCs w:val="false"/>
          <w:i w:val="false"/>
          <w:iCs w:val="false"/>
          <w:sz w:val="24"/>
          <w:szCs w:val="24"/>
        </w:rPr>
        <w:t xml:space="preserve">Where industrial zoning was removed, the population changed. Among the 105 study tracts lying at least half on both sheets, the ten with a fifth or more of their land zoned industrial in 1929 and today were 41% Hispanic in 1970, 49% in 1990 and 44% in 2020. The seven whose industrial zoning has since been removed were 39%, 45% and 25% Hispanic; their Black share fell from 26% to 7% and their poverty rate from 33% to 14% between 1990 and 2020, and their owner-occupied share from 47% to 33%. Industrial zoning that remains still sits beside the Hispanic neighbourhoods of the 1970s; where it has been lifted, those neighbourhoods have largely been replaced. These are descriptions of places, not estimates of what rezoning caused.</w:t>
      </w:r>
    </w:p>
    <w:p>
      <w:pPr>
        <w:spacing w:after="80" w:before="240"/>
      </w:pPr>
      <w:r>
        <w:rPr>
          <w:rFonts w:ascii="Times New Roman" w:cs="Times New Roman" w:eastAsia="Times New Roman" w:hAnsi="Times New Roman"/>
          <w:b/>
          <w:bCs/>
          <w:sz w:val="20"/>
          <w:szCs w:val="20"/>
        </w:rPr>
        <w:t xml:space="preserve">Table 20. Tracts zoned industrial in 1929 and today: composition 1970–2020</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tracts (2010)</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n</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census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Hispanic</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Black</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in poverty</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 owner-occupied</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industrial in 1929 and today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45.7</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47.0</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industrial in 1929, not today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44.5</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45.0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46.7</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neither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52.6</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49.2</w:t>
            </w:r>
          </w:p>
        </w:tc>
      </w:tr>
      <w:tr>
        <w:trPr>
          <w:tblHeader w:val="false"/>
        </w:trPr>
        <w:tc>
          <w:tcPr>
            <w:tcW w:type="dxa" w:w="2059"/>
            <w:tcMar>
              <w:top w:type="dxa" w:w="40"/>
              <w:left w:type="dxa" w:w="60"/>
              <w:bottom w:type="dxa" w:w="40"/>
              <w:right w:type="dxa" w:w="60"/>
            </w:tcMar>
          </w:tcPr>
          <w:p>
            <w:pPr>
              <w:jc w:val="left"/>
            </w:pPr>
          </w:p>
        </w:tc>
        <w:tc>
          <w:tcPr>
            <w:tcW w:type="dxa" w:w="1216"/>
            <w:tcMar>
              <w:top w:type="dxa" w:w="40"/>
              <w:left w:type="dxa" w:w="60"/>
              <w:bottom w:type="dxa" w:w="40"/>
              <w:right w:type="dxa" w:w="60"/>
            </w:tcMar>
          </w:tcPr>
          <w:p>
            <w:pPr>
              <w:jc w:val="right"/>
            </w:pP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51.6</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2010 tracts within 10 km of downtown, at least half within both historical map sheets and Denver County, with 200+ residents; industrial = 20% or more of the tract's land in industrial districts. One tract became industrial after 1929 and is not shown. Population-weighted means.</w:t>
      </w:r>
    </w:p>
    <w:p>
      <w:pPr>
        <w:pStyle w:val="Heading1"/>
        <w:spacing w:after="160" w:before="360"/>
      </w:pPr>
      <w:r>
        <w:rPr>
          <w:rFonts w:ascii="Times New Roman" w:cs="Times New Roman" w:eastAsia="Times New Roman" w:hAnsi="Times New Roman"/>
          <w:b/>
          <w:bCs/>
          <w:color w:val="000000"/>
          <w:sz w:val="26"/>
          <w:szCs w:val="26"/>
        </w:rPr>
        <w:t xml:space="preserve">7. Historical hazardous sites and mortality</w:t>
      </w:r>
    </w:p>
    <w:p>
      <w:pPr>
        <w:spacing w:after="160" w:line="360"/>
        <w:jc w:val="both"/>
      </w:pPr>
      <w:r>
        <w:rPr>
          <w:rFonts w:ascii="Times New Roman" w:cs="Times New Roman" w:eastAsia="Times New Roman" w:hAnsi="Times New Roman"/>
          <w:b w:val="false"/>
          <w:bCs w:val="false"/>
          <w:i w:val="false"/>
          <w:iCs w:val="false"/>
          <w:sz w:val="24"/>
          <w:szCs w:val="24"/>
        </w:rPr>
        <w:t xml:space="preserve">The last question is whether the historical sites matter for health now. Natural-cause and all-cause deaths in 2015–2019 from Colorado death records were assigned to the 2010 census block of residence (95% of deaths matched a 2010 block) and modelled for every Colorado block with at least 100 person-years (59,293 blocks in 1,241 tracts; 132,051 natural-cause deaths) and separately for the Denver study area (10,395 blocks in 184 tracts; 24,399 natural-cause deaths). Negative binomial models with county fixed effects, an offset for person-years and standard errors clustered by tract control for the block's age structure (the share aged 65 and over and its square, and the share under 5, from the 2010 census), population density and mean PM2.5 in 2015–2019; for the tract's poverty, Hispanic, Black and owner-occupied shares in 2020; and for the EnviroScreen low-income, education, linguistic-isolation and hazardous-waste and Superfund proximity indicators. Exposure is a Gaussian kernel density (500 m bandwidth, 2 km cutoff) around each block, standardised, for five sets of points: the 1965–92 hazardous-sector sites that appear in a current regulatory inventory ("known"), those that appear in none ("hidden"), the street-level pre-1960 hazardous trades, current TRI and cleanup sites, and, as a placebo, manufacturers outside the hazardous sectors. The death records are restricted and remain with the author; only model estimates are reported.</w:t>
      </w:r>
    </w:p>
    <w:p>
      <w:pPr>
        <w:spacing w:after="80" w:before="240"/>
      </w:pPr>
      <w:r>
        <w:rPr>
          <w:rFonts w:ascii="Times New Roman" w:cs="Times New Roman" w:eastAsia="Times New Roman" w:hAnsi="Times New Roman"/>
          <w:b/>
          <w:bCs/>
          <w:sz w:val="20"/>
          <w:szCs w:val="20"/>
        </w:rPr>
        <w:t xml:space="preserve">Table 21. Historical hazardous sites and mortality, 2015–2019: rate ratios per SD of exposure</w:t>
      </w:r>
    </w:p>
    <w:tbl>
      <w:tblPr>
        <w:tblW w:type="dxa" w:w="9360"/>
        <w:tblBorders>
          <w:top w:val="single" w:sz="6"/>
          <w:left w:val="none"/>
          <w:bottom w:val="single" w:sz="6"/>
          <w:right w:val="none"/>
          <w:insideH w:val="single" w:color="BBBBBB" w:sz="2"/>
          <w:insideV w:val="none"/>
        </w:tblBorders>
      </w:tblPr>
      <w:tblGrid>
        <w:gridCol w:w="2808"/>
        <w:gridCol w:w="2184"/>
        <w:gridCol w:w="2184"/>
        <w:gridCol w:w="2184"/>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site exposure (per SD of kernel density)</w:t>
            </w:r>
          </w:p>
        </w:tc>
        <w:tc>
          <w:tcPr>
            <w:tcW w:type="dxa" w:w="2184"/>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Colorado, natural causes</w:t>
            </w:r>
          </w:p>
        </w:tc>
        <w:tc>
          <w:tcPr>
            <w:tcW w:type="dxa" w:w="2184"/>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Colorado, all causes</w:t>
            </w:r>
          </w:p>
        </w:tc>
        <w:tc>
          <w:tcPr>
            <w:tcW w:type="dxa" w:w="2184"/>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Denver study area, natural causes</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known historical sites</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1.054 (1.015–1.094)</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1.057 (1.020–1.096)</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1.089 (0.997–1.190)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known historical sites, placebo also in the model</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1.050 (1.009–1.091)</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1.052 (1.013–1.093)</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1.084 (0.986–1.191)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hidden sites</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1.006 (0.978–1.035)</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1.008 (0.980–1.036)</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1.002 (0.955–1.052)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hidden sites, high-confidence only</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1.001 (0.974–1.030)</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1.006 (0.980–1.034)</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0.984 (0.933–1.036)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pre-1960 hazardous trades</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0.937 (0.903–0.973)</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0.950 (0.917–0.983)</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0.955 (0.881–1.034)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placebo: non-hazardous manufacturers, alone</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1.031 (1.000–1.064)</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1.036 (1.005–1.067)</w:t>
            </w:r>
          </w:p>
        </w:tc>
        <w:tc>
          <w:tcPr>
            <w:tcW w:type="dxa" w:w="2184"/>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1.037 (0.972–1.107)</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Rate ratios (95% CI) for deaths in 2015–2019. Known and hidden sites are estimated together with current TRI and cleanup sites; the pre-1960 row adds the pre-1960 trades to that model; the placebo row is a model with TRI, cleanup and the placebo only.</w:t>
      </w:r>
    </w:p>
    <w:p>
      <w:pPr>
        <w:spacing w:after="160" w:line="360"/>
        <w:jc w:val="both"/>
      </w:pPr>
      <w:r>
        <w:rPr>
          <w:rFonts w:ascii="Times New Roman" w:cs="Times New Roman" w:eastAsia="Times New Roman" w:hAnsi="Times New Roman"/>
          <w:b w:val="false"/>
          <w:bCs w:val="false"/>
          <w:i w:val="false"/>
          <w:iCs w:val="false"/>
          <w:sz w:val="24"/>
          <w:szCs w:val="24"/>
        </w:rPr>
        <w:t xml:space="preserve">Blocks near the known historical sites have about 5% higher mortality per standard deviation of exposure statewide, after the controls and after the current TRI and cleanup sites, and about 9% higher in the Denver study area, where the interval reaches 1. The association holds with the placebo in the model. Blocks near the hidden sites show none, and neither does the high-confidence subset. Two readings fit these results. The known sites were the larger and longer-lived operations, which is why they entered the inventories; nearly half of them stood on land the aerial-photograph interpreters marked industrial in 1977, against a fifth of the hidden sites (Section 5), most of which were small shops on mixed blocks. And part of the known-site association may reflect industrial neighbourhoods as such rather than the hazardous sectors: the placebo alone is borderline (1.031, 1.000–1.064), although with both in the model it falls to 1.016 while the known sites keep 1.050. The inverse association of the pre-1960 trades most likely reflects what else characterises the old urban core in which they stood, including the redevelopment and turnover described in Section 6, rather than a protective effect. These are associations across places in one period: residence at death is not lifetime exposure, a kernel density ignores what each site handled and for how long, and the controls cannot rule out residual confounding.</w:t>
      </w:r>
    </w:p>
    <w:p>
      <w:pPr>
        <w:spacing w:after="160" w:line="360"/>
        <w:jc w:val="both"/>
      </w:pPr>
      <w:r>
        <w:rPr>
          <w:rFonts w:ascii="Times New Roman" w:cs="Times New Roman" w:eastAsia="Times New Roman" w:hAnsi="Times New Roman"/>
          <w:b/>
          <w:bCs/>
          <w:i w:val="false"/>
          <w:iCs w:val="false"/>
          <w:sz w:val="24"/>
          <w:szCs w:val="24"/>
        </w:rPr>
        <w:t xml:space="preserve">Before and after the sites were rebuilt.</w:t>
      </w:r>
      <w:r>
        <w:rPr>
          <w:rFonts w:ascii="Times New Roman" w:cs="Times New Roman" w:eastAsia="Times New Roman" w:hAnsi="Times New Roman"/>
          <w:b w:val="false"/>
          <w:bCs w:val="false"/>
          <w:i w:val="false"/>
          <w:iCs w:val="false"/>
          <w:sz w:val="24"/>
          <w:szCs w:val="24"/>
        </w:rPr>
        <w:t xml:space="preserve"> If the old works mattered, mortality nearby should fall once a site is rebuilt. The same death records cover 2000–2019, so a block-year panel for the Denver study area (about 200,000 block-years) was built with each block's population that year. A site counts as rebuilt from the year its parcel's present structure was built, when that is after its last directory listing (Section 6); in 2000–2019 that happened to 22 hidden sites, 58 known sites and 37 pre-1960 trades. Poisson models with block and year fixed effects, a population offset and yearly PM2.5 compare each block with itself as nearby sites went from standing to rebuilt. Per standard deviation of nearby sites still standing, natural-cause mortality was no different: 1.01 (0.84–1.22) for hidden sites, 1.01 (0.73–1.41) for known sites and 1.11 (0.83–1.48) for pre-1960 trades. Around the first rebuild within 400 m (966 blocks, against 3,457 blocks near sites that stood throughout), mortality was 14% higher four or more years before the rebuild (1.14, 1.01–1.28) and 15% higher two years before (1.15, 1.02–1.30) than in the year before it, and level with that year afterwards. The fall therefore came before the new building, which fits the turnover that precedes redevelopment better than an effect of the site itself; rebuilding also brings younger residents, whose age the offset does not capture.</w:t>
      </w:r>
    </w:p>
    <w:p>
      <w:pPr>
        <w:spacing w:after="160" w:line="360"/>
        <w:jc w:val="both"/>
      </w:pPr>
      <w:r>
        <w:rPr>
          <w:rFonts w:ascii="Times New Roman" w:cs="Times New Roman" w:eastAsia="Times New Roman" w:hAnsi="Times New Roman"/>
          <w:b/>
          <w:bCs/>
          <w:i w:val="false"/>
          <w:iCs w:val="false"/>
          <w:sz w:val="24"/>
          <w:szCs w:val="24"/>
        </w:rPr>
        <w:t xml:space="preserve">Where people lived in 1940 and how long they lived.</w:t>
      </w:r>
      <w:r>
        <w:rPr>
          <w:rFonts w:ascii="Times New Roman" w:cs="Times New Roman" w:eastAsia="Times New Roman" w:hAnsi="Times New Roman"/>
          <w:b w:val="false"/>
          <w:bCs w:val="false"/>
          <w:i w:val="false"/>
          <w:iCs w:val="false"/>
          <w:sz w:val="24"/>
          <w:szCs w:val="24"/>
        </w:rPr>
        <w:t xml:space="preserve"> The 2015–2019 association is with residence at death. CenSoc links the 1940 complete-count census to Social Security death records (Breen, Osborne and Goldstein 2023): the CenSoc-DMF file covers men dying in 1975–2020 and CenSoc-Numident men and women dying in 1988–2005. Because the Brown address files carry the same person identifier as the census, each linked Denver resident of 1940 could be placed at their 1940 street address: 9,769 men in the DMF file and 14,936 people in the Numident file, of whom 8,390 and 13,376 lived in households (not institutions) and entered the models. At that address were measured the 1929 zoning district, the share of land within 250 m in industrial use in 1937 (Section 5), the hazardous trades listed in the directories up to 1940, the HOLC grade, and the 1965–92 sites. Age at death was modelled by least squares with birth-year fixed effects (and sex in the Numident file) and CenSoc's weights, following CenSoc's guidance for these truncated windows, first alone and then with 1940 controls: race, Hispanic origin, foreign birth (Mexico separately), birth in Colorado, a move in 1935–40, and the household's tenure, rent or home value (quintile within tenure), the head's schooling and occupational standing. Errors are clustered by 1940 enumeration district. Commercial land within 250 m is the placebo: busy, central land that is not industrial.</w:t>
      </w:r>
    </w:p>
    <w:p>
      <w:pPr>
        <w:spacing w:after="80" w:before="240"/>
      </w:pPr>
      <w:r>
        <w:rPr>
          <w:rFonts w:ascii="Times New Roman" w:cs="Times New Roman" w:eastAsia="Times New Roman" w:hAnsi="Times New Roman"/>
          <w:b/>
          <w:bCs/>
          <w:sz w:val="20"/>
          <w:szCs w:val="20"/>
        </w:rPr>
        <w:t xml:space="preserve">Table 22. Exposure at the 1940 address and age at death: Denver residents of 1940 linked to Social Security death records (CenSoc)</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exposure at the 1940 address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men, deaths 1975–2020: birth year only</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men, deaths 1975–2020: with 1940 controls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men and women, deaths 1988–2005: birth year and sex only</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men and women, deaths 1988–2005: with 1940 controls</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1929 industrial district (vs residence or commercial)</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−1.58 (−2.48 to −0.67)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−0.98 (−1.88 to −0.09)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−0.07 (−0.55 to 0.41)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0.10 (−0.39 to 0.59)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industrial land within 250 m, 1937 (per 10 points)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−0.34 (−0.51 to −0.18)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−0.20 (−0.36 to −0.04)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−0.06 (−0.14 to 0.03)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−0.01 (−0.10 to 0.08)</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hazardous trade listed by 1940 within 500 m</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−0.94 (−1.45 to −0.44)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−0.50 (−1.05 to 0.05)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−0.19 (−0.40 to 0.03)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−0.05 (−0.26 to 0.17)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hazardous trades listed by 1940, kernel (per SD)</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−0.11 (−0.39 to 0.16)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0.09 (−0.17 to 0.36)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−0.08 (−0.21 to 0.05)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−0.02 (−0.14 to 0.10)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placebo: commercial land within 250 m, 1937 (per 10 points)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−0.01 (−0.11 to 0.09)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0.08 (−0.03 to 0.18)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−0.02 (−0.06 to 0.02)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0.00 (−0.04 to 0.04)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HOLC grade D (vs A or B)</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−1.29 (−2.01 to −0.58)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−0.30 (−1.26 to 0.65)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−0.46 (−0.75 to −0.17)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−0.23 (−0.60 to 0.15)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1965–92 sites on no inventory, kernel (per SD)</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−0.29 (−0.60 to 0.01)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−0.02 (−0.35 to 0.30)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−0.13 (−0.23 to −0.03)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−0.06 (−0.16 to 0.05)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1965–92 sites on an inventory, kernel (per SD)</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−0.53 (−0.84 to −0.22)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−0.24 (−0.62 to 0.13)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−0.11 (−0.20 to −0.01)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0.00 (−0.11 to 0.12)</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Difference in age at death, in years (95% CI). Each row is a separate model; the HOLC row includes indicators for C and ungraded addresses. Men, deaths 1975–2020: CenSoc-DMF, 8,390 people; men and women, deaths 1988–2005: CenSoc-Numident, 13,376 people. Address-level exposures as in Section 5; the 1965–92 sites as in Section 6.</w:t>
      </w:r>
    </w:p>
    <w:p>
      <w:pPr>
        <w:spacing w:after="160" w:line="360"/>
        <w:jc w:val="both"/>
      </w:pPr>
      <w:r>
        <w:rPr>
          <w:rFonts w:ascii="Times New Roman" w:cs="Times New Roman" w:eastAsia="Times New Roman" w:hAnsi="Times New Roman"/>
          <w:b w:val="false"/>
          <w:bCs w:val="false"/>
          <w:i w:val="false"/>
          <w:iCs w:val="false"/>
          <w:sz w:val="24"/>
          <w:szCs w:val="24"/>
        </w:rPr>
        <w:t xml:space="preserve">Men who lived in 1940 in a 1929 industrial district died 1.6 years younger than other Denver men born the same year, and about a year younger once their own and their household's 1940 circumstances are held constant; each further ten points of industrial land within 250 m of the home came with 0.2 years less of life, an estimate that holds with the hazardous trades and commercial land in the same model (−0.20, −0.36 to −0.04). The placebo shows nothing. The hazardous trades themselves, measured as firms rather than land, add little once household circumstances are controlled; and the HOLC D gap, more than a year for men without controls, shrinks to a third of a year with them, so the grade mostly stands for who lived there. Two features limit the reading. Within a single 1940 enumeration district the industrial-land gradient disappears (−0.03, −0.24 to 0.18), so the difference lies between neighbourhoods and could still reflect something about them other than the industry. And the Numident file, which adds women but observes only deaths at 65 and over in 1988–2005, shows the same signs much attenuated and nothing after controls, which suggests that what differed was mainly earlier death among men. The 1965–92 sites near a 1940 address show no association once household circumstances are controlled. Read together with the block models, the historical sites are associated with mortality where they were large and industrial in character, and the hidden sites, the small shops on mixed blocks, are not associated with it on any of the three designs.</w:t>
      </w:r>
    </w:p>
    <w:p>
      <w:pPr>
        <w:pStyle w:val="Heading1"/>
        <w:spacing w:after="160" w:before="360"/>
      </w:pPr>
      <w:r>
        <w:rPr>
          <w:rFonts w:ascii="Times New Roman" w:cs="Times New Roman" w:eastAsia="Times New Roman" w:hAnsi="Times New Roman"/>
          <w:b/>
          <w:bCs/>
          <w:color w:val="000000"/>
          <w:sz w:val="26"/>
          <w:szCs w:val="26"/>
        </w:rPr>
        <w:t xml:space="preserve">8. Discussion and conclusion</w:t>
      </w:r>
    </w:p>
    <w:p>
      <w:pPr>
        <w:spacing w:after="160" w:line="360"/>
        <w:jc w:val="both"/>
      </w:pPr>
      <w:r>
        <w:rPr>
          <w:rFonts w:ascii="Times New Roman" w:cs="Times New Roman" w:eastAsia="Times New Roman" w:hAnsi="Times New Roman"/>
          <w:b w:val="false"/>
          <w:bCs w:val="false"/>
          <w:i w:val="false"/>
          <w:iCs w:val="false"/>
          <w:sz w:val="24"/>
          <w:szCs w:val="24"/>
        </w:rPr>
        <w:t xml:space="preserve">The paper set out to ask whether Denver's zoning and redlining created the city's environmental inequality, what preceded it, and whether the instruments or later industrial siting accelerated it. On the first question the answer is no. The class and nativity ordering of the population around hazardous industry — labouring, immigrant, lodging and renting households near it, owners and higher-status workers away from it — is present from the earliest mapped census, survives a control for distance to downtown, and was in place decades before the city zoned, before deeds carried racial covenants and before the HOLC appraisers arrived. The hazardous trades that opened before 1940 opened where such households already lived.</w:t>
      </w:r>
    </w:p>
    <w:p>
      <w:pPr>
        <w:spacing w:after="160" w:line="360"/>
        <w:jc w:val="both"/>
      </w:pPr>
      <w:r>
        <w:rPr>
          <w:rFonts w:ascii="Times New Roman" w:cs="Times New Roman" w:eastAsia="Times New Roman" w:hAnsi="Times New Roman"/>
          <w:b w:val="false"/>
          <w:bCs w:val="false"/>
          <w:i w:val="false"/>
          <w:iCs w:val="false"/>
          <w:sz w:val="24"/>
          <w:szCs w:val="24"/>
        </w:rPr>
        <w:t xml:space="preserve">On the second question, what preceded the disparities was an industrial corridor and a housing market, and the two produced different geographies for different groups. Black Denverites, a small population, lived near the centre and the industry in 1880–1910, and between 1910 and 1930 became concentrated in residential blocks northeast of downtown that the appraisers later graded D; segregation on fixed geography doubled between 1880 and 1940, most steeply in 1920–30. The land the 1925 ordinance zoned industrial was the city's most immigrant and labouring land from 1900, lost its Black residents, and became Mexican and Hispano by 1920–30. The HOLC D grade drew both into one category, which is why a D–C Black gap and a D–C Hispanic gap both appear and why neither, read alone, describes the industrial geography.</w:t>
      </w:r>
    </w:p>
    <w:p>
      <w:pPr>
        <w:spacing w:after="160" w:line="360"/>
        <w:jc w:val="both"/>
      </w:pPr>
      <w:r>
        <w:rPr>
          <w:rFonts w:ascii="Times New Roman" w:cs="Times New Roman" w:eastAsia="Times New Roman" w:hAnsi="Times New Roman"/>
          <w:b w:val="false"/>
          <w:bCs w:val="false"/>
          <w:i w:val="false"/>
          <w:iCs w:val="false"/>
          <w:sz w:val="24"/>
          <w:szCs w:val="24"/>
        </w:rPr>
        <w:t xml:space="preserve">On the third question, the data show no acceleration at 1925 or 1938 that can be attributed to either instrument. Within the business directory hazardous siting after 1938 favoured D land within the range it had before (D/C 2.1, against 1.7–6.4), and within the manufacturers' directory the ratio moved only from 13.6 to 16.8; the Black concentration in D rose most before the map; and both the Black and the Hispanic concentrations in D and industrial tracts peaked around 1960 and have declined since. After 1950 the group most concentrated beside industry was Hispanic on every geography and specification tested, and D and Industrial tracts gained Hispanic residents and poverty and lost value relative to A tracts. That association is a property of places rather than of changes within them: tracts did not change composition when their industry changed, composition also predicts where the number of hazardous firms grew, and the manufacturers that arrived after 1965 went to tracts that were less poor than average and were followed by faster Hispanic growth. The corridor is still largely industrial in the parcel record.</w:t>
      </w:r>
    </w:p>
    <w:p>
      <w:pPr>
        <w:spacing w:after="160" w:line="360"/>
        <w:jc w:val="both"/>
      </w:pPr>
      <w:r>
        <w:rPr>
          <w:rFonts w:ascii="Times New Roman" w:cs="Times New Roman" w:eastAsia="Times New Roman" w:hAnsi="Times New Roman"/>
          <w:b w:val="false"/>
          <w:bCs w:val="false"/>
          <w:i w:val="false"/>
          <w:iCs w:val="false"/>
          <w:sz w:val="24"/>
          <w:szCs w:val="24"/>
        </w:rPr>
        <w:t xml:space="preserve">What remains unidentified is the effect of any one instrument. The grading, the zoning, FHA practice, the railways and the post-war land market pointed at the same land; a boundary design with fifteen tracts a side cannot pull them apart; and the pre-map D–C Black gap is consistent in sign but not significant once spatial dependence is allowed for.</w:t>
      </w:r>
    </w:p>
    <w:p>
      <w:pPr>
        <w:spacing w:after="160" w:line="360"/>
        <w:jc w:val="both"/>
      </w:pPr>
      <w:r>
        <w:rPr>
          <w:rFonts w:ascii="Times New Roman" w:cs="Times New Roman" w:eastAsia="Times New Roman" w:hAnsi="Times New Roman"/>
          <w:b w:val="false"/>
          <w:bCs w:val="false"/>
          <w:i w:val="false"/>
          <w:iCs w:val="false"/>
          <w:sz w:val="24"/>
          <w:szCs w:val="24"/>
        </w:rPr>
        <w:t xml:space="preserve">The reading we draw is closer to "recording" than to either "creation" or "reinforcement" in the terms of Aaronson, Hartley and Mazumder (2021) and Fishback et al. (2024): reinforcement may have occurred, but these data cannot show it. For Denver the question of whether the HOLC map caused the later divergence matters less than the observation that the instruments the city and the federal government produced between 1925 and 1938 recorded a corridor that was already a generation or two old, and that the corridor then held successive disadvantaged groups. That is the "churning" that Frickel and Elliott describe from the industrial side, seen from the residential side: the industrial landscape persists, and the people pass through it.</w:t>
      </w:r>
    </w:p>
    <w:p>
      <w:pPr>
        <w:spacing w:after="160" w:line="360"/>
        <w:jc w:val="both"/>
      </w:pPr>
      <w:r>
        <w:rPr>
          <w:rFonts w:ascii="Times New Roman" w:cs="Times New Roman" w:eastAsia="Times New Roman" w:hAnsi="Times New Roman"/>
          <w:b w:val="false"/>
          <w:bCs w:val="false"/>
          <w:i w:val="false"/>
          <w:iCs w:val="false"/>
          <w:sz w:val="24"/>
          <w:szCs w:val="24"/>
        </w:rPr>
        <w:t xml:space="preserve">Two implications follow for environmental-justice research. The first is about measurement. A study that begins with the regulatory inventories of the 1980s begins after Denver's pre-1960 hazardous trades had closed and their sites had been converted; it observes a Hispanic–industry association whose geography was laid down earlier. The directory series and the full-count census make the earlier period measurable, and the methods here are not specific to Denver. The checks needed along the way are part of the method: in this paper a single study area, fixed-geography checks, a downtown control, within-source density comparisons, a direction check on the geocodes and a split of the D grade by zoning each changed a result that an earlier draft had stated more strongly. The second implication is about the relict sites. One in six of the 1965–92 hazardous sites and one in five of the pre-1960 trades now stand under housing; most of the later ones were small firms in residential buildings rather than conversions, and 67 carry no record in any inventory this project searched. Whether they are contaminated is unknown; they are also largely invisible to the inventories that would find out.</w:t>
      </w:r>
    </w:p>
    <w:p>
      <w:pPr>
        <w:spacing w:after="160" w:line="360"/>
        <w:jc w:val="both"/>
      </w:pPr>
      <w:r>
        <w:rPr>
          <w:rFonts w:ascii="Times New Roman" w:cs="Times New Roman" w:eastAsia="Times New Roman" w:hAnsi="Times New Roman"/>
          <w:b w:val="false"/>
          <w:bCs w:val="false"/>
          <w:i w:val="false"/>
          <w:iCs w:val="false"/>
          <w:sz w:val="24"/>
          <w:szCs w:val="24"/>
        </w:rPr>
        <w:t xml:space="preserve">The limitations are set out where they arise and are restated here. The district reconstruction places three-quarters of the 1900 population at street level and the rest by district; Hispanic origin before 1960 is inferred, not self-reported. The directory inventory has twelve partial editions set aside and a change of source between 1956 and 1965, so firm densities are compared only within each source. The 1929 zoning layer cannot fully separate apartment from industrial hatching and does not cover the whole graded area. The tract analysis interpolates every census before 1990 by area. The pre-map Black gap at the D–C boundary is consistent but imprecise. The post-2000 exposure is to historically listed sites. The descriptive sequences use area weighting from districts to grid cells, which assumes people are spread evenly within a district. The archival check covers twenty addresses on one Sanborn edition. The next pass on this paper is the reverse-directory and later Sanborn checks of the residential sites, not further interpretation.</w:t>
      </w:r>
    </w:p>
    <w:p>
      <w:pPr>
        <w:pStyle w:val="Heading1"/>
        <w:spacing w:after="160" w:before="360"/>
      </w:pPr>
      <w:r>
        <w:rPr>
          <w:rFonts w:ascii="Times New Roman" w:cs="Times New Roman" w:eastAsia="Times New Roman" w:hAnsi="Times New Roman"/>
          <w:b/>
          <w:bCs/>
          <w:color w:val="000000"/>
          <w:sz w:val="26"/>
          <w:szCs w:val="26"/>
        </w:rPr>
        <w:t xml:space="preserve">References</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Aaronson, D., Hartley, D. and Mazumder, B. (2021) The effects of the 1930s HOLC "redlining" maps. </w:t>
      </w:r>
      <w:r>
        <w:rPr>
          <w:rFonts w:ascii="Times New Roman" w:cs="Times New Roman" w:eastAsia="Times New Roman" w:hAnsi="Times New Roman"/>
          <w:b w:val="false"/>
          <w:bCs w:val="false"/>
          <w:i/>
          <w:iCs/>
          <w:sz w:val="24"/>
          <w:szCs w:val="24"/>
        </w:rPr>
        <w:t xml:space="preserve">American Economic Journal: Economic Policy</w:t>
      </w:r>
      <w:r>
        <w:rPr>
          <w:rFonts w:ascii="Times New Roman" w:cs="Times New Roman" w:eastAsia="Times New Roman" w:hAnsi="Times New Roman"/>
          <w:b w:val="false"/>
          <w:bCs w:val="false"/>
          <w:i w:val="false"/>
          <w:iCs w:val="false"/>
          <w:sz w:val="24"/>
          <w:szCs w:val="24"/>
        </w:rPr>
        <w:t xml:space="preserve"> 13(4): 355–392.</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Been, V. (1994) Locally undesirable land uses in minority neighborhoods: disproportionate siting or market dynamics? </w:t>
      </w:r>
      <w:r>
        <w:rPr>
          <w:rFonts w:ascii="Times New Roman" w:cs="Times New Roman" w:eastAsia="Times New Roman" w:hAnsi="Times New Roman"/>
          <w:b w:val="false"/>
          <w:bCs w:val="false"/>
          <w:i/>
          <w:iCs/>
          <w:sz w:val="24"/>
          <w:szCs w:val="24"/>
        </w:rPr>
        <w:t xml:space="preserve">Yale Law Journal</w:t>
      </w:r>
      <w:r>
        <w:rPr>
          <w:rFonts w:ascii="Times New Roman" w:cs="Times New Roman" w:eastAsia="Times New Roman" w:hAnsi="Times New Roman"/>
          <w:b w:val="false"/>
          <w:bCs w:val="false"/>
          <w:i w:val="false"/>
          <w:iCs w:val="false"/>
          <w:sz w:val="24"/>
          <w:szCs w:val="24"/>
        </w:rPr>
        <w:t xml:space="preserve"> 103(6): 1383–1422.</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Elliott, J. R. and Frickel, S. (2013) The historical nature of cities: a study of urbanization and hazardous waste accumulation. </w:t>
      </w:r>
      <w:r>
        <w:rPr>
          <w:rFonts w:ascii="Times New Roman" w:cs="Times New Roman" w:eastAsia="Times New Roman" w:hAnsi="Times New Roman"/>
          <w:b w:val="false"/>
          <w:bCs w:val="false"/>
          <w:i/>
          <w:iCs/>
          <w:sz w:val="24"/>
          <w:szCs w:val="24"/>
        </w:rPr>
        <w:t xml:space="preserve">American Sociological Review</w:t>
      </w:r>
      <w:r>
        <w:rPr>
          <w:rFonts w:ascii="Times New Roman" w:cs="Times New Roman" w:eastAsia="Times New Roman" w:hAnsi="Times New Roman"/>
          <w:b w:val="false"/>
          <w:bCs w:val="false"/>
          <w:i w:val="false"/>
          <w:iCs w:val="false"/>
          <w:sz w:val="24"/>
          <w:szCs w:val="24"/>
        </w:rPr>
        <w:t xml:space="preserve"> 78(4): 521–543.</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Faber, J. W. (2020) We built this: consequences of New Deal era intervention in America's racial geography. </w:t>
      </w:r>
      <w:r>
        <w:rPr>
          <w:rFonts w:ascii="Times New Roman" w:cs="Times New Roman" w:eastAsia="Times New Roman" w:hAnsi="Times New Roman"/>
          <w:b w:val="false"/>
          <w:bCs w:val="false"/>
          <w:i/>
          <w:iCs/>
          <w:sz w:val="24"/>
          <w:szCs w:val="24"/>
        </w:rPr>
        <w:t xml:space="preserve">American Sociological Review</w:t>
      </w:r>
      <w:r>
        <w:rPr>
          <w:rFonts w:ascii="Times New Roman" w:cs="Times New Roman" w:eastAsia="Times New Roman" w:hAnsi="Times New Roman"/>
          <w:b w:val="false"/>
          <w:bCs w:val="false"/>
          <w:i w:val="false"/>
          <w:iCs w:val="false"/>
          <w:sz w:val="24"/>
          <w:szCs w:val="24"/>
        </w:rPr>
        <w:t xml:space="preserve"> 85(5): 739–775.</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Fishback, P., Rose, J., Snowden, K. and Storrs, T. (2024) New evidence on redlining by federal housing programs in the 1930s. </w:t>
      </w:r>
      <w:r>
        <w:rPr>
          <w:rFonts w:ascii="Times New Roman" w:cs="Times New Roman" w:eastAsia="Times New Roman" w:hAnsi="Times New Roman"/>
          <w:b w:val="false"/>
          <w:bCs w:val="false"/>
          <w:i/>
          <w:iCs/>
          <w:sz w:val="24"/>
          <w:szCs w:val="24"/>
        </w:rPr>
        <w:t xml:space="preserve">Journal of Urban Economics</w:t>
      </w:r>
      <w:r>
        <w:rPr>
          <w:rFonts w:ascii="Times New Roman" w:cs="Times New Roman" w:eastAsia="Times New Roman" w:hAnsi="Times New Roman"/>
          <w:b w:val="false"/>
          <w:bCs w:val="false"/>
          <w:i w:val="false"/>
          <w:iCs w:val="false"/>
          <w:sz w:val="24"/>
          <w:szCs w:val="24"/>
        </w:rPr>
        <w:t xml:space="preserve"> 141: 103462.</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Frickel, S. and Elliott, J. R. (2008) Tracking industrial land use conversions: a new approach for studying relict waste and urban development. </w:t>
      </w:r>
      <w:r>
        <w:rPr>
          <w:rFonts w:ascii="Times New Roman" w:cs="Times New Roman" w:eastAsia="Times New Roman" w:hAnsi="Times New Roman"/>
          <w:b w:val="false"/>
          <w:bCs w:val="false"/>
          <w:i/>
          <w:iCs/>
          <w:sz w:val="24"/>
          <w:szCs w:val="24"/>
        </w:rPr>
        <w:t xml:space="preserve">Organization &amp; Environment</w:t>
      </w:r>
      <w:r>
        <w:rPr>
          <w:rFonts w:ascii="Times New Roman" w:cs="Times New Roman" w:eastAsia="Times New Roman" w:hAnsi="Times New Roman"/>
          <w:b w:val="false"/>
          <w:bCs w:val="false"/>
          <w:i w:val="false"/>
          <w:iCs w:val="false"/>
          <w:sz w:val="24"/>
          <w:szCs w:val="24"/>
        </w:rPr>
        <w:t xml:space="preserve"> 21(2): 128–147.</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Frickel, S. and Elliott, J. R. (2018) </w:t>
      </w:r>
      <w:r>
        <w:rPr>
          <w:rFonts w:ascii="Times New Roman" w:cs="Times New Roman" w:eastAsia="Times New Roman" w:hAnsi="Times New Roman"/>
          <w:b w:val="false"/>
          <w:bCs w:val="false"/>
          <w:i/>
          <w:iCs/>
          <w:sz w:val="24"/>
          <w:szCs w:val="24"/>
        </w:rPr>
        <w:t xml:space="preserve">Sites Unseen: Uncovering Hidden Hazards in American Cities</w:t>
      </w:r>
      <w:r>
        <w:rPr>
          <w:rFonts w:ascii="Times New Roman" w:cs="Times New Roman" w:eastAsia="Times New Roman" w:hAnsi="Times New Roman"/>
          <w:b w:val="false"/>
          <w:bCs w:val="false"/>
          <w:i w:val="false"/>
          <w:iCs w:val="false"/>
          <w:sz w:val="24"/>
          <w:szCs w:val="24"/>
        </w:rPr>
        <w:t xml:space="preserve">. New York: Russell Sage Foundation.</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Marlow, T., Frickel, S. and Elliott, J. R. (2020) Do legacy industrial sites produce legacy effects for ethnic and racial residential segregation? </w:t>
      </w:r>
      <w:r>
        <w:rPr>
          <w:rFonts w:ascii="Times New Roman" w:cs="Times New Roman" w:eastAsia="Times New Roman" w:hAnsi="Times New Roman"/>
          <w:b w:val="false"/>
          <w:bCs w:val="false"/>
          <w:i/>
          <w:iCs/>
          <w:sz w:val="24"/>
          <w:szCs w:val="24"/>
        </w:rPr>
        <w:t xml:space="preserve">Environmental Research Letters</w:t>
      </w:r>
      <w:r>
        <w:rPr>
          <w:rFonts w:ascii="Times New Roman" w:cs="Times New Roman" w:eastAsia="Times New Roman" w:hAnsi="Times New Roman"/>
          <w:b w:val="false"/>
          <w:bCs w:val="false"/>
          <w:i w:val="false"/>
          <w:iCs w:val="false"/>
          <w:sz w:val="24"/>
          <w:szCs w:val="24"/>
        </w:rPr>
        <w:t xml:space="preserve"> 15(3): 034037.</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Mohai, P. and Saha, R. (2015) Which came first, people or pollution? Assessing the disparate siting and post-siting demographic change hypotheses of environmental injustice. </w:t>
      </w:r>
      <w:r>
        <w:rPr>
          <w:rFonts w:ascii="Times New Roman" w:cs="Times New Roman" w:eastAsia="Times New Roman" w:hAnsi="Times New Roman"/>
          <w:b w:val="false"/>
          <w:bCs w:val="false"/>
          <w:i/>
          <w:iCs/>
          <w:sz w:val="24"/>
          <w:szCs w:val="24"/>
        </w:rPr>
        <w:t xml:space="preserve">Environmental Research Letters</w:t>
      </w:r>
      <w:r>
        <w:rPr>
          <w:rFonts w:ascii="Times New Roman" w:cs="Times New Roman" w:eastAsia="Times New Roman" w:hAnsi="Times New Roman"/>
          <w:b w:val="false"/>
          <w:bCs w:val="false"/>
          <w:i w:val="false"/>
          <w:iCs w:val="false"/>
          <w:sz w:val="24"/>
          <w:szCs w:val="24"/>
        </w:rPr>
        <w:t xml:space="preserve"> 10(11): 115008.</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Nelson, R. K., Winling, L., et al. </w:t>
      </w:r>
      <w:r>
        <w:rPr>
          <w:rFonts w:ascii="Times New Roman" w:cs="Times New Roman" w:eastAsia="Times New Roman" w:hAnsi="Times New Roman"/>
          <w:b w:val="false"/>
          <w:bCs w:val="false"/>
          <w:i/>
          <w:iCs/>
          <w:sz w:val="24"/>
          <w:szCs w:val="24"/>
        </w:rPr>
        <w:t xml:space="preserve">Mapping Inequality: Redlining in New Deal America</w:t>
      </w:r>
      <w:r>
        <w:rPr>
          <w:rFonts w:ascii="Times New Roman" w:cs="Times New Roman" w:eastAsia="Times New Roman" w:hAnsi="Times New Roman"/>
          <w:b w:val="false"/>
          <w:bCs w:val="false"/>
          <w:i w:val="false"/>
          <w:iCs w:val="false"/>
          <w:sz w:val="24"/>
          <w:szCs w:val="24"/>
        </w:rPr>
        <w:t xml:space="preserve">. University of Richmond Digital Scholarship Lab.</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Pastor, M., Sadd, J. and Hipp, J. (2001) Which came first? Toxic facilities, minority move-in, and environmental justice. </w:t>
      </w:r>
      <w:r>
        <w:rPr>
          <w:rFonts w:ascii="Times New Roman" w:cs="Times New Roman" w:eastAsia="Times New Roman" w:hAnsi="Times New Roman"/>
          <w:b w:val="false"/>
          <w:bCs w:val="false"/>
          <w:i/>
          <w:iCs/>
          <w:sz w:val="24"/>
          <w:szCs w:val="24"/>
        </w:rPr>
        <w:t xml:space="preserve">Journal of Urban Affairs</w:t>
      </w:r>
      <w:r>
        <w:rPr>
          <w:rFonts w:ascii="Times New Roman" w:cs="Times New Roman" w:eastAsia="Times New Roman" w:hAnsi="Times New Roman"/>
          <w:b w:val="false"/>
          <w:bCs w:val="false"/>
          <w:i w:val="false"/>
          <w:iCs w:val="false"/>
          <w:sz w:val="24"/>
          <w:szCs w:val="24"/>
        </w:rPr>
        <w:t xml:space="preserve"> 23(1): 1–21.</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Ruggles, S., et al. </w:t>
      </w:r>
      <w:r>
        <w:rPr>
          <w:rFonts w:ascii="Times New Roman" w:cs="Times New Roman" w:eastAsia="Times New Roman" w:hAnsi="Times New Roman"/>
          <w:b w:val="false"/>
          <w:bCs w:val="false"/>
          <w:i/>
          <w:iCs/>
          <w:sz w:val="24"/>
          <w:szCs w:val="24"/>
        </w:rPr>
        <w:t xml:space="preserve">IPUMS USA: Version 15.0</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IPUMS NHGIS</w:t>
      </w:r>
      <w:r>
        <w:rPr>
          <w:rFonts w:ascii="Times New Roman" w:cs="Times New Roman" w:eastAsia="Times New Roman" w:hAnsi="Times New Roman"/>
          <w:b w:val="false"/>
          <w:bCs w:val="false"/>
          <w:i w:val="false"/>
          <w:iCs w:val="false"/>
          <w:sz w:val="24"/>
          <w:szCs w:val="24"/>
        </w:rPr>
        <w:t xml:space="preserve">. Minneapolis: University of Minnesota.</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Xu, W. (2022) Legacies of institutionalized redlining: a comparison between speculative and implemented mortgage risk maps in Chicago, Illinois. </w:t>
      </w:r>
      <w:r>
        <w:rPr>
          <w:rFonts w:ascii="Times New Roman" w:cs="Times New Roman" w:eastAsia="Times New Roman" w:hAnsi="Times New Roman"/>
          <w:b w:val="false"/>
          <w:bCs w:val="false"/>
          <w:i/>
          <w:iCs/>
          <w:sz w:val="24"/>
          <w:szCs w:val="24"/>
        </w:rPr>
        <w:t xml:space="preserve">Housing Policy Debate</w:t>
      </w:r>
      <w:r>
        <w:rPr>
          <w:rFonts w:ascii="Times New Roman" w:cs="Times New Roman" w:eastAsia="Times New Roman" w:hAnsi="Times New Roman"/>
          <w:b w:val="false"/>
          <w:bCs w:val="false"/>
          <w:i w:val="false"/>
          <w:iCs w:val="false"/>
          <w:sz w:val="24"/>
          <w:szCs w:val="24"/>
        </w:rPr>
        <w:t xml:space="preserve"> 32(2): 249–274.</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Denver Public Library Western History Collection: </w:t>
      </w:r>
      <w:r>
        <w:rPr>
          <w:rFonts w:ascii="Times New Roman" w:cs="Times New Roman" w:eastAsia="Times New Roman" w:hAnsi="Times New Roman"/>
          <w:b w:val="false"/>
          <w:bCs w:val="false"/>
          <w:i/>
          <w:iCs/>
          <w:sz w:val="24"/>
          <w:szCs w:val="24"/>
        </w:rPr>
        <w:t xml:space="preserve">Building Zone Map, City and County of Denver</w:t>
      </w:r>
      <w:r>
        <w:rPr>
          <w:rFonts w:ascii="Times New Roman" w:cs="Times New Roman" w:eastAsia="Times New Roman" w:hAnsi="Times New Roman"/>
          <w:b w:val="false"/>
          <w:bCs w:val="false"/>
          <w:i w:val="false"/>
          <w:iCs w:val="false"/>
          <w:sz w:val="24"/>
          <w:szCs w:val="24"/>
        </w:rPr>
        <w:t xml:space="preserve"> (1925, rev. 1929 and 1944), Polk's Denver City Directory (1873–1969), Sanborn fire-insurance atlases of Denver (1887–1930), Mapping Prejudice: Denver (racial covenants 1931–35).</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City and County of Denver, Assessor parcel data (open-data feature service, accessed October 2026). Business Research Division, University of Colorado, </w:t>
      </w:r>
      <w:r>
        <w:rPr>
          <w:rFonts w:ascii="Times New Roman" w:cs="Times New Roman" w:eastAsia="Times New Roman" w:hAnsi="Times New Roman"/>
          <w:b w:val="false"/>
          <w:bCs w:val="false"/>
          <w:i/>
          <w:iCs/>
          <w:sz w:val="24"/>
          <w:szCs w:val="24"/>
        </w:rPr>
        <w:t xml:space="preserve">Directory of Colorado Manufacturers</w:t>
      </w:r>
      <w:r>
        <w:rPr>
          <w:rFonts w:ascii="Times New Roman" w:cs="Times New Roman" w:eastAsia="Times New Roman" w:hAnsi="Times New Roman"/>
          <w:b w:val="false"/>
          <w:bCs w:val="false"/>
          <w:i w:val="false"/>
          <w:iCs w:val="false"/>
          <w:sz w:val="24"/>
          <w:szCs w:val="24"/>
        </w:rPr>
        <w:t xml:space="preserve"> (1961–2002). </w:t>
      </w:r>
      <w:r>
        <w:rPr>
          <w:rFonts w:ascii="Times New Roman" w:cs="Times New Roman" w:eastAsia="Times New Roman" w:hAnsi="Times New Roman"/>
          <w:b w:val="false"/>
          <w:bCs w:val="false"/>
          <w:i/>
          <w:iCs/>
          <w:sz w:val="24"/>
          <w:szCs w:val="24"/>
        </w:rPr>
        <w:t xml:space="preserve">Colorado State Business Directory</w:t>
      </w:r>
      <w:r>
        <w:rPr>
          <w:rFonts w:ascii="Times New Roman" w:cs="Times New Roman" w:eastAsia="Times New Roman" w:hAnsi="Times New Roman"/>
          <w:b w:val="false"/>
          <w:bCs w:val="false"/>
          <w:i w:val="false"/>
          <w:iCs w:val="false"/>
          <w:sz w:val="24"/>
          <w:szCs w:val="24"/>
        </w:rPr>
        <w:t xml:space="preserve"> (1871–1956).</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Eckert, F., Fort, T. C., Schott, P. K. and Yang, N. J. (2021) Imputing missing values in the US Census Bureau's County Business Patterns. NBER Working Paper 26632.</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Sanborn Map Company (1890) </w:t>
      </w:r>
      <w:r>
        <w:rPr>
          <w:rFonts w:ascii="Times New Roman" w:cs="Times New Roman" w:eastAsia="Times New Roman" w:hAnsi="Times New Roman"/>
          <w:b w:val="false"/>
          <w:bCs w:val="false"/>
          <w:i/>
          <w:iCs/>
          <w:sz w:val="24"/>
          <w:szCs w:val="24"/>
        </w:rPr>
        <w:t xml:space="preserve">Insurance Maps of Denver, Colorado</w:t>
      </w:r>
      <w:r>
        <w:rPr>
          <w:rFonts w:ascii="Times New Roman" w:cs="Times New Roman" w:eastAsia="Times New Roman" w:hAnsi="Times New Roman"/>
          <w:b w:val="false"/>
          <w:bCs w:val="false"/>
          <w:i w:val="false"/>
          <w:iCs w:val="false"/>
          <w:sz w:val="24"/>
          <w:szCs w:val="24"/>
        </w:rPr>
        <w:t xml:space="preserve">, vols 1–2. Library of Congress, Geography and Map Division, Sanborn Maps Collection.</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Makarewicz, C. (2023) Denver-metro zoning layer, 3 October 2023, compiled for the National Zoning Atlas. Denver: University of Colorado Denver. Available on request through https://storymaps.arcgis.com/stories/adb86c7ab2624e95a84566fecb8a6f6d.</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City and County of Denver, Zoning (open-data layer CCD_Zoning; zone districts with the year of the last zoning ordinance), downloaded October 2026.</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Baum-Snow, N. (2007) Did highways cause suburbanization? </w:t>
      </w:r>
      <w:r>
        <w:rPr>
          <w:rFonts w:ascii="Times New Roman" w:cs="Times New Roman" w:eastAsia="Times New Roman" w:hAnsi="Times New Roman"/>
          <w:b w:val="false"/>
          <w:bCs w:val="false"/>
          <w:i/>
          <w:iCs/>
          <w:sz w:val="24"/>
          <w:szCs w:val="24"/>
        </w:rPr>
        <w:t xml:space="preserve">Quarterly Journal of Economics</w:t>
      </w:r>
      <w:r>
        <w:rPr>
          <w:rFonts w:ascii="Times New Roman" w:cs="Times New Roman" w:eastAsia="Times New Roman" w:hAnsi="Times New Roman"/>
          <w:b w:val="false"/>
          <w:bCs w:val="false"/>
          <w:i w:val="false"/>
          <w:iCs w:val="false"/>
          <w:sz w:val="24"/>
          <w:szCs w:val="24"/>
        </w:rPr>
        <w:t xml:space="preserve"> 122(2): 775–805. Interstate opening data via NBER, Transportation Economics in the 21st Century highway data.</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Breen, C. F., Osborne, M. and Goldstein, J. R. (2023) CenSoc: public linked administrative mortality records for individuals from the 1940 census. </w:t>
      </w:r>
      <w:r>
        <w:rPr>
          <w:rFonts w:ascii="Times New Roman" w:cs="Times New Roman" w:eastAsia="Times New Roman" w:hAnsi="Times New Roman"/>
          <w:b w:val="false"/>
          <w:bCs w:val="false"/>
          <w:i/>
          <w:iCs/>
          <w:sz w:val="24"/>
          <w:szCs w:val="24"/>
        </w:rPr>
        <w:t xml:space="preserve">Scientific Data</w:t>
      </w:r>
      <w:r>
        <w:rPr>
          <w:rFonts w:ascii="Times New Roman" w:cs="Times New Roman" w:eastAsia="Times New Roman" w:hAnsi="Times New Roman"/>
          <w:b w:val="false"/>
          <w:bCs w:val="false"/>
          <w:i w:val="false"/>
          <w:iCs w:val="false"/>
          <w:sz w:val="24"/>
          <w:szCs w:val="24"/>
        </w:rPr>
        <w:t xml:space="preserve"> 10: 802.</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Drummond, M. A., Stier, M. P. and Diffendorfer, J. E. (2019) Historical land use and land cover for assessing the northern Colorado Front Range urban landscape. </w:t>
      </w:r>
      <w:r>
        <w:rPr>
          <w:rFonts w:ascii="Times New Roman" w:cs="Times New Roman" w:eastAsia="Times New Roman" w:hAnsi="Times New Roman"/>
          <w:b w:val="false"/>
          <w:bCs w:val="false"/>
          <w:i/>
          <w:iCs/>
          <w:sz w:val="24"/>
          <w:szCs w:val="24"/>
        </w:rPr>
        <w:t xml:space="preserve">Journal of Maps</w:t>
      </w:r>
      <w:r>
        <w:rPr>
          <w:rFonts w:ascii="Times New Roman" w:cs="Times New Roman" w:eastAsia="Times New Roman" w:hAnsi="Times New Roman"/>
          <w:b w:val="false"/>
          <w:bCs w:val="false"/>
          <w:i w:val="false"/>
          <w:iCs w:val="false"/>
          <w:sz w:val="24"/>
          <w:szCs w:val="24"/>
        </w:rPr>
        <w:t xml:space="preserve"> 15(2): 89–93; data release https://doi.org/10.5066/P995RGC9.</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Ibsen, P. C., Bierbrauer, A., Corro, L. M., Ancona, Z. H., Drummond, M., Bagstad, K. J. and Diffendorfer, J. E. (2025) Land-use and socioeconomic time-series reveal legacy of redlining on present-day gentrification within a growing United States city. </w:t>
      </w:r>
      <w:r>
        <w:rPr>
          <w:rFonts w:ascii="Times New Roman" w:cs="Times New Roman" w:eastAsia="Times New Roman" w:hAnsi="Times New Roman"/>
          <w:b w:val="false"/>
          <w:bCs w:val="false"/>
          <w:i/>
          <w:iCs/>
          <w:sz w:val="24"/>
          <w:szCs w:val="24"/>
        </w:rPr>
        <w:t xml:space="preserve">PLoS ONE</w:t>
      </w:r>
      <w:r>
        <w:rPr>
          <w:rFonts w:ascii="Times New Roman" w:cs="Times New Roman" w:eastAsia="Times New Roman" w:hAnsi="Times New Roman"/>
          <w:b w:val="false"/>
          <w:bCs w:val="false"/>
          <w:i w:val="false"/>
          <w:iCs w:val="false"/>
          <w:sz w:val="24"/>
          <w:szCs w:val="24"/>
        </w:rPr>
        <w:t xml:space="preserve"> 20(3): e0317988.</w:t>
      </w:r>
    </w:p>
    <w:p>
      <w:pPr>
        <w:pStyle w:val="ListParagraph"/>
        <w:numPr>
          <w:ilvl w:val="0"/>
          <w:numId w:val="4"/>
        </w:numPr>
        <w:spacing w:after="120" w:line="340"/>
        <w:jc w:val="both"/>
      </w:pPr>
      <w:r>
        <w:rPr>
          <w:rFonts w:ascii="Times New Roman" w:cs="Times New Roman" w:eastAsia="Times New Roman" w:hAnsi="Times New Roman"/>
          <w:b w:val="false"/>
          <w:bCs w:val="false"/>
          <w:i w:val="false"/>
          <w:iCs w:val="false"/>
          <w:sz w:val="24"/>
          <w:szCs w:val="24"/>
        </w:rPr>
        <w:t xml:space="preserve">OpenHistoricalMap contributors, dated road alignments (openhistoricalmap.org), downloaded October 2026.</w:t>
      </w:r>
    </w:p>
    <w:p>
      <w:pPr>
        <w:spacing w:after="160" w:line="360"/>
        <w:jc w:val="both"/>
      </w:pPr>
      <w:r>
        <w:rPr>
          <w:rFonts w:ascii="Times New Roman" w:cs="Times New Roman" w:eastAsia="Times New Roman" w:hAnsi="Times New Roman"/>
          <w:b w:val="false"/>
          <w:bCs w:val="false"/>
          <w:i/>
          <w:iCs/>
          <w:sz w:val="24"/>
          <w:szCs w:val="24"/>
        </w:rPr>
        <w:t xml:space="preserve">Page references and volume numbers to be verified against the originals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and After the Map: Industrial Siting and the Making of Environmental Inequality in Denver, 1880–2020</dc:title>
  <dc:creator>Priyanka deSouza</dc:creator>
  <cp:lastModifiedBy>Un-named</cp:lastModifiedBy>
  <cp:revision>1</cp:revision>
  <dcterms:created xsi:type="dcterms:W3CDTF">2026-10-20T18:09:54.435Z</dcterms:created>
  <dcterms:modified xsi:type="dcterms:W3CDTF">2026-10-20T18:09:54.440Z</dcterms:modified>
</cp:coreProperties>
</file>

<file path=docProps/custom.xml><?xml version="1.0" encoding="utf-8"?>
<Properties xmlns="http://schemas.openxmlformats.org/officeDocument/2006/custom-properties" xmlns:vt="http://schemas.openxmlformats.org/officeDocument/2006/docPropsVTypes"/>
</file>