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Harbour Street Community Garden</w:t>
      </w:r>
    </w:p>
    <w:p>
      <w:pPr>
        <w:pStyle w:val="Subtitle"/>
      </w:pPr>
      <w:r>
        <w:rPr>
          <w:i/>
        </w:rPr>
        <w:t xml:space="preserve">Season report, prepared for the members' meeting</w:t>
      </w:r>
    </w:p>
    <w:p>
      <w:pPr>
        <w:pStyle w:val="Heading1"/>
      </w:pPr>
      <w:r>
        <w:t xml:space="preserve">What we grew</w:t>
      </w:r>
    </w:p>
    <w:p>
      <w:r>
        <w:t xml:space="preserve">This year the garden had twelve raised beds and one shared herb spiral. </w:t>
      </w:r>
      <w:r>
        <w:rPr>
          <w:b/>
        </w:rPr>
        <w:t xml:space="preserve">Every bed was planted by the end of April</w:t>
      </w:r>
      <w:r>
        <w:t xml:space="preserve">, two weeks earlier than last season, because the new water butts meant nobody had to wait for the hose. </w:t>
      </w:r>
      <w:r>
        <w:t xml:space="preserve">Tomatoes did well; courgettes did </w:t>
      </w:r>
      <w:r>
        <w:rPr>
          <w:i/>
        </w:rPr>
        <w:t xml:space="preserve">too</w:t>
      </w:r>
      <w:r>
        <w:t xml:space="preserve"> well.</w:t>
      </w:r>
    </w:p>
    <w:p>
      <w:r>
        <w:t xml:space="preserve">The volunteers agreed on three priorities for the spring:</w:t>
      </w:r>
    </w:p>
    <w:p>
      <w:pPr>
        <w:pStyle w:val="ListParagraph"/>
        <w:numPr>
          <w:ilvl w:val="0"/>
          <w:numId w:val="1"/>
        </w:numPr>
      </w:pPr>
      <w:r>
        <w:t xml:space="preserve">Replace the two rotten bed frames on the north side.</w:t>
      </w:r>
    </w:p>
    <w:p>
      <w:pPr>
        <w:pStyle w:val="ListParagraph"/>
        <w:numPr>
          <w:ilvl w:val="0"/>
          <w:numId w:val="1"/>
        </w:numPr>
      </w:pPr>
      <w:r>
        <w:t xml:space="preserve">Start a seed library, so members can share what they save.</w:t>
      </w:r>
    </w:p>
    <w:p>
      <w:pPr>
        <w:pStyle w:val="ListParagraph"/>
        <w:numPr>
          <w:ilvl w:val="0"/>
          <w:numId w:val="1"/>
        </w:numPr>
      </w:pPr>
      <w:r>
        <w:t xml:space="preserve">Hold an open afternoon in June for the neighbouring school.</w:t>
      </w:r>
    </w:p>
    <w:p>
      <w:pPr>
        <w:pStyle w:val="Heading1"/>
      </w:pPr>
      <w:r>
        <w:t xml:space="preserve">Harvest and hours</w:t>
      </w:r>
    </w:p>
    <w:p>
      <w:r>
        <w:t xml:space="preserve">The table below counts the harvest by crop and the volunteer hours each crop took. Figures are rounded to the nearest kilogram and hour.</w:t>
      </w:r>
    </w:p>
    <w:tbl>
      <w:tblPr>
        <w:tblW w:w="902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8" w:type="dxa"/>
          <w:right w:w="108" w:type="dxa"/>
        </w:tblCellMar>
      </w:tblPr>
      <w:tblGrid>
        <w:gridCol w:w="3009"/>
        <w:gridCol w:w="3009"/>
        <w:gridCol w:w="3009"/>
      </w:tblGrid>
      <w:tr>
        <w:tc>
          <w:tcPr>
            <w:tcW w:w="3009" w:type="dxa"/>
            <w:shd w:val="clear" w:color="auto" w:fill="D9E2F3"/>
          </w:tcPr>
          <w:p>
            <w:pPr>
              <w:spacing w:before="60" w:after="60"/>
            </w:pPr>
            <w:r>
              <w:rPr>
                <w:b/>
              </w:rPr>
              <w:t xml:space="preserve">Crop</w:t>
            </w:r>
          </w:p>
        </w:tc>
        <w:tc>
          <w:tcPr>
            <w:tcW w:w="3009" w:type="dxa"/>
            <w:shd w:val="clear" w:color="auto" w:fill="D9E2F3"/>
          </w:tcPr>
          <w:p>
            <w:pPr>
              <w:spacing w:before="60" w:after="60"/>
            </w:pPr>
            <w:r>
              <w:rPr>
                <w:b/>
              </w:rPr>
              <w:t xml:space="preserve">Harvest (kg)</w:t>
            </w:r>
          </w:p>
        </w:tc>
        <w:tc>
          <w:tcPr>
            <w:tcW w:w="3009" w:type="dxa"/>
            <w:shd w:val="clear" w:color="auto" w:fill="D9E2F3"/>
          </w:tcPr>
          <w:p>
            <w:pPr>
              <w:spacing w:before="60" w:after="60"/>
            </w:pPr>
            <w:r>
              <w:rPr>
                <w:b/>
              </w:rPr>
              <w:t xml:space="preserve">Volunteer hours</w:t>
            </w:r>
          </w:p>
        </w:tc>
      </w:tr>
      <w:tr>
        <w:tc>
          <w:tcPr>
            <w:tcW w:w="3009" w:type="dxa"/>
          </w:tcPr>
          <w:p>
            <w:pPr>
              <w:spacing w:before="60" w:after="60"/>
            </w:pPr>
            <w:r>
              <w:t xml:space="preserve">Tomatoes</w:t>
            </w:r>
          </w:p>
        </w:tc>
        <w:tc>
          <w:tcPr>
            <w:tcW w:w="3009" w:type="dxa"/>
          </w:tcPr>
          <w:p>
            <w:pPr>
              <w:spacing w:before="60" w:after="60"/>
            </w:pPr>
            <w:r>
              <w:t xml:space="preserve">64</w:t>
            </w:r>
          </w:p>
        </w:tc>
        <w:tc>
          <w:tcPr>
            <w:tcW w:w="3009" w:type="dxa"/>
          </w:tcPr>
          <w:p>
            <w:pPr>
              <w:spacing w:before="60" w:after="60"/>
            </w:pPr>
            <w:r>
              <w:t xml:space="preserve">38</w:t>
            </w:r>
          </w:p>
        </w:tc>
      </w:tr>
      <w:tr>
        <w:tc>
          <w:tcPr>
            <w:tcW w:w="3009" w:type="dxa"/>
          </w:tcPr>
          <w:p>
            <w:pPr>
              <w:spacing w:before="60" w:after="60"/>
            </w:pPr>
            <w:r>
              <w:t xml:space="preserve">Courgettes</w:t>
            </w:r>
          </w:p>
        </w:tc>
        <w:tc>
          <w:tcPr>
            <w:tcW w:w="3009" w:type="dxa"/>
          </w:tcPr>
          <w:p>
            <w:pPr>
              <w:spacing w:before="60" w:after="60"/>
            </w:pPr>
            <w:r>
              <w:t xml:space="preserve">91</w:t>
            </w:r>
          </w:p>
        </w:tc>
        <w:tc>
          <w:tcPr>
            <w:tcW w:w="3009" w:type="dxa"/>
          </w:tcPr>
          <w:p>
            <w:pPr>
              <w:spacing w:before="60" w:after="60"/>
            </w:pPr>
            <w:r>
              <w:t xml:space="preserve">17</w:t>
            </w:r>
          </w:p>
        </w:tc>
      </w:tr>
    </w:tbl>
    <w:p>
      <w:pPr>
        <w:spacing w:before="240"/>
      </w:pPr>
      <w:r>
        <w:rPr>
          <w:i/>
        </w:rPr>
        <w:t xml:space="preserve">Next season's plan will be agreed at the March meeting. </w:t>
      </w:r>
      <w:r>
        <w:rPr>
          <w:b/>
        </w:rPr>
        <w:t xml:space="preserve">Bring your seed packets.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lang w:val="en-GB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rFonts w:ascii="Arial" w:hAnsi="Arial" w:cs="Arial"/>
      <w:b/>
      <w:sz w:val="52"/>
      <w:color w:val="1F3864"/>
    </w:rPr>
  </w:style>
  <w:style w:type="paragraph" w:styleId="Subtitle">
    <w:name w:val="Subtitle"/>
    <w:basedOn w:val="Normal"/>
    <w:qFormat/>
    <w:pPr>
      <w:spacing w:after="360"/>
    </w:pPr>
    <w:rPr>
      <w:rFonts w:ascii="Arial" w:hAnsi="Arial" w:cs="Arial"/>
      <w:i/>
      <w:sz w:val="26"/>
      <w:color w:val="595959"/>
    </w:rPr>
  </w:style>
  <w:style w:type="paragraph" w:styleId="Heading1">
    <w:name w:val="heading 1"/>
    <w:basedOn w:val="Normal"/>
    <w:qFormat/>
    <w:pPr>
      <w:keepNext/>
      <w:spacing w:before="360" w:after="120"/>
      <w:outlineLvl w:val="0"/>
    </w:pPr>
    <w:rPr>
      <w:rFonts w:ascii="Arial" w:hAnsi="Arial" w:cs="Arial"/>
      <w:b/>
      <w:sz w:val="32"/>
      <w:color w:val="2F5496"/>
    </w:rPr>
  </w:style>
  <w:style w:type="paragraph" w:styleId="ListParagraph">
    <w:name w:val="List Paragraph"/>
    <w:basedOn w:val="Normal"/>
    <w:qFormat/>
    <w:pPr>
      <w:spacing w:after="60"/>
      <w:ind w:left="720"/>
    </w:pPr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