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outlineLvl w:val="0"/>
        <w:rPr/>
      </w:pPr>
      <w:r>
        <w:rPr/>
        <w:t>Quarterly Report</w:t>
      </w:r>
    </w:p>
    <w:p>
      <w:pPr>
        <w:pStyle w:val="Normal"/>
        <w:bidi w:val="0"/>
        <w:rPr/>
      </w:pPr>
      <w:r>
        <w:rPr/>
        <w:t xml:space="preserve">This synthetic document tests conversion of word processing documents to accessible PDF. It contains headings, a list, a table, an image with alternative text, and a </w:t>
      </w:r>
      <w:hyperlink r:id="rId2" w:tooltip="PDFix website">
        <w:r>
          <w:rPr>
            <w:rStyle w:val="Hyperlink"/>
          </w:rPr>
          <w:t>link to PDFix</w:t>
        </w:r>
      </w:hyperlink>
      <w:r>
        <w:rPr/>
        <w:t>.</w:t>
      </w:r>
    </w:p>
    <w:p>
      <w:pPr>
        <w:pStyle w:val="Normal"/>
        <w:numPr>
          <w:ilvl w:val="0"/>
          <w:numId w:val="0"/>
        </w:numPr>
        <w:bidi w:val="0"/>
        <w:outlineLvl w:val="1"/>
        <w:rPr/>
      </w:pPr>
      <w:r>
        <w:rPr/>
        <w:t>Highlights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Revenue grew in every region.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Two new products were released.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Support response time improved.</w:t>
      </w:r>
    </w:p>
    <w:p>
      <w:pPr>
        <w:pStyle w:val="Normal"/>
        <w:numPr>
          <w:ilvl w:val="0"/>
          <w:numId w:val="0"/>
        </w:numPr>
        <w:bidi w:val="0"/>
        <w:outlineLvl w:val="1"/>
        <w:rPr/>
      </w:pPr>
      <w:r>
        <w:rPr/>
        <w:t>Results by region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Region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rPr/>
            </w:pPr>
            <w:r>
              <w:rPr/>
              <w:t>Revenue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Europe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rPr/>
            </w:pPr>
            <w:r>
              <w:rPr/>
              <w:t>120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Americas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rPr/>
            </w:pPr>
            <w:r>
              <w:rPr/>
              <w:t>95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outlineLvl w:val="1"/>
        <w:rPr/>
      </w:pPr>
      <w:r>
        <w:rPr/>
        <w:t>Chart</w: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inline distT="0" distB="0" distL="0" distR="0">
                <wp:extent cx="1439545" cy="971550"/>
                <wp:effectExtent l="0" t="0" r="0" b="0"/>
                <wp:docPr id="1" name="Chart" title="Gradient chart" descr="Color gradient used as a placeholder char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Chart" descr="Color gradient used as a placeholder chart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439640" cy="971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t" style="width:113.3pt;height:76.45pt;mso-wrap-style:none;v-text-anchor:middle" type="_x0000_t75">
                <v:imagedata r:id="rId4" o:detectmouseclick="t"/>
                <v:stroke color="#3465a4" joinstyle="round" endcap="flat"/>
              </v:shape>
            </w:pict>
          </mc:Fallback>
        </mc:AlternateContent>
      </w:r>
    </w:p>
    <w:p>
      <w:pPr>
        <w:pStyle w:val="Normal"/>
        <w:bidi w:val="0"/>
        <w:rPr/>
      </w:pPr>
      <w:r>
        <w:rPr/>
        <w:t>End of document.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rlito">
    <w:altName w:val="Calibri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rlito" w:hAnsi="Carlito" w:eastAsia="DejaVu Sans" w:cs="DejaVu Sans"/>
      <w:color w:val="auto"/>
      <w:kern w:val="2"/>
      <w:sz w:val="22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dfix.net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Quarterly Report</dc:title>
</cp:coreProperties>
</file>