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Business Case — Adequação Open Finance — Fase 3</w:t>
      </w:r>
    </w:p>
    <w:p>
      <w:pPr>
        <w:pStyle w:val="Subtitle"/>
      </w:pPr>
      <w:r>
        <w:t xml:space="preserve">PRJ-0601 · Programa PRG-02 — Segurança e Conformidade Regulatória · Nortávia Serviços Financeiros S.A. · Sponsor: Lis Andrade (Diretoria de Risco) · Gerente de Projetos indicada: Nina Salgado · Versão 1.2 · 24/07/2026 · Data de status do portfólio: 31/07/2026</w:t>
      </w:r>
    </w:p>
    <w:p>
      <w:pPr>
        <w:pStyle w:val="Heading2"/>
      </w:pPr>
      <w:r>
        <w:t xml:space="preserve">1. Contexto</w:t>
      </w:r>
    </w:p>
    <w:p>
      <w:r>
        <w:t xml:space="preserve">As Fases 1 e 2 do programa de Open Finance entregaram o compartilhamento de dados cadastrais e transacionais e a esteira de consentimento do cliente. A Fase 3 responde ao novo escopo regulatório de iniciação de pagamentos e ao crescimento do volume de chamadas nas APIs de compartilhamento, que já opera acima de 70% da capacidade contratada. Sem a Fase 3, a Nortávia fica exposta a descumprimento de prazo regulatório e à degradação de SLA nas APIs que já estão em produção.</w:t>
      </w:r>
    </w:p>
    <w:p>
      <w:pPr>
        <w:pStyle w:val="Heading2"/>
      </w:pPr>
      <w:r>
        <w:t xml:space="preserve">2. Objetivo</w:t>
      </w:r>
    </w:p>
    <w:p>
      <w:r>
        <w:t xml:space="preserve">Adequar a plataforma de Open Finance ao escopo regulatório da Fase 3 até 30/06/2027, sustentando disponibilidade mínima de 99,7% nas APIs de compartilhamento e de iniciação de pagamento, e reduzindo o tempo médio de resposta do endpoint de consentimento de 840 ms para menos de 300 ms. O projeto entra no portfólio como candidato ao gate G1, categoria run, sob o programa PRG-02.</w:t>
      </w:r>
    </w:p>
    <w:p>
      <w:pPr>
        <w:pStyle w:val="Heading2"/>
      </w:pPr>
      <w:r>
        <w:t xml:space="preserve">3. Escopo</w:t>
      </w:r>
    </w:p>
    <w:p>
      <w:r>
        <w:t xml:space="preserve">Está incluído: implementação das APIs de iniciação de pagamento; reforço do gateway de consentimento; adequação da trilha de auditoria e da retenção de evidências; ciclo de testes de conformidade no ambiente de homologação do regulador; e readequação do portal de gestão de consentimentos do cliente. Não está incluído: substituição do motor antifraude, tratada em PRJ-0203 — Programa Zero Trust, e a migração de cargas analíticas, tratada em PRJ-0301 — Data Lakehouse Corporativo. As duas dependências são registradas como dependências cross-project, não como escopo desta iniciativa.</w:t>
      </w:r>
    </w:p>
    <w:p>
      <w:pPr>
        <w:pStyle w:val="Heading2"/>
      </w:pPr>
      <w:r>
        <w:t xml:space="preserve">4. Benefícios esperados</w:t>
      </w:r>
    </w:p>
    <w:p>
      <w:r>
        <w:t xml:space="preserve">Manutenção da conformidade regulatória, com eliminação de uma exposição a sanção estimada em R$ 12.000.000. Redução de 34% no custo por chamada de API pela consolidação do gateway. Habilitação da jornada de pagamento por iniciação, com receita incremental projetada de R$ 2.100.000 no primeiro ano após o go-live. Redução estimada de 6 pontos percentuais no abandono do onboarding digital, aproveitando os ganhos já medidos em PRJ-0402.</w:t>
      </w:r>
    </w:p>
    <w:p>
      <w:pPr>
        <w:pStyle w:val="Heading2"/>
      </w:pPr>
      <w:r>
        <w:t xml:space="preserve">5. Investimento estimado</w:t>
      </w:r>
    </w:p>
    <w:p>
      <w:r>
        <w:t xml:space="preserve">Investimento total estimado de R$ 5.480.000, distribuído em R$ 3.560.000 de CAPEX (licenças de gateway, ambiente de homologação e desenvolvimento capitalizável) e R$ 1.920.000 de OPEX (equipe de sustentação, testes de conformidade e consultoria de certificação). Desembolso previsto de R$ 1.640.000 em 2026 e R$ 3.840.000 em 2027. Payback estimado em 26 meses a partir do go-live.</w:t>
      </w:r>
    </w:p>
    <w:p>
      <w:pPr>
        <w:pStyle w:val="Heading2"/>
      </w:pPr>
      <w:r>
        <w:t xml:space="preserve">6. Riscos principais</w:t>
      </w:r>
    </w:p>
    <w:p>
      <w:r>
        <w:t xml:space="preserve">R1 — Mudança de escopo regulatório durante a execução (probabilidade média, impacto alto): mitigar com revisão trimestral de baseline e reserva de contingência de 8% do BAC. R2 — Indisponibilidade do ambiente de homologação do regulador (probabilidade média, impacto médio): mitigar antecipando a janela de certificação. R3 — Concorrência de recursos com PRJ-0101 pelo mesmo time de integração (probabilidade alta, impacto alto): mitigar com alocação nomeada e trava de capacidade no plano de recursos. R4 — Atraso na contratação do gateway (probabilidade baixa, impacto alto): mitigar iniciando o processo de compras antes do gate G2.</w:t>
      </w:r>
    </w:p>
    <w:p>
      <w:pPr>
        <w:pStyle w:val="Heading2"/>
      </w:pPr>
      <w:r>
        <w:t xml:space="preserve">7. Recomendação ao comitê</w:t>
      </w:r>
    </w:p>
    <w:p>
      <w:r>
        <w:t xml:space="preserve">Recomenda-se ao Comitê de Portfólio a aprovação do gate G1 — business case aprovado — para PRJ-0601, com autorização de R$ 620.000 para a fase de planejamento e detalhamento de baseline, e o agendamento do gate G2 para 30/09/2026. A liberação do orçamento integral de R$ 5.480.000 fica condicionada à aprovação da baseline em G2. Recomenda-se também registrar as dependências com PRJ-0203 e PRJ-0301 no mapa de dependências do programa antes do G2.</w:t>
      </w:r>
    </w:p>
    <w:p>
      <w:pPr>
        <w:pStyle w:val="Subtitle"/>
      </w:pPr>
      <w:r>
        <w:t xml:space="preserve">Documento de amostra gerado para exercitar o cofre de anexos do PMO Tool. Empresa, pessoas e valores são fictícios e não correspondem a nenhuma organização real.</w:t>
      </w:r>
    </w:p>
    <w:sectPr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40"/>
      <w:outlineLvl w:val="0"/>
    </w:pPr>
    <w:rPr>
      <w:b/>
      <w:color w:val="1F3864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100"/>
      <w:outlineLvl w:val="1"/>
    </w:pPr>
    <w:rPr>
      <w:b/>
      <w:color w:val="2E5496"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spacing w:after="240"/>
    </w:pPr>
    <w:rPr>
      <w:i/>
      <w:color w:val="595959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