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F5C" w:rsidRPr="00A86F5C" w:rsidRDefault="00A86F5C" w:rsidP="00A86F5C">
      <w:pPr>
        <w:tabs>
          <w:tab w:val="left" w:pos="6570"/>
        </w:tabs>
        <w:rPr>
          <w:b/>
          <w:sz w:val="20"/>
          <w:szCs w:val="20"/>
        </w:rPr>
      </w:pPr>
      <w:r>
        <w:rPr>
          <w:b/>
          <w:sz w:val="26"/>
          <w:szCs w:val="26"/>
        </w:rPr>
        <w:tab/>
        <w:t xml:space="preserve">          </w:t>
      </w:r>
      <w:r w:rsidRPr="00A86F5C">
        <w:rPr>
          <w:b/>
          <w:sz w:val="20"/>
          <w:szCs w:val="20"/>
        </w:rPr>
        <w:t>SPH/MDP/FOR /4</w:t>
      </w:r>
      <w:r>
        <w:rPr>
          <w:b/>
          <w:sz w:val="20"/>
          <w:szCs w:val="20"/>
        </w:rPr>
        <w:t>5</w:t>
      </w:r>
      <w:r w:rsidRPr="00A86F5C">
        <w:rPr>
          <w:b/>
          <w:sz w:val="20"/>
          <w:szCs w:val="20"/>
        </w:rPr>
        <w:t>(A)</w:t>
      </w:r>
    </w:p>
    <w:p w:rsidR="004A0381" w:rsidRDefault="004A0381" w:rsidP="004A0381">
      <w:pPr>
        <w:jc w:val="center"/>
        <w:rPr>
          <w:b/>
          <w:sz w:val="26"/>
          <w:szCs w:val="26"/>
        </w:rPr>
      </w:pPr>
      <w:r w:rsidRPr="004A0381">
        <w:rPr>
          <w:b/>
          <w:sz w:val="26"/>
          <w:szCs w:val="26"/>
        </w:rPr>
        <w:t>Percentage  of fully functioning Quality management Units (QMUs) in provincially managed secondary and tertiary level hospitals (Base hospital and upwards)</w:t>
      </w:r>
    </w:p>
    <w:p w:rsidR="00022096" w:rsidRPr="006E6740" w:rsidRDefault="00022096" w:rsidP="00022096">
      <w:pPr>
        <w:keepNext/>
        <w:rPr>
          <w:b/>
        </w:rPr>
      </w:pPr>
      <w:r>
        <w:rPr>
          <w:b/>
        </w:rPr>
        <w:t>District:-                                                         Institution:-                                    Year/Month:-</w:t>
      </w:r>
    </w:p>
    <w:tbl>
      <w:tblPr>
        <w:tblStyle w:val="TableGrid"/>
        <w:tblW w:w="0" w:type="auto"/>
        <w:tblLook w:val="04A0"/>
      </w:tblPr>
      <w:tblGrid>
        <w:gridCol w:w="6048"/>
        <w:gridCol w:w="1618"/>
        <w:gridCol w:w="1910"/>
      </w:tblGrid>
      <w:tr w:rsidR="00FA592D" w:rsidTr="00226816">
        <w:tc>
          <w:tcPr>
            <w:tcW w:w="6048" w:type="dxa"/>
          </w:tcPr>
          <w:p w:rsidR="00FA592D" w:rsidRDefault="00FA592D" w:rsidP="00226816">
            <w:pPr>
              <w:jc w:val="center"/>
            </w:pPr>
            <w:r>
              <w:t>Requirment</w:t>
            </w:r>
          </w:p>
        </w:tc>
        <w:tc>
          <w:tcPr>
            <w:tcW w:w="1618" w:type="dxa"/>
          </w:tcPr>
          <w:p w:rsidR="00FA592D" w:rsidRDefault="00FA592D" w:rsidP="00226816">
            <w:pPr>
              <w:jc w:val="center"/>
            </w:pPr>
            <w:r>
              <w:t>Achieved or not</w:t>
            </w:r>
          </w:p>
        </w:tc>
        <w:tc>
          <w:tcPr>
            <w:tcW w:w="1910" w:type="dxa"/>
          </w:tcPr>
          <w:p w:rsidR="00FA592D" w:rsidRDefault="00FA592D" w:rsidP="00226816">
            <w:pPr>
              <w:jc w:val="center"/>
            </w:pPr>
            <w:r>
              <w:t>If not measures taken</w:t>
            </w:r>
          </w:p>
        </w:tc>
      </w:tr>
      <w:tr w:rsidR="00FA592D" w:rsidTr="00226816">
        <w:trPr>
          <w:trHeight w:val="260"/>
        </w:trPr>
        <w:tc>
          <w:tcPr>
            <w:tcW w:w="6048" w:type="dxa"/>
            <w:vMerge w:val="restart"/>
          </w:tcPr>
          <w:p w:rsidR="00FA592D" w:rsidRPr="00226816" w:rsidRDefault="00FA592D" w:rsidP="00226816">
            <w:pPr>
              <w:ind w:left="180"/>
              <w:rPr>
                <w:b/>
                <w:bCs/>
                <w:u w:val="single"/>
              </w:rPr>
            </w:pPr>
            <w:r w:rsidRPr="00226816">
              <w:rPr>
                <w:u w:val="single"/>
              </w:rPr>
              <w:t xml:space="preserve">Establishment of  Focal Point </w:t>
            </w:r>
          </w:p>
          <w:p w:rsidR="00FA592D" w:rsidRDefault="00FA592D" w:rsidP="00FA592D">
            <w:pPr>
              <w:pStyle w:val="ListParagraph"/>
              <w:spacing w:line="240" w:lineRule="auto"/>
              <w:ind w:left="270"/>
            </w:pPr>
            <w:r w:rsidRPr="00675F1F">
              <w:t xml:space="preserve">Availability of  quality  management unit  for the hospital </w:t>
            </w:r>
          </w:p>
          <w:p w:rsidR="00FA592D" w:rsidRDefault="00FA592D" w:rsidP="00FA592D">
            <w:pPr>
              <w:pStyle w:val="ListParagraph"/>
              <w:spacing w:line="240" w:lineRule="auto"/>
              <w:ind w:left="270"/>
            </w:pPr>
          </w:p>
          <w:p w:rsidR="00FA592D" w:rsidRPr="00FA592D" w:rsidRDefault="00FA592D" w:rsidP="00FA592D">
            <w:pPr>
              <w:pStyle w:val="ListParagraph"/>
              <w:spacing w:line="240" w:lineRule="auto"/>
              <w:ind w:left="270"/>
            </w:pPr>
            <w:r w:rsidRPr="00675F1F">
              <w:t>Focal point for healthcare quality and safety programme in place (To be identified by Head of Institution)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A592D" w:rsidRDefault="00FA592D" w:rsidP="00300DD7"/>
        </w:tc>
        <w:tc>
          <w:tcPr>
            <w:tcW w:w="19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A592D" w:rsidRDefault="00FA592D" w:rsidP="00300DD7"/>
        </w:tc>
      </w:tr>
      <w:tr w:rsidR="00FA592D" w:rsidTr="00226816">
        <w:trPr>
          <w:trHeight w:val="530"/>
        </w:trPr>
        <w:tc>
          <w:tcPr>
            <w:tcW w:w="6048" w:type="dxa"/>
            <w:vMerge/>
          </w:tcPr>
          <w:p w:rsidR="00FA592D" w:rsidRPr="00932CC3" w:rsidRDefault="00FA592D" w:rsidP="00300DD7">
            <w:pPr>
              <w:pStyle w:val="ListParagraph"/>
              <w:numPr>
                <w:ilvl w:val="0"/>
                <w:numId w:val="1"/>
              </w:numPr>
              <w:ind w:left="270" w:hanging="180"/>
              <w:rPr>
                <w:b/>
                <w:bCs/>
              </w:rPr>
            </w:pP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</w:tcPr>
          <w:p w:rsidR="00FA592D" w:rsidRDefault="00FA592D" w:rsidP="00300DD7"/>
        </w:tc>
        <w:tc>
          <w:tcPr>
            <w:tcW w:w="1910" w:type="dxa"/>
            <w:tcBorders>
              <w:top w:val="single" w:sz="4" w:space="0" w:color="auto"/>
            </w:tcBorders>
          </w:tcPr>
          <w:p w:rsidR="00FA592D" w:rsidRDefault="00FA592D" w:rsidP="00300DD7"/>
        </w:tc>
      </w:tr>
      <w:tr w:rsidR="00FA592D" w:rsidTr="006B38A6">
        <w:trPr>
          <w:trHeight w:val="602"/>
        </w:trPr>
        <w:tc>
          <w:tcPr>
            <w:tcW w:w="6048" w:type="dxa"/>
            <w:vMerge/>
          </w:tcPr>
          <w:p w:rsidR="00FA592D" w:rsidRDefault="00FA592D" w:rsidP="00300DD7">
            <w:pPr>
              <w:pStyle w:val="ListParagraph"/>
              <w:numPr>
                <w:ilvl w:val="0"/>
                <w:numId w:val="2"/>
              </w:numPr>
              <w:ind w:left="270" w:hanging="270"/>
            </w:pPr>
          </w:p>
        </w:tc>
        <w:tc>
          <w:tcPr>
            <w:tcW w:w="1618" w:type="dxa"/>
            <w:tcBorders>
              <w:top w:val="single" w:sz="4" w:space="0" w:color="auto"/>
            </w:tcBorders>
          </w:tcPr>
          <w:p w:rsidR="00FA592D" w:rsidRDefault="00FA592D" w:rsidP="00300DD7"/>
        </w:tc>
        <w:tc>
          <w:tcPr>
            <w:tcW w:w="1910" w:type="dxa"/>
          </w:tcPr>
          <w:p w:rsidR="00FA592D" w:rsidRDefault="00FA592D" w:rsidP="00300DD7"/>
        </w:tc>
      </w:tr>
      <w:tr w:rsidR="00FA592D" w:rsidTr="00226816">
        <w:trPr>
          <w:trHeight w:val="540"/>
        </w:trPr>
        <w:tc>
          <w:tcPr>
            <w:tcW w:w="6048" w:type="dxa"/>
            <w:vMerge w:val="restart"/>
          </w:tcPr>
          <w:p w:rsidR="00FA592D" w:rsidRDefault="00226816" w:rsidP="00300DD7">
            <w:pPr>
              <w:rPr>
                <w:u w:val="single"/>
              </w:rPr>
            </w:pPr>
            <w:r>
              <w:t xml:space="preserve">   </w:t>
            </w:r>
            <w:r w:rsidR="00FA592D">
              <w:t xml:space="preserve"> </w:t>
            </w:r>
            <w:r w:rsidR="00FA592D" w:rsidRPr="00FA592D">
              <w:rPr>
                <w:u w:val="single"/>
              </w:rPr>
              <w:t>Performance Review Meetings</w:t>
            </w:r>
          </w:p>
          <w:p w:rsidR="00FA592D" w:rsidRDefault="00FA592D" w:rsidP="00300DD7">
            <w:r>
              <w:t xml:space="preserve">     </w:t>
            </w:r>
            <w:r w:rsidRPr="00675F1F">
              <w:t>Performance review meetings convened</w:t>
            </w:r>
            <w:r>
              <w:t xml:space="preserve"> -………….</w:t>
            </w:r>
          </w:p>
          <w:p w:rsidR="00FA592D" w:rsidRPr="00FA592D" w:rsidRDefault="00FA592D" w:rsidP="00FA592D">
            <w:pPr>
              <w:ind w:left="270" w:hanging="270"/>
              <w:rPr>
                <w:u w:val="single"/>
              </w:rPr>
            </w:pPr>
            <w:r>
              <w:t xml:space="preserve">     </w:t>
            </w:r>
            <w:r w:rsidRPr="00675F1F">
              <w:t xml:space="preserve">One performance review meeting conducted during the </w:t>
            </w:r>
            <w:r>
              <w:t xml:space="preserve">    </w:t>
            </w:r>
            <w:r w:rsidRPr="00675F1F">
              <w:t>past three months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FA592D" w:rsidRDefault="00FA592D" w:rsidP="00300DD7"/>
        </w:tc>
        <w:tc>
          <w:tcPr>
            <w:tcW w:w="1910" w:type="dxa"/>
            <w:shd w:val="clear" w:color="auto" w:fill="BFBFBF" w:themeFill="background1" w:themeFillShade="BF"/>
          </w:tcPr>
          <w:p w:rsidR="00FA592D" w:rsidRDefault="00FA592D" w:rsidP="00300DD7"/>
        </w:tc>
      </w:tr>
      <w:tr w:rsidR="00FA592D" w:rsidTr="00226816">
        <w:trPr>
          <w:trHeight w:val="540"/>
        </w:trPr>
        <w:tc>
          <w:tcPr>
            <w:tcW w:w="6048" w:type="dxa"/>
            <w:vMerge/>
          </w:tcPr>
          <w:p w:rsidR="00FA592D" w:rsidRDefault="00FA592D" w:rsidP="00300DD7"/>
        </w:tc>
        <w:tc>
          <w:tcPr>
            <w:tcW w:w="1618" w:type="dxa"/>
          </w:tcPr>
          <w:p w:rsidR="00FA592D" w:rsidRDefault="00FA592D" w:rsidP="00300DD7"/>
        </w:tc>
        <w:tc>
          <w:tcPr>
            <w:tcW w:w="1910" w:type="dxa"/>
          </w:tcPr>
          <w:p w:rsidR="00FA592D" w:rsidRDefault="00FA592D" w:rsidP="00300DD7"/>
        </w:tc>
      </w:tr>
      <w:tr w:rsidR="00FA592D" w:rsidTr="00226816">
        <w:trPr>
          <w:trHeight w:val="285"/>
        </w:trPr>
        <w:tc>
          <w:tcPr>
            <w:tcW w:w="6048" w:type="dxa"/>
            <w:vMerge w:val="restart"/>
          </w:tcPr>
          <w:p w:rsidR="00FA592D" w:rsidRDefault="00FA592D" w:rsidP="00300DD7">
            <w:pPr>
              <w:ind w:left="360" w:hanging="180"/>
              <w:rPr>
                <w:u w:val="single"/>
              </w:rPr>
            </w:pPr>
            <w:r w:rsidRPr="00FA592D">
              <w:rPr>
                <w:u w:val="single"/>
              </w:rPr>
              <w:t>Development of  Work Improvement Teams</w:t>
            </w:r>
          </w:p>
          <w:p w:rsidR="00FA592D" w:rsidRDefault="00FA592D" w:rsidP="00300DD7">
            <w:pPr>
              <w:ind w:left="360" w:hanging="180"/>
              <w:rPr>
                <w:sz w:val="20"/>
                <w:szCs w:val="20"/>
              </w:rPr>
            </w:pPr>
            <w:r w:rsidRPr="00FA592D">
              <w:rPr>
                <w:sz w:val="20"/>
                <w:szCs w:val="20"/>
              </w:rPr>
              <w:t xml:space="preserve">Availability of functioning unit wise  Work Improvement Teams  </w:t>
            </w:r>
          </w:p>
          <w:p w:rsidR="00FA592D" w:rsidRDefault="00FA592D" w:rsidP="00300DD7">
            <w:pPr>
              <w:ind w:left="360" w:hanging="180"/>
            </w:pPr>
          </w:p>
          <w:p w:rsidR="00FA592D" w:rsidRPr="00FA592D" w:rsidRDefault="00FA592D" w:rsidP="00300DD7">
            <w:pPr>
              <w:ind w:left="360" w:hanging="180"/>
              <w:rPr>
                <w:sz w:val="20"/>
                <w:szCs w:val="20"/>
                <w:u w:val="single"/>
              </w:rPr>
            </w:pPr>
            <w:r w:rsidRPr="00675F1F">
              <w:t>20% of the functioning WITs established in a hospital (Every year to be increased by 20%)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A592D" w:rsidRDefault="00FA592D" w:rsidP="00300DD7"/>
        </w:tc>
        <w:tc>
          <w:tcPr>
            <w:tcW w:w="19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A592D" w:rsidRDefault="00FA592D" w:rsidP="00300DD7"/>
        </w:tc>
      </w:tr>
      <w:tr w:rsidR="00FA592D" w:rsidTr="00226816">
        <w:trPr>
          <w:trHeight w:val="350"/>
        </w:trPr>
        <w:tc>
          <w:tcPr>
            <w:tcW w:w="6048" w:type="dxa"/>
            <w:vMerge/>
          </w:tcPr>
          <w:p w:rsidR="00FA592D" w:rsidRPr="006E6740" w:rsidRDefault="00FA592D" w:rsidP="00300DD7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270" w:hanging="180"/>
            </w:pP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</w:tcPr>
          <w:p w:rsidR="00FA592D" w:rsidRDefault="00FA592D" w:rsidP="00300DD7"/>
        </w:tc>
        <w:tc>
          <w:tcPr>
            <w:tcW w:w="1910" w:type="dxa"/>
            <w:tcBorders>
              <w:top w:val="single" w:sz="4" w:space="0" w:color="auto"/>
            </w:tcBorders>
          </w:tcPr>
          <w:p w:rsidR="00FA592D" w:rsidRDefault="00FA592D" w:rsidP="00300DD7"/>
        </w:tc>
      </w:tr>
      <w:tr w:rsidR="00FA592D" w:rsidTr="00226816">
        <w:trPr>
          <w:trHeight w:val="210"/>
        </w:trPr>
        <w:tc>
          <w:tcPr>
            <w:tcW w:w="6048" w:type="dxa"/>
            <w:vMerge/>
          </w:tcPr>
          <w:p w:rsidR="00FA592D" w:rsidRPr="006E6740" w:rsidRDefault="00FA592D" w:rsidP="00300DD7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270" w:hanging="180"/>
            </w:pPr>
          </w:p>
        </w:tc>
        <w:tc>
          <w:tcPr>
            <w:tcW w:w="1618" w:type="dxa"/>
            <w:tcBorders>
              <w:top w:val="single" w:sz="4" w:space="0" w:color="auto"/>
            </w:tcBorders>
          </w:tcPr>
          <w:p w:rsidR="00FA592D" w:rsidRDefault="00FA592D" w:rsidP="00300DD7"/>
        </w:tc>
        <w:tc>
          <w:tcPr>
            <w:tcW w:w="1910" w:type="dxa"/>
          </w:tcPr>
          <w:p w:rsidR="00FA592D" w:rsidRDefault="00FA592D" w:rsidP="00300DD7"/>
        </w:tc>
      </w:tr>
      <w:tr w:rsidR="00226816" w:rsidTr="00226816">
        <w:trPr>
          <w:trHeight w:val="518"/>
        </w:trPr>
        <w:tc>
          <w:tcPr>
            <w:tcW w:w="6048" w:type="dxa"/>
            <w:vMerge w:val="restart"/>
          </w:tcPr>
          <w:p w:rsidR="00226816" w:rsidRDefault="00226816" w:rsidP="00226816">
            <w:pPr>
              <w:pStyle w:val="ListParagraph"/>
              <w:ind w:left="270"/>
              <w:rPr>
                <w:u w:val="single"/>
              </w:rPr>
            </w:pPr>
            <w:r w:rsidRPr="00226816">
              <w:rPr>
                <w:u w:val="single"/>
              </w:rPr>
              <w:t>Assessment of customer Satisfaction</w:t>
            </w:r>
          </w:p>
          <w:p w:rsidR="00226816" w:rsidRPr="00226816" w:rsidRDefault="00226816" w:rsidP="00226816">
            <w:pPr>
              <w:pStyle w:val="ListParagraph"/>
              <w:ind w:left="270"/>
              <w:rPr>
                <w:u w:val="single"/>
              </w:rPr>
            </w:pPr>
            <w:r w:rsidRPr="00675F1F">
              <w:t>Customer Satisfaction Survey conducted</w:t>
            </w:r>
            <w:r>
              <w:t xml:space="preserve"> -…………….</w:t>
            </w:r>
          </w:p>
          <w:p w:rsidR="00226816" w:rsidRPr="00226816" w:rsidRDefault="00226816" w:rsidP="00226816">
            <w:pPr>
              <w:pStyle w:val="ListParagraph"/>
              <w:ind w:left="270"/>
              <w:rPr>
                <w:u w:val="single"/>
              </w:rPr>
            </w:pPr>
            <w:r w:rsidRPr="00675F1F">
              <w:t>At least one customer satisfaction Survey conducted  per year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226816" w:rsidRDefault="00226816" w:rsidP="00300DD7"/>
        </w:tc>
        <w:tc>
          <w:tcPr>
            <w:tcW w:w="1910" w:type="dxa"/>
            <w:shd w:val="clear" w:color="auto" w:fill="BFBFBF" w:themeFill="background1" w:themeFillShade="BF"/>
          </w:tcPr>
          <w:p w:rsidR="00226816" w:rsidRDefault="00226816" w:rsidP="00300DD7"/>
        </w:tc>
      </w:tr>
      <w:tr w:rsidR="00226816" w:rsidTr="00226816">
        <w:trPr>
          <w:trHeight w:val="517"/>
        </w:trPr>
        <w:tc>
          <w:tcPr>
            <w:tcW w:w="6048" w:type="dxa"/>
            <w:vMerge/>
          </w:tcPr>
          <w:p w:rsidR="00226816" w:rsidRPr="00226816" w:rsidRDefault="00226816" w:rsidP="00226816">
            <w:pPr>
              <w:pStyle w:val="ListParagraph"/>
              <w:ind w:left="270"/>
              <w:rPr>
                <w:u w:val="single"/>
              </w:rPr>
            </w:pPr>
          </w:p>
        </w:tc>
        <w:tc>
          <w:tcPr>
            <w:tcW w:w="1618" w:type="dxa"/>
          </w:tcPr>
          <w:p w:rsidR="00226816" w:rsidRDefault="00226816" w:rsidP="00300DD7"/>
        </w:tc>
        <w:tc>
          <w:tcPr>
            <w:tcW w:w="1910" w:type="dxa"/>
          </w:tcPr>
          <w:p w:rsidR="00226816" w:rsidRDefault="00226816" w:rsidP="00300DD7"/>
        </w:tc>
      </w:tr>
      <w:tr w:rsidR="00226816" w:rsidTr="00D935B6">
        <w:trPr>
          <w:trHeight w:val="260"/>
        </w:trPr>
        <w:tc>
          <w:tcPr>
            <w:tcW w:w="6048" w:type="dxa"/>
            <w:vMerge w:val="restart"/>
          </w:tcPr>
          <w:p w:rsidR="00226816" w:rsidRDefault="00226816" w:rsidP="00226816">
            <w:pPr>
              <w:pStyle w:val="ListParagraph"/>
              <w:spacing w:after="0" w:line="240" w:lineRule="auto"/>
              <w:ind w:left="270"/>
              <w:rPr>
                <w:u w:val="single"/>
              </w:rPr>
            </w:pPr>
            <w:r w:rsidRPr="00226816">
              <w:rPr>
                <w:u w:val="single"/>
              </w:rPr>
              <w:t>Capacity Building</w:t>
            </w:r>
          </w:p>
          <w:p w:rsidR="00226816" w:rsidRDefault="00226816" w:rsidP="00226816">
            <w:pPr>
              <w:pStyle w:val="ListParagraph"/>
              <w:spacing w:after="0" w:line="240" w:lineRule="auto"/>
              <w:ind w:left="270"/>
            </w:pPr>
            <w:r w:rsidRPr="00675F1F">
              <w:t>Staff training on quality and safety healthcare</w:t>
            </w:r>
          </w:p>
          <w:p w:rsidR="00226816" w:rsidRPr="00226816" w:rsidRDefault="00226816" w:rsidP="00226816">
            <w:pPr>
              <w:pStyle w:val="ListParagraph"/>
              <w:spacing w:after="0" w:line="240" w:lineRule="auto"/>
              <w:ind w:left="270"/>
              <w:rPr>
                <w:u w:val="single"/>
              </w:rPr>
            </w:pPr>
            <w:r w:rsidRPr="00675F1F">
              <w:t>At least 1 in-service training programmes  per year in quality and safety in healthcare conducted for WIT leaders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226816" w:rsidRDefault="00226816" w:rsidP="00300DD7"/>
        </w:tc>
        <w:tc>
          <w:tcPr>
            <w:tcW w:w="1910" w:type="dxa"/>
            <w:shd w:val="clear" w:color="auto" w:fill="BFBFBF" w:themeFill="background1" w:themeFillShade="BF"/>
          </w:tcPr>
          <w:p w:rsidR="00226816" w:rsidRDefault="00226816" w:rsidP="00300DD7"/>
        </w:tc>
      </w:tr>
      <w:tr w:rsidR="00226816" w:rsidTr="00D935B6">
        <w:trPr>
          <w:trHeight w:val="260"/>
        </w:trPr>
        <w:tc>
          <w:tcPr>
            <w:tcW w:w="6048" w:type="dxa"/>
            <w:vMerge/>
          </w:tcPr>
          <w:p w:rsidR="00226816" w:rsidRPr="00226816" w:rsidRDefault="00226816" w:rsidP="00226816">
            <w:pPr>
              <w:pStyle w:val="ListParagraph"/>
              <w:spacing w:after="0" w:line="240" w:lineRule="auto"/>
              <w:ind w:left="270"/>
              <w:rPr>
                <w:u w:val="single"/>
              </w:rPr>
            </w:pPr>
          </w:p>
        </w:tc>
        <w:tc>
          <w:tcPr>
            <w:tcW w:w="1618" w:type="dxa"/>
          </w:tcPr>
          <w:p w:rsidR="00226816" w:rsidRDefault="00226816" w:rsidP="00300DD7"/>
        </w:tc>
        <w:tc>
          <w:tcPr>
            <w:tcW w:w="1910" w:type="dxa"/>
          </w:tcPr>
          <w:p w:rsidR="00226816" w:rsidRDefault="00226816" w:rsidP="00300DD7"/>
        </w:tc>
      </w:tr>
      <w:tr w:rsidR="00226816" w:rsidTr="00226816">
        <w:trPr>
          <w:trHeight w:val="360"/>
        </w:trPr>
        <w:tc>
          <w:tcPr>
            <w:tcW w:w="6048" w:type="dxa"/>
            <w:vMerge/>
          </w:tcPr>
          <w:p w:rsidR="00226816" w:rsidRPr="00226816" w:rsidRDefault="00226816" w:rsidP="00226816">
            <w:pPr>
              <w:pStyle w:val="ListParagraph"/>
              <w:spacing w:after="0" w:line="240" w:lineRule="auto"/>
              <w:ind w:left="270"/>
              <w:rPr>
                <w:u w:val="single"/>
              </w:rPr>
            </w:pPr>
          </w:p>
        </w:tc>
        <w:tc>
          <w:tcPr>
            <w:tcW w:w="1618" w:type="dxa"/>
          </w:tcPr>
          <w:p w:rsidR="00226816" w:rsidRDefault="00226816" w:rsidP="00300DD7"/>
        </w:tc>
        <w:tc>
          <w:tcPr>
            <w:tcW w:w="1910" w:type="dxa"/>
          </w:tcPr>
          <w:p w:rsidR="00226816" w:rsidRDefault="00226816" w:rsidP="00300DD7"/>
        </w:tc>
      </w:tr>
    </w:tbl>
    <w:p w:rsidR="00D66B49" w:rsidRDefault="00D66B49"/>
    <w:p w:rsidR="00FA592D" w:rsidRDefault="00E0045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5.95pt;margin-top:12.2pt;width:525.95pt;height:137.6pt;z-index:251658240;mso-height-percent:200;mso-height-percent:200;mso-width-relative:margin;mso-height-relative:margin" stroked="f">
            <v:textbox style="mso-fit-shape-to-text:t">
              <w:txbxContent>
                <w:p w:rsidR="00022096" w:rsidRDefault="00022096" w:rsidP="00022096">
                  <w:pPr>
                    <w:pStyle w:val="Header"/>
                    <w:spacing w:line="360" w:lineRule="auto"/>
                  </w:pPr>
                  <w:r>
                    <w:t>Officer In Charge-</w:t>
                  </w:r>
                  <w:r w:rsidRPr="004B6C74">
                    <w:t xml:space="preserve"> </w:t>
                  </w:r>
                  <w:r>
                    <w:t xml:space="preserve">Name: -  </w:t>
                  </w:r>
                </w:p>
                <w:p w:rsidR="00022096" w:rsidRDefault="00022096" w:rsidP="00022096">
                  <w:pPr>
                    <w:pStyle w:val="Header"/>
                    <w:spacing w:line="360" w:lineRule="auto"/>
                  </w:pPr>
                  <w:r>
                    <w:t xml:space="preserve">                                 Contact No: -  </w:t>
                  </w:r>
                </w:p>
                <w:p w:rsidR="00022096" w:rsidRDefault="00022096" w:rsidP="00022096">
                  <w:pPr>
                    <w:pStyle w:val="Header"/>
                    <w:spacing w:line="360" w:lineRule="auto"/>
                  </w:pPr>
                  <w:r>
                    <w:t xml:space="preserve">                                 Signature:- </w:t>
                  </w:r>
                </w:p>
                <w:p w:rsidR="00022096" w:rsidRDefault="00022096" w:rsidP="00022096">
                  <w:pPr>
                    <w:pStyle w:val="Header"/>
                    <w:spacing w:line="360" w:lineRule="auto"/>
                  </w:pPr>
                  <w:r>
                    <w:t xml:space="preserve">                                 Date:- </w:t>
                  </w:r>
                </w:p>
                <w:p w:rsidR="00022096" w:rsidRPr="004B6C74" w:rsidRDefault="00022096" w:rsidP="00022096">
                  <w:pPr>
                    <w:pStyle w:val="Header"/>
                    <w:numPr>
                      <w:ilvl w:val="0"/>
                      <w:numId w:val="5"/>
                    </w:numPr>
                    <w:rPr>
                      <w:b/>
                      <w:bCs/>
                      <w:sz w:val="20"/>
                      <w:szCs w:val="20"/>
                    </w:rPr>
                  </w:pPr>
                  <w:r w:rsidRPr="004B6C74">
                    <w:rPr>
                      <w:b/>
                      <w:bCs/>
                      <w:sz w:val="20"/>
                      <w:szCs w:val="20"/>
                    </w:rPr>
                    <w:t>To be filled in triplicate and send one copy to relevant RDHS. One copy to PDHS on or before 10</w:t>
                  </w:r>
                  <w:r w:rsidRPr="004B6C74">
                    <w:rPr>
                      <w:b/>
                      <w:bCs/>
                      <w:sz w:val="20"/>
                      <w:szCs w:val="20"/>
                      <w:vertAlign w:val="superscript"/>
                    </w:rPr>
                    <w:t>th</w:t>
                  </w:r>
                  <w:r w:rsidRPr="004B6C74">
                    <w:rPr>
                      <w:b/>
                      <w:bCs/>
                      <w:sz w:val="20"/>
                      <w:szCs w:val="20"/>
                    </w:rPr>
                    <w:t xml:space="preserve"> of next month.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O</w:t>
                  </w:r>
                  <w:r w:rsidRPr="004B6C74">
                    <w:rPr>
                      <w:b/>
                      <w:bCs/>
                      <w:sz w:val="20"/>
                      <w:szCs w:val="20"/>
                    </w:rPr>
                    <w:t>ther copy remai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n</w:t>
                  </w:r>
                  <w:r w:rsidRPr="004B6C74">
                    <w:rPr>
                      <w:b/>
                      <w:bCs/>
                      <w:sz w:val="20"/>
                      <w:szCs w:val="20"/>
                    </w:rPr>
                    <w:t xml:space="preserve"> in the office.</w:t>
                  </w:r>
                </w:p>
                <w:p w:rsidR="00022096" w:rsidRDefault="00022096" w:rsidP="00022096"/>
              </w:txbxContent>
            </v:textbox>
          </v:shape>
        </w:pict>
      </w:r>
    </w:p>
    <w:sectPr w:rsidR="00FA592D" w:rsidSect="00D66B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74A8" w:rsidRDefault="00D474A8" w:rsidP="006B38A6">
      <w:pPr>
        <w:spacing w:after="0" w:line="240" w:lineRule="auto"/>
      </w:pPr>
      <w:r>
        <w:separator/>
      </w:r>
    </w:p>
  </w:endnote>
  <w:endnote w:type="continuationSeparator" w:id="1">
    <w:p w:rsidR="00D474A8" w:rsidRDefault="00D474A8" w:rsidP="006B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C57" w:rsidRDefault="00166C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C57" w:rsidRDefault="00166C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C57" w:rsidRDefault="00166C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74A8" w:rsidRDefault="00D474A8" w:rsidP="006B38A6">
      <w:pPr>
        <w:spacing w:after="0" w:line="240" w:lineRule="auto"/>
      </w:pPr>
      <w:r>
        <w:separator/>
      </w:r>
    </w:p>
  </w:footnote>
  <w:footnote w:type="continuationSeparator" w:id="1">
    <w:p w:rsidR="00D474A8" w:rsidRDefault="00D474A8" w:rsidP="006B3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C57" w:rsidRDefault="00166C5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8A6" w:rsidRDefault="00166C57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6145" type="#_x0000_t202" style="position:absolute;margin-left:42.65pt;margin-top:15.7pt;width:132.2pt;height:32.65pt;z-index:251658240;mso-height-percent:200;mso-height-percent:200;mso-width-relative:margin;mso-height-relative:margin" stroked="f">
          <v:textbox style="mso-fit-shape-to-text:t">
            <w:txbxContent>
              <w:p w:rsidR="00166C57" w:rsidRDefault="00166C57" w:rsidP="00166C57">
                <w:r>
                  <w:t>PDHS Southern Province</w:t>
                </w:r>
              </w:p>
            </w:txbxContent>
          </v:textbox>
        </v:shape>
      </w:pict>
    </w:r>
    <w:r w:rsidR="006B38A6" w:rsidRPr="006B38A6">
      <w:drawing>
        <wp:inline distT="0" distB="0" distL="0" distR="0">
          <wp:extent cx="514350" cy="727514"/>
          <wp:effectExtent l="19050" t="0" r="0" b="0"/>
          <wp:docPr id="4" name="Picture 1" descr="C:\Users\netcom\Downloads\CAR PA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tcom\Downloads\CAR PAS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583" cy="7278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C57" w:rsidRDefault="00166C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D65"/>
    <w:multiLevelType w:val="hybridMultilevel"/>
    <w:tmpl w:val="29EA644C"/>
    <w:lvl w:ilvl="0" w:tplc="7FF4509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397410E"/>
    <w:multiLevelType w:val="hybridMultilevel"/>
    <w:tmpl w:val="6B4CD806"/>
    <w:lvl w:ilvl="0" w:tplc="58D09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A524D34">
      <w:start w:val="2"/>
      <w:numFmt w:val="decimal"/>
      <w:lvlText w:val="%3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FD25DF"/>
    <w:multiLevelType w:val="hybridMultilevel"/>
    <w:tmpl w:val="105A948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1562084"/>
    <w:multiLevelType w:val="hybridMultilevel"/>
    <w:tmpl w:val="20E0839C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63A8727E"/>
    <w:multiLevelType w:val="hybridMultilevel"/>
    <w:tmpl w:val="597C7938"/>
    <w:lvl w:ilvl="0" w:tplc="58D09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A0381"/>
    <w:rsid w:val="00022096"/>
    <w:rsid w:val="00135AE9"/>
    <w:rsid w:val="00166C57"/>
    <w:rsid w:val="00226816"/>
    <w:rsid w:val="004A0381"/>
    <w:rsid w:val="006B38A6"/>
    <w:rsid w:val="00752EA8"/>
    <w:rsid w:val="007843AE"/>
    <w:rsid w:val="00A86F5C"/>
    <w:rsid w:val="00D474A8"/>
    <w:rsid w:val="00D66B49"/>
    <w:rsid w:val="00D935B6"/>
    <w:rsid w:val="00E00450"/>
    <w:rsid w:val="00F9420E"/>
    <w:rsid w:val="00FA5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59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92D"/>
    <w:pPr>
      <w:spacing w:after="160" w:line="259" w:lineRule="auto"/>
      <w:ind w:left="720"/>
      <w:contextualSpacing/>
    </w:pPr>
    <w:rPr>
      <w:rFonts w:eastAsiaTheme="minorHAnsi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022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096"/>
  </w:style>
  <w:style w:type="paragraph" w:styleId="Footer">
    <w:name w:val="footer"/>
    <w:basedOn w:val="Normal"/>
    <w:link w:val="FooterChar"/>
    <w:uiPriority w:val="99"/>
    <w:semiHidden/>
    <w:unhideWhenUsed/>
    <w:rsid w:val="006B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38A6"/>
  </w:style>
  <w:style w:type="paragraph" w:styleId="BalloonText">
    <w:name w:val="Balloon Text"/>
    <w:basedOn w:val="Normal"/>
    <w:link w:val="BalloonTextChar"/>
    <w:uiPriority w:val="99"/>
    <w:semiHidden/>
    <w:unhideWhenUsed/>
    <w:rsid w:val="006B3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8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netcom</dc:creator>
  <cp:keywords/>
  <dc:description/>
  <cp:lastModifiedBy>netcom</cp:lastModifiedBy>
  <cp:revision>7</cp:revision>
  <dcterms:created xsi:type="dcterms:W3CDTF">2014-04-11T02:06:00Z</dcterms:created>
  <dcterms:modified xsi:type="dcterms:W3CDTF">2014-04-25T06:18:00Z</dcterms:modified>
</cp:coreProperties>
</file>