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5FA3"/>
          <w:sz w:val="58"/>
          <w:szCs w:val="58"/>
        </w:rPr>
        <w:t xml:space="preserve">Ablation Study Design</w:t>
      </w:r>
    </w:p>
    <w:p>
      <w:pPr>
        <w:spacing w:before="0" w:after="80"/>
        <w:jc w:val="center"/>
      </w:pPr>
      <w:r>
        <w:rPr>
          <w:rFonts w:ascii="Arial" w:cs="Arial" w:eastAsia="Arial" w:hAnsi="Arial"/>
          <w:color w:val="444444"/>
          <w:sz w:val="30"/>
          <w:szCs w:val="30"/>
        </w:rPr>
        <w:t xml:space="preserve">AI Model Comparison for PyTorch-to-JAX Code Translation</w:t>
      </w:r>
    </w:p>
    <w:p>
      <w:pPr>
        <w:spacing w:before="0" w:after="80"/>
        <w:jc w:val="center"/>
      </w:pPr>
      <w:r>
        <w:rPr>
          <w:rFonts w:ascii="Arial" w:cs="Arial" w:eastAsia="Arial" w:hAnsi="Arial"/>
          <w:i/>
          <w:iCs/>
          <w:color w:val="888888"/>
          <w:sz w:val="22"/>
          <w:szCs w:val="22"/>
        </w:rPr>
        <w:t xml:space="preserve">Version 1.0  |  February 2026</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1. Motivation</w:t>
      </w:r>
    </w:p>
    <w:p>
      <w:pPr>
        <w:spacing w:before="60" w:after="60"/>
      </w:pPr>
      <w:r>
        <w:rPr>
          <w:rFonts w:ascii="Arial" w:cs="Arial" w:eastAsia="Arial" w:hAnsi="Arial"/>
          <w:sz w:val="22"/>
          <w:szCs w:val="22"/>
        </w:rPr>
        <w:t xml:space="preserve">This study evaluates the capability of four AI models — three commercial and one open source — to translate PyTorch training code to JAX across varying complexity levels. The database of translated examples is the primary artifact, and the study provides evidence about which models can execute the translation pipeline reliably, what their characteristic failure modes are, and how close open source models come to commercial performance on this task.</w:t>
      </w:r>
    </w:p>
    <w:p>
      <w:pPr>
        <w:spacing w:before="60" w:after="60"/>
      </w:pPr>
      <w:r>
        <w:t xml:space="preserve"/>
      </w:r>
    </w:p>
    <w:p>
      <w:pPr>
        <w:spacing w:before="60" w:after="60"/>
      </w:pPr>
      <w:r>
        <w:rPr>
          <w:rFonts w:ascii="Arial" w:cs="Arial" w:eastAsia="Arial" w:hAnsi="Arial"/>
          <w:sz w:val="22"/>
          <w:szCs w:val="22"/>
        </w:rPr>
        <w:t xml:space="preserve">The findings serve two purposes. First, they justify the choice of model used in the Standard Operating Procedure (SOP). Second, they provide a reusable benchmark methodology that can be re-run as models evolve, since model capabilities are updated rapidly and any specific ranking is a snapshot in time.</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2. Research Question</w:t>
      </w:r>
    </w:p>
    <w:p>
      <w:pPr>
        <w:spacing w:before="60" w:after="60"/>
      </w:pPr>
      <w:r>
        <w:t xml:space="preserve"/>
      </w:r>
    </w:p>
    <w:p>
      <w:pPr>
        <w:spacing w:before="60" w:after="60"/>
      </w:pPr>
      <w:r>
        <w:rPr>
          <w:rFonts w:ascii="Arial" w:cs="Arial" w:eastAsia="Arial" w:hAnsi="Arial"/>
          <w:b/>
          <w:bCs/>
          <w:sz w:val="22"/>
          <w:szCs w:val="22"/>
        </w:rPr>
        <w:t xml:space="preserve">Primary question:</w:t>
      </w:r>
    </w:p>
    <w:p>
      <w:pPr>
        <w:spacing w:before="60" w:after="60"/>
      </w:pPr>
      <w:r>
        <w:rPr>
          <w:rFonts w:ascii="Arial" w:cs="Arial" w:eastAsia="Arial" w:hAnsi="Arial"/>
          <w:sz w:val="22"/>
          <w:szCs w:val="22"/>
        </w:rPr>
        <w:t xml:space="preserve">Which AI models are most capable of translating PyTorch training code to JAX across varying complexity levels when following a fixed SOP, and what are their characteristic failure modes?</w:t>
      </w:r>
    </w:p>
    <w:p>
      <w:pPr>
        <w:spacing w:before="60" w:after="60"/>
      </w:pPr>
      <w:r>
        <w:t xml:space="preserve"/>
      </w:r>
    </w:p>
    <w:p>
      <w:pPr>
        <w:spacing w:before="60" w:after="60"/>
      </w:pPr>
      <w:r>
        <w:rPr>
          <w:rFonts w:ascii="Arial" w:cs="Arial" w:eastAsia="Arial" w:hAnsi="Arial"/>
          <w:b/>
          <w:bCs/>
          <w:sz w:val="22"/>
          <w:szCs w:val="22"/>
        </w:rPr>
        <w:t xml:space="preserve">Secondary questions:</w:t>
      </w:r>
    </w:p>
    <w:p>
      <w:pPr>
        <w:pStyle w:val="ListParagraph"/>
        <w:numPr>
          <w:ilvl w:val="0"/>
          <w:numId w:val="2"/>
        </w:numPr>
        <w:spacing w:before="40" w:after="40"/>
      </w:pPr>
      <w:r>
        <w:rPr>
          <w:rFonts w:ascii="Arial" w:cs="Arial" w:eastAsia="Arial" w:hAnsi="Arial"/>
          <w:sz w:val="22"/>
          <w:szCs w:val="22"/>
        </w:rPr>
        <w:t xml:space="preserve">How many correction iterations does each model require per pipeline stage?</w:t>
      </w:r>
    </w:p>
    <w:p>
      <w:pPr>
        <w:pStyle w:val="ListParagraph"/>
        <w:numPr>
          <w:ilvl w:val="0"/>
          <w:numId w:val="2"/>
        </w:numPr>
        <w:spacing w:before="40" w:after="40"/>
      </w:pPr>
      <w:r>
        <w:rPr>
          <w:rFonts w:ascii="Arial" w:cs="Arial" w:eastAsia="Arial" w:hAnsi="Arial"/>
          <w:sz w:val="22"/>
          <w:szCs w:val="22"/>
        </w:rPr>
        <w:t xml:space="preserve">Which pipeline stage (refactoring, translation, verifier generation) has the highest failure rate?</w:t>
      </w:r>
    </w:p>
    <w:p>
      <w:pPr>
        <w:pStyle w:val="ListParagraph"/>
        <w:numPr>
          <w:ilvl w:val="0"/>
          <w:numId w:val="2"/>
        </w:numPr>
        <w:spacing w:before="40" w:after="40"/>
      </w:pPr>
      <w:r>
        <w:rPr>
          <w:rFonts w:ascii="Arial" w:cs="Arial" w:eastAsia="Arial" w:hAnsi="Arial"/>
          <w:sz w:val="22"/>
          <w:szCs w:val="22"/>
        </w:rPr>
        <w:t xml:space="preserve">Do failure modes differ systematically by model and by difficulty level?</w:t>
      </w:r>
    </w:p>
    <w:p>
      <w:pPr>
        <w:pStyle w:val="ListParagraph"/>
        <w:numPr>
          <w:ilvl w:val="0"/>
          <w:numId w:val="2"/>
        </w:numPr>
        <w:spacing w:before="40" w:after="40"/>
      </w:pPr>
      <w:r>
        <w:rPr>
          <w:rFonts w:ascii="Arial" w:cs="Arial" w:eastAsia="Arial" w:hAnsi="Arial"/>
          <w:sz w:val="22"/>
          <w:szCs w:val="22"/>
        </w:rPr>
        <w:t xml:space="preserve">How close does the best open source model come to commercial model performance?</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3. Models Under Study</w:t>
      </w:r>
    </w:p>
    <w:p>
      <w:pPr>
        <w:spacing w:before="60" w:after="60"/>
      </w:pPr>
      <w:r>
        <w:t xml:space="preserve"/>
      </w:r>
    </w:p>
    <w:p>
      <w:pPr>
        <w:spacing w:before="60" w:after="60"/>
      </w:pPr>
      <w:r>
        <w:rPr>
          <w:rFonts w:ascii="Arial" w:cs="Arial" w:eastAsia="Arial" w:hAnsi="Arial"/>
          <w:sz w:val="22"/>
          <w:szCs w:val="22"/>
        </w:rPr>
        <w:t xml:space="preserve">Four models are included — three commercial and one open source. The same SOP prompts are used for all models without modification.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Sonnet 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Commercial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baseline — model used to develop the SOP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GPT-4o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Commercial</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Most widely used commercial alternative for coding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Gemini 1.5 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Commercial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flagship; strong on multi-language code tasks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DeepSeek-Coder-V2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Open source</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Best open source code model; fully open weights; reproducible by other researchers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CCCCC" w:sz="1"/>
              <w:bottom w:val="single" w:color="CCCCCC" w:sz="1"/>
              <w:right w:val="single" w:color="CCCCCC" w:sz="1"/>
            </w:tcBorders>
            <w:shd w:fill="2E5FA3" w:val="clear"/>
            <w:tcMar>
              <w:top w:type="dxa" w:w="100"/>
              <w:left w:type="dxa" w:w="100"/>
              <w:bottom w:type="dxa" w:w="100"/>
              <w:right w:type="dxa" w:w="100"/>
            </w:tcMar>
          </w:tcPr>
          <w:p>
            <w:pPr>
              <w:jc w:val="center"/>
            </w:pPr>
            <w:r>
              <w:rPr>
                <w:rFonts w:ascii="Arial" w:cs="Arial" w:eastAsia="Arial" w:hAnsi="Arial"/>
                <w:b/>
                <w:bCs/>
                <w:color w:val="FFFFFF"/>
                <w:sz w:val="17"/>
                <w:szCs w:val="17"/>
              </w:rPr>
              <w:t xml:space="preserve">NOTE</w:t>
            </w:r>
          </w:p>
        </w:tc>
        <w:tc>
          <w:tcPr>
            <w:tcW w:type="dxa" w:w="888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DeepSeek-Coder-V2 is fully open weights and can be accessed via Together AI or Hugging Face inference endpoints at low cost. Using a hosted endpoint does not affect the open source designation since weights are publicly available.</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4. Dataset</w:t>
      </w:r>
    </w:p>
    <w:p>
      <w:pPr>
        <w:spacing w:before="60" w:after="60"/>
      </w:pPr>
      <w:r>
        <w:t xml:space="preserve"/>
      </w:r>
    </w:p>
    <w:p>
      <w:pPr>
        <w:spacing w:before="60" w:after="60"/>
      </w:pPr>
      <w:r>
        <w:rPr>
          <w:rFonts w:ascii="Arial" w:cs="Arial" w:eastAsia="Arial" w:hAnsi="Arial"/>
          <w:sz w:val="22"/>
          <w:szCs w:val="22"/>
        </w:rPr>
        <w:t xml:space="preserve">The study uses 20 PyTorch examples spanning three difficulty levels. Each example is a self-contained training script in the torchleeet style — problem-solution code written to demonstrate correctness, not for production maintainability.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1000"/>
        <w:gridCol w:w="6960"/>
      </w:tblGrid>
      <w:tr>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Difficulty</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translation challenges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 PRNG handling, nn.Linear → jnp.dot, SGD update, no @jit complexity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MLP / classification, activation functions, multiple layers, Adam optimizer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LSTM / CNN, RNG entangled in forward pass, Flax nn.Module, model serialisation, DataLoader</w:t>
            </w:r>
          </w:p>
        </w:tc>
      </w:tr>
    </w:tbl>
    <w:p>
      <w:pPr>
        <w:spacing w:before="60" w:after="60"/>
      </w:pPr>
      <w:r>
        <w:t xml:space="preserve"/>
      </w:r>
    </w:p>
    <w:p>
      <w:pPr>
        <w:spacing w:before="60" w:after="60"/>
      </w:pPr>
      <w:r>
        <w:rPr>
          <w:rFonts w:ascii="Arial" w:cs="Arial" w:eastAsia="Arial" w:hAnsi="Arial"/>
          <w:sz w:val="22"/>
          <w:szCs w:val="22"/>
        </w:rPr>
        <w:t xml:space="preserve">Before the study begins, each example is mapped to the translation patterns it exercises (PRNG handling, nn.Module conversion, @jit constraints, Flax usage, optimizer translation, serialisation). Any pattern covered by fewer than 3 examples should trigger adding a targeted example before the study runs.</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5. Pipeline Under Test</w:t>
      </w:r>
    </w:p>
    <w:p>
      <w:pPr>
        <w:spacing w:before="60" w:after="60"/>
      </w:pPr>
      <w:r>
        <w:t xml:space="preserve"/>
      </w:r>
    </w:p>
    <w:p>
      <w:pPr>
        <w:spacing w:before="60" w:after="60"/>
      </w:pPr>
      <w:r>
        <w:rPr>
          <w:rFonts w:ascii="Arial" w:cs="Arial" w:eastAsia="Arial" w:hAnsi="Arial"/>
          <w:sz w:val="22"/>
          <w:szCs w:val="22"/>
        </w:rPr>
        <w:t xml:space="preserve">Each model runs the full eight-step SOP pipeline for every example. Steps 2, 4, and 6 each involve a prompt and produce an output file. Steps 3, 5, and 8 are pass/fail gates. The SOP prompts are identical across all models — no model-specific tuning is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1400"/>
        <w:gridCol w:w="2600"/>
        <w:gridCol w:w="3560"/>
      </w:tblGrid>
      <w:tr>
        <w:tc>
          <w:tcPr>
            <w:tcW w:type="dxa" w:w="1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SOP Steps</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 file</w:t>
            </w:r>
          </w:p>
        </w:tc>
        <w:tc>
          <w:tcPr>
            <w:tcW w:type="dxa" w:w="3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Iteration counter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Refactoring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Steps 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pytorch_refactored.py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iter_refactor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Steps 4–5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jax_code_fixed.py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iter_translate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Verifier gen.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Steps 6–7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test_equivalence.py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iter_verifier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Verification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Step 8</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test results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(counts against iter_translate or iter_verifier)</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6. Experimental Protocol</w:t>
      </w:r>
    </w:p>
    <w:p>
      <w:pPr>
        <w:spacing w:before="60" w:after="60"/>
      </w:pPr>
      <w:r>
        <w:t xml:space="preserve"/>
      </w:r>
    </w:p>
    <w:p>
      <w:pPr>
        <w:spacing w:before="60" w:after="60"/>
      </w:pPr>
      <w:r>
        <w:rPr>
          <w:rFonts w:ascii="Arial" w:cs="Arial" w:eastAsia="Arial" w:hAnsi="Arial"/>
          <w:sz w:val="22"/>
          <w:szCs w:val="22"/>
        </w:rPr>
        <w:t xml:space="preserve">For each of the 20 examples and each of the 4 models (80 experimental runs total):</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Run Step 2 refactoring prompt. Save output as pytorch_refactored.py.</w:t>
      </w:r>
    </w:p>
    <w:p>
      <w:pPr>
        <w:pStyle w:val="ListParagraph"/>
        <w:numPr>
          <w:ilvl w:val="0"/>
          <w:numId w:val="3"/>
        </w:numPr>
        <w:spacing w:before="40" w:after="40"/>
      </w:pPr>
      <w:r>
        <w:rPr>
          <w:rFonts w:ascii="Arial" w:cs="Arial" w:eastAsia="Arial" w:hAnsi="Arial"/>
          <w:sz w:val="22"/>
          <w:szCs w:val="22"/>
        </w:rPr>
        <w:t xml:space="preserve">Run Step 3 diff check. Record pass/fail and iteration count (iter_refactor = 1 if first attempt passes).</w:t>
      </w:r>
    </w:p>
    <w:p>
      <w:pPr>
        <w:pStyle w:val="ListParagraph"/>
        <w:numPr>
          <w:ilvl w:val="0"/>
          <w:numId w:val="3"/>
        </w:numPr>
        <w:spacing w:before="40" w:after="40"/>
      </w:pPr>
      <w:r>
        <w:rPr>
          <w:rFonts w:ascii="Arial" w:cs="Arial" w:eastAsia="Arial" w:hAnsi="Arial"/>
          <w:sz w:val="22"/>
          <w:szCs w:val="22"/>
        </w:rPr>
        <w:t xml:space="preserve">If Step 3 fails, run the standardised correction prompt on the output — not on the original Step 2 prompt. Repeat up to a cap of 3 iterations. Classify failure mode. If still failing after 3 iterations, record as F6 and proceed.</w:t>
      </w:r>
    </w:p>
    <w:p>
      <w:pPr>
        <w:pStyle w:val="ListParagraph"/>
        <w:numPr>
          <w:ilvl w:val="0"/>
          <w:numId w:val="3"/>
        </w:numPr>
        <w:spacing w:before="40" w:after="40"/>
      </w:pPr>
      <w:r>
        <w:rPr>
          <w:rFonts w:ascii="Arial" w:cs="Arial" w:eastAsia="Arial" w:hAnsi="Arial"/>
          <w:sz w:val="22"/>
          <w:szCs w:val="22"/>
        </w:rPr>
        <w:t xml:space="preserve">Run Step 4 translation prompt using the model's own pytorch_refactored.py. Save output as jax_code_fixed.py.</w:t>
      </w:r>
    </w:p>
    <w:p>
      <w:pPr>
        <w:pStyle w:val="ListParagraph"/>
        <w:numPr>
          <w:ilvl w:val="0"/>
          <w:numId w:val="3"/>
        </w:numPr>
        <w:spacing w:before="40" w:after="40"/>
      </w:pPr>
      <w:r>
        <w:rPr>
          <w:rFonts w:ascii="Arial" w:cs="Arial" w:eastAsia="Arial" w:hAnsi="Arial"/>
          <w:sz w:val="22"/>
          <w:szCs w:val="22"/>
        </w:rPr>
        <w:t xml:space="preserve">Run Step 5 checklist. Record pass/fail and iter_translate.</w:t>
      </w:r>
    </w:p>
    <w:p>
      <w:pPr>
        <w:pStyle w:val="ListParagraph"/>
        <w:numPr>
          <w:ilvl w:val="0"/>
          <w:numId w:val="3"/>
        </w:numPr>
        <w:spacing w:before="40" w:after="40"/>
      </w:pPr>
      <w:r>
        <w:rPr>
          <w:rFonts w:ascii="Arial" w:cs="Arial" w:eastAsia="Arial" w:hAnsi="Arial"/>
          <w:sz w:val="22"/>
          <w:szCs w:val="22"/>
        </w:rPr>
        <w:t xml:space="preserve">If Step 5 fails, run the standardised correction prompt on jax_code_fixed.py. Cap at 3 iterations. Classify failure mode F1–F5.</w:t>
      </w:r>
    </w:p>
    <w:p>
      <w:pPr>
        <w:pStyle w:val="ListParagraph"/>
        <w:numPr>
          <w:ilvl w:val="0"/>
          <w:numId w:val="3"/>
        </w:numPr>
        <w:spacing w:before="40" w:after="40"/>
      </w:pPr>
      <w:r>
        <w:rPr>
          <w:rFonts w:ascii="Arial" w:cs="Arial" w:eastAsia="Arial" w:hAnsi="Arial"/>
          <w:sz w:val="22"/>
          <w:szCs w:val="22"/>
        </w:rPr>
        <w:t xml:space="preserve">Run Step 6 verifier generation prompt using both source files. Save output as test_equivalence.py.</w:t>
      </w:r>
    </w:p>
    <w:p>
      <w:pPr>
        <w:pStyle w:val="ListParagraph"/>
        <w:numPr>
          <w:ilvl w:val="0"/>
          <w:numId w:val="3"/>
        </w:numPr>
        <w:spacing w:before="40" w:after="40"/>
      </w:pPr>
      <w:r>
        <w:rPr>
          <w:rFonts w:ascii="Arial" w:cs="Arial" w:eastAsia="Arial" w:hAnsi="Arial"/>
          <w:sz w:val="22"/>
          <w:szCs w:val="22"/>
        </w:rPr>
        <w:t xml:space="preserve">Run Step 7 checklist. Record pass/fail and iter_verifier.</w:t>
      </w:r>
    </w:p>
    <w:p>
      <w:pPr>
        <w:pStyle w:val="ListParagraph"/>
        <w:numPr>
          <w:ilvl w:val="0"/>
          <w:numId w:val="3"/>
        </w:numPr>
        <w:spacing w:before="40" w:after="40"/>
      </w:pPr>
      <w:r>
        <w:rPr>
          <w:rFonts w:ascii="Arial" w:cs="Arial" w:eastAsia="Arial" w:hAnsi="Arial"/>
          <w:sz w:val="22"/>
          <w:szCs w:val="22"/>
        </w:rPr>
        <w:t xml:space="preserve">Run Step 8: python test_equivalence.py. Record Tier 1 and Tier 2 results.</w:t>
      </w:r>
    </w:p>
    <w:p>
      <w:pPr>
        <w:pStyle w:val="ListParagraph"/>
        <w:numPr>
          <w:ilvl w:val="0"/>
          <w:numId w:val="3"/>
        </w:numPr>
        <w:spacing w:before="40" w:after="40"/>
      </w:pPr>
      <w:r>
        <w:rPr>
          <w:rFonts w:ascii="Arial" w:cs="Arial" w:eastAsia="Arial" w:hAnsi="Arial"/>
          <w:sz w:val="22"/>
          <w:szCs w:val="22"/>
        </w:rPr>
        <w:t xml:space="preserve">If tests fail, run the standardised correction prompt. A Tier 1 failure counts against iter_translate (bug in jax_code_fixed.py). A verifier structure failure counts against iter_verifier. Cap at 3 iterations per counter.</w:t>
      </w:r>
    </w:p>
    <w:p>
      <w:pPr>
        <w:pStyle w:val="ListParagraph"/>
        <w:numPr>
          <w:ilvl w:val="0"/>
          <w:numId w:val="3"/>
        </w:numPr>
        <w:spacing w:before="40" w:after="40"/>
      </w:pPr>
      <w:r>
        <w:rPr>
          <w:rFonts w:ascii="Arial" w:cs="Arial" w:eastAsia="Arial" w:hAnsi="Arial"/>
          <w:sz w:val="22"/>
          <w:szCs w:val="22"/>
        </w:rPr>
        <w:t xml:space="preserve">Record final pass/fail for each tier and all three iteration counts.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CCCCC" w:sz="1"/>
              <w:bottom w:val="single" w:color="CCCCCC" w:sz="1"/>
              <w:right w:val="single" w:color="CCCCCC" w:sz="1"/>
            </w:tcBorders>
            <w:shd w:fill="2E5FA3" w:val="clear"/>
            <w:tcMar>
              <w:top w:type="dxa" w:w="100"/>
              <w:left w:type="dxa" w:w="100"/>
              <w:bottom w:type="dxa" w:w="100"/>
              <w:right w:type="dxa" w:w="100"/>
            </w:tcMar>
          </w:tcPr>
          <w:p>
            <w:pPr>
              <w:jc w:val="center"/>
            </w:pPr>
            <w:r>
              <w:rPr>
                <w:rFonts w:ascii="Arial" w:cs="Arial" w:eastAsia="Arial" w:hAnsi="Arial"/>
                <w:b/>
                <w:bCs/>
                <w:color w:val="FFFFFF"/>
                <w:sz w:val="17"/>
                <w:szCs w:val="17"/>
              </w:rPr>
              <w:t xml:space="preserve">NOTE</w:t>
            </w:r>
          </w:p>
        </w:tc>
        <w:tc>
          <w:tcPr>
            <w:tcW w:type="dxa" w:w="8880"/>
            <w:tcBorders>
              <w:top w:val="single" w:color="CCCCCC" w:sz="1"/>
              <w:left w:val="single" w:color="CCCCCC" w:sz="1"/>
              <w:bottom w:val="single" w:color="CCCCCC" w:sz="1"/>
              <w:right w:val="single" w:color="CCCCCC" w:sz="1"/>
            </w:tcBorders>
            <w:shd w:fill="EEF2FF" w:val="clear"/>
            <w:tcMar>
              <w:top w:type="dxa" w:w="100"/>
              <w:left w:type="dxa" w:w="180"/>
              <w:bottom w:type="dxa" w:w="100"/>
              <w:right w:type="dxa" w:w="140"/>
            </w:tcMar>
          </w:tcPr>
          <w:p>
            <w:r>
              <w:rPr>
                <w:rFonts w:ascii="Arial" w:cs="Arial" w:eastAsia="Arial" w:hAnsi="Arial"/>
                <w:i/>
                <w:iCs/>
                <w:sz w:val="20"/>
                <w:szCs w:val="20"/>
              </w:rPr>
              <w:t xml:space="preserve">Each correction attempt feeds the previous output plus the specific error message — never the original SOP prompt. This ensures the correction measures the model's self-repair capability, not its response to a different prompt.</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7. Variables</w:t>
      </w:r>
    </w:p>
    <w:p>
      <w:pPr>
        <w:spacing w:before="60" w:after="60"/>
      </w:pPr>
      <w:r>
        <w:t xml:space="preserve"/>
      </w:r>
    </w:p>
    <w:p>
      <w:pPr>
        <w:pStyle w:val="Heading2"/>
        <w:spacing w:before="300" w:after="120"/>
      </w:pPr>
      <w:r>
        <w:rPr>
          <w:rFonts w:ascii="Arial" w:cs="Arial" w:eastAsia="Arial" w:hAnsi="Arial"/>
          <w:b/>
          <w:bCs/>
          <w:color w:val="2E5FA3"/>
          <w:sz w:val="28"/>
          <w:szCs w:val="28"/>
        </w:rPr>
        <w:t xml:space="preserve">7.1 Independent Variables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AI model: Claude Sonnet 4.6, GPT-4o, Gemini 1.5 Pro, DeepSeek-Coder-V2</w:t>
      </w:r>
    </w:p>
    <w:p>
      <w:pPr>
        <w:pStyle w:val="ListParagraph"/>
        <w:numPr>
          <w:ilvl w:val="0"/>
          <w:numId w:val="2"/>
        </w:numPr>
        <w:spacing w:before="40" w:after="40"/>
      </w:pPr>
      <w:r>
        <w:rPr>
          <w:rFonts w:ascii="Arial" w:cs="Arial" w:eastAsia="Arial" w:hAnsi="Arial"/>
          <w:sz w:val="22"/>
          <w:szCs w:val="22"/>
        </w:rPr>
        <w:t xml:space="preserve">Example difficulty: easy, medium, hard</w:t>
      </w:r>
    </w:p>
    <w:p>
      <w:pPr>
        <w:pStyle w:val="ListParagraph"/>
        <w:numPr>
          <w:ilvl w:val="0"/>
          <w:numId w:val="2"/>
        </w:numPr>
        <w:spacing w:before="40" w:after="40"/>
      </w:pPr>
      <w:r>
        <w:rPr>
          <w:rFonts w:ascii="Arial" w:cs="Arial" w:eastAsia="Arial" w:hAnsi="Arial"/>
          <w:sz w:val="22"/>
          <w:szCs w:val="22"/>
        </w:rPr>
        <w:t xml:space="preserve">Pipeline stage: refactoring, translation, verifier generation</w:t>
      </w:r>
    </w:p>
    <w:p>
      <w:pPr>
        <w:spacing w:before="60" w:after="60"/>
      </w:pPr>
      <w:r>
        <w:t xml:space="preserve"/>
      </w:r>
    </w:p>
    <w:p>
      <w:pPr>
        <w:pStyle w:val="Heading2"/>
        <w:spacing w:before="300" w:after="120"/>
      </w:pPr>
      <w:r>
        <w:rPr>
          <w:rFonts w:ascii="Arial" w:cs="Arial" w:eastAsia="Arial" w:hAnsi="Arial"/>
          <w:b/>
          <w:bCs/>
          <w:color w:val="2E5FA3"/>
          <w:sz w:val="28"/>
          <w:szCs w:val="28"/>
        </w:rPr>
        <w:t xml:space="preserve">7.2 Primary Dependent Variables (Quantitative)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 1 pass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of unit equivalence tests passing on first attempt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Tier 2 pass rate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 of convergence tests passing on first attempt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0–100%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pipeline pass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of examples where all tests pass with iter_refactor = iter_translate = iter_verifier =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iter_refactor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Attempts until Step 3 passes (1 = perfect first attempt)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iter_translate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Attempts until Step 5 passes + Tier 1 tests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iter_verifier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Attempts until Step 7 passes + verifier runs correctly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1–3+</w:t>
            </w:r>
          </w:p>
        </w:tc>
      </w:tr>
    </w:tbl>
    <w:p>
      <w:pPr>
        <w:spacing w:before="60" w:after="60"/>
      </w:pPr>
      <w:r>
        <w:t xml:space="preserve"/>
      </w:r>
    </w:p>
    <w:p>
      <w:pPr>
        <w:pStyle w:val="Heading2"/>
        <w:spacing w:before="300" w:after="120"/>
      </w:pPr>
      <w:r>
        <w:rPr>
          <w:rFonts w:ascii="Arial" w:cs="Arial" w:eastAsia="Arial" w:hAnsi="Arial"/>
          <w:b/>
          <w:bCs/>
          <w:color w:val="2E5FA3"/>
          <w:sz w:val="28"/>
          <w:szCs w:val="28"/>
        </w:rPr>
        <w:t xml:space="preserve">7.3 Secondary Dependent Variables (Qualitative)</w:t>
      </w:r>
    </w:p>
    <w:p>
      <w:pPr>
        <w:spacing w:before="60" w:after="60"/>
      </w:pPr>
      <w:r>
        <w:t xml:space="preserve"/>
      </w:r>
    </w:p>
    <w:p>
      <w:pPr>
        <w:spacing w:before="60" w:after="60"/>
      </w:pPr>
      <w:r>
        <w:rPr>
          <w:rFonts w:ascii="Arial" w:cs="Arial" w:eastAsia="Arial" w:hAnsi="Arial"/>
          <w:sz w:val="22"/>
          <w:szCs w:val="22"/>
        </w:rPr>
        <w:t xml:space="preserve">Each failed attempt is classified into one failure mode from the taxonomy below. Multiple failure modes can be assigned to a single attempt.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1400"/>
        <w:gridCol w:w="7160"/>
      </w:tblGrid>
      <w:tr>
        <w:tc>
          <w:tcPr>
            <w:tcW w:type="dxa" w:w="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RNG error — jnp.random used, key reused, or key not split before use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7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Structure error — train_model generates data internally, wrong function signature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 error — zero_grad not omitted, wrong value_and_grad usage, wrong update formula</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7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JIT error — print inside @jit, @jit missing from train_step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Library error — wrong Flax API, wrong optax usage, wrong nn.Module conversion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Refactoring</w:t>
            </w:r>
          </w:p>
        </w:tc>
        <w:tc>
          <w:tcPr>
            <w:tcW w:type="dxa" w:w="7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Refactoring error — refactored PyTorch changes logic, hyperparameters, or seed sequence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Verifier error — code copied instead of imported, wrong tolerance, RNG in test file, hardcoded function names</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8. Hypotheses</w:t>
      </w:r>
    </w:p>
    <w:p>
      <w:pPr>
        <w:spacing w:before="60" w:after="60"/>
      </w:pPr>
      <w:r>
        <w:t xml:space="preserve"/>
      </w:r>
    </w:p>
    <w:p>
      <w:pPr>
        <w:spacing w:before="60" w:after="60"/>
      </w:pPr>
      <w:r>
        <w:rPr>
          <w:rFonts w:ascii="Arial" w:cs="Arial" w:eastAsia="Arial" w:hAnsi="Arial"/>
          <w:sz w:val="22"/>
          <w:szCs w:val="22"/>
        </w:rPr>
        <w:t xml:space="preserve">The following hypotheses are stated before data collection to prevent post-hoc rationalisation.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8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Hypothesis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 (RNG error) is the most common failure mode across all models on first attempt, because JAX's functional PRNG is the most significant conceptual departure from PyTorch.</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H2</w:t>
            </w:r>
          </w:p>
        </w:tc>
        <w:tc>
          <w:tcPr>
            <w:tcW w:type="dxa" w:w="8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Hard examples show significantly lower full pipeline first-attempt pass rates than easy examples across all models.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iter_verifier has the highest mean value across all models and difficulties, because verifier generation requires simultaneous understanding of both frameworks.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H4</w:t>
            </w:r>
          </w:p>
        </w:tc>
        <w:tc>
          <w:tcPr>
            <w:tcW w:type="dxa" w:w="8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DeepSeek-Coder-V2 achieves within 15% of the best commercial model on full pipeline pass rate for easy examples, but diverges more on hard examples.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Models differ more on iter_refactor for hard examples than for easy examples, because hard examples have more complex seed sequencing interactions.</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9. Analysis Plan</w:t>
      </w:r>
    </w:p>
    <w:p>
      <w:pPr>
        <w:spacing w:before="60" w:after="60"/>
      </w:pPr>
      <w:r>
        <w:t xml:space="preserve"/>
      </w:r>
    </w:p>
    <w:p>
      <w:pPr>
        <w:pStyle w:val="Heading2"/>
        <w:spacing w:before="300" w:after="120"/>
      </w:pPr>
      <w:r>
        <w:rPr>
          <w:rFonts w:ascii="Arial" w:cs="Arial" w:eastAsia="Arial" w:hAnsi="Arial"/>
          <w:b/>
          <w:bCs/>
          <w:color w:val="2E5FA3"/>
          <w:sz w:val="28"/>
          <w:szCs w:val="28"/>
        </w:rPr>
        <w:t xml:space="preserve">9.1 Quantitative Analysis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Pass rates by model × difficulty level: 4×3 tables for Tier 1, Tier 2, and full pipeline pass rate.</w:t>
      </w:r>
    </w:p>
    <w:p>
      <w:pPr>
        <w:pStyle w:val="ListParagraph"/>
        <w:numPr>
          <w:ilvl w:val="0"/>
          <w:numId w:val="2"/>
        </w:numPr>
        <w:spacing w:before="40" w:after="40"/>
      </w:pPr>
      <w:r>
        <w:rPr>
          <w:rFonts w:ascii="Arial" w:cs="Arial" w:eastAsia="Arial" w:hAnsi="Arial"/>
          <w:sz w:val="22"/>
          <w:szCs w:val="22"/>
        </w:rPr>
        <w:t xml:space="preserve">Mean iteration counts by model and by pipeline stage: bar charts showing iter_refactor, iter_translate, iter_verifier per model.</w:t>
      </w:r>
    </w:p>
    <w:p>
      <w:pPr>
        <w:pStyle w:val="ListParagraph"/>
        <w:numPr>
          <w:ilvl w:val="0"/>
          <w:numId w:val="2"/>
        </w:numPr>
        <w:spacing w:before="40" w:after="40"/>
      </w:pPr>
      <w:r>
        <w:rPr>
          <w:rFonts w:ascii="Arial" w:cs="Arial" w:eastAsia="Arial" w:hAnsi="Arial"/>
          <w:sz w:val="22"/>
          <w:szCs w:val="22"/>
        </w:rPr>
        <w:t xml:space="preserve">Difficulty interaction: line plots of full pipeline pass rate vs difficulty level per model, to show where each model degrades.</w:t>
      </w:r>
    </w:p>
    <w:p>
      <w:pPr>
        <w:spacing w:before="60" w:after="60"/>
      </w:pPr>
      <w:r>
        <w:t xml:space="preserve"/>
      </w:r>
    </w:p>
    <w:p>
      <w:pPr>
        <w:pStyle w:val="Heading2"/>
        <w:spacing w:before="300" w:after="120"/>
      </w:pPr>
      <w:r>
        <w:rPr>
          <w:rFonts w:ascii="Arial" w:cs="Arial" w:eastAsia="Arial" w:hAnsi="Arial"/>
          <w:b/>
          <w:bCs/>
          <w:color w:val="2E5FA3"/>
          <w:sz w:val="28"/>
          <w:szCs w:val="28"/>
        </w:rPr>
        <w:t xml:space="preserve">9.2 Qualitative Analysis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Failure mode frequency by model: which models are most prone to each failure code (F1–F7)?</w:t>
      </w:r>
    </w:p>
    <w:p>
      <w:pPr>
        <w:pStyle w:val="ListParagraph"/>
        <w:numPr>
          <w:ilvl w:val="0"/>
          <w:numId w:val="2"/>
        </w:numPr>
        <w:spacing w:before="40" w:after="40"/>
      </w:pPr>
      <w:r>
        <w:rPr>
          <w:rFonts w:ascii="Arial" w:cs="Arial" w:eastAsia="Arial" w:hAnsi="Arial"/>
          <w:sz w:val="22"/>
          <w:szCs w:val="22"/>
        </w:rPr>
        <w:t xml:space="preserve">Failure mode by difficulty: do hard examples introduce new failure modes not seen in easy examples?</w:t>
      </w:r>
    </w:p>
    <w:p>
      <w:pPr>
        <w:pStyle w:val="ListParagraph"/>
        <w:numPr>
          <w:ilvl w:val="0"/>
          <w:numId w:val="2"/>
        </w:numPr>
        <w:spacing w:before="40" w:after="40"/>
      </w:pPr>
      <w:r>
        <w:rPr>
          <w:rFonts w:ascii="Arial" w:cs="Arial" w:eastAsia="Arial" w:hAnsi="Arial"/>
          <w:sz w:val="22"/>
          <w:szCs w:val="22"/>
        </w:rPr>
        <w:t xml:space="preserve">Inter-rater reliability: two independent evaluators classify failure modes for a 20% random sample. Cohen's kappa reported to quantify agreement.</w:t>
      </w:r>
    </w:p>
    <w:p>
      <w:pPr>
        <w:spacing w:before="60" w:after="60"/>
      </w:pPr>
      <w:r>
        <w:t xml:space="preserve"/>
      </w:r>
    </w:p>
    <w:p>
      <w:pPr>
        <w:pStyle w:val="Heading2"/>
        <w:spacing w:before="300" w:after="120"/>
      </w:pPr>
      <w:r>
        <w:rPr>
          <w:rFonts w:ascii="Arial" w:cs="Arial" w:eastAsia="Arial" w:hAnsi="Arial"/>
          <w:b/>
          <w:bCs/>
          <w:color w:val="2E5FA3"/>
          <w:sz w:val="28"/>
          <w:szCs w:val="28"/>
        </w:rPr>
        <w:t xml:space="preserve">9.3 Key Comparison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Commercial vs open source gap: compare DeepSeek-Coder-V2 against the best commercial model on full pipeline pass rate, broken down by difficulty. This is the headline finding for the open source inclusion.</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10. Limitations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Snapshot in time — model capabilities are updated frequently. Rankings observed in this study may not hold as models are updated. The methodology is designed to be re-runnable to track changes over time.</w:t>
      </w:r>
    </w:p>
    <w:p>
      <w:pPr>
        <w:pStyle w:val="ListParagraph"/>
        <w:numPr>
          <w:ilvl w:val="0"/>
          <w:numId w:val="2"/>
        </w:numPr>
        <w:spacing w:before="40" w:after="40"/>
      </w:pPr>
      <w:r>
        <w:rPr>
          <w:rFonts w:ascii="Arial" w:cs="Arial" w:eastAsia="Arial" w:hAnsi="Arial"/>
          <w:sz w:val="22"/>
          <w:szCs w:val="22"/>
        </w:rPr>
        <w:t xml:space="preserve">Prompt sensitivity — all models receive the same SOP prompts, which were developed with Claude Sonnet 4.6. Other models may respond better to differently worded prompts. This design tests SOP portability, not each model's ceiling performance.</w:t>
      </w:r>
    </w:p>
    <w:p>
      <w:pPr>
        <w:pStyle w:val="ListParagraph"/>
        <w:numPr>
          <w:ilvl w:val="0"/>
          <w:numId w:val="2"/>
        </w:numPr>
        <w:spacing w:before="40" w:after="40"/>
      </w:pPr>
      <w:r>
        <w:rPr>
          <w:rFonts w:ascii="Arial" w:cs="Arial" w:eastAsia="Arial" w:hAnsi="Arial"/>
          <w:sz w:val="22"/>
          <w:szCs w:val="22"/>
        </w:rPr>
        <w:t xml:space="preserve">Sample size — 20 examples gives sufficient power for overall comparisons but limited power for subgroup analysis (e.g. within hard examples only). Claims about subgroups should be treated as preliminary.</w:t>
      </w:r>
    </w:p>
    <w:p>
      <w:pPr>
        <w:pStyle w:val="ListParagraph"/>
        <w:numPr>
          <w:ilvl w:val="0"/>
          <w:numId w:val="2"/>
        </w:numPr>
        <w:spacing w:before="40" w:after="40"/>
      </w:pPr>
      <w:r>
        <w:rPr>
          <w:rFonts w:ascii="Arial" w:cs="Arial" w:eastAsia="Arial" w:hAnsi="Arial"/>
          <w:sz w:val="22"/>
          <w:szCs w:val="22"/>
        </w:rPr>
        <w:t xml:space="preserve">Pattern coverage — if the 20 examples do not cover all major translation patterns, some failure modes may be underrepresented. The pre-study pattern mapping (Section 4) mitigates but does not eliminate this risk.</w:t>
      </w:r>
    </w:p>
    <w:p>
      <w:pPr>
        <w:pStyle w:val="ListParagraph"/>
        <w:numPr>
          <w:ilvl w:val="0"/>
          <w:numId w:val="2"/>
        </w:numPr>
        <w:spacing w:before="40" w:after="40"/>
      </w:pPr>
      <w:r>
        <w:rPr>
          <w:rFonts w:ascii="Arial" w:cs="Arial" w:eastAsia="Arial" w:hAnsi="Arial"/>
          <w:sz w:val="22"/>
          <w:szCs w:val="22"/>
        </w:rPr>
        <w:t xml:space="preserve">Human judgment in failure classification — failure mode assignment involves interpretation. Inter-rater reliability analysis (Section 9.2) quantifies this uncertainty.</w:t>
      </w:r>
    </w:p>
    <w:p>
      <w:pPr>
        <w:pStyle w:val="ListParagraph"/>
        <w:numPr>
          <w:ilvl w:val="0"/>
          <w:numId w:val="2"/>
        </w:numPr>
        <w:spacing w:before="40" w:after="40"/>
      </w:pPr>
      <w:r>
        <w:rPr>
          <w:rFonts w:ascii="Arial" w:cs="Arial" w:eastAsia="Arial" w:hAnsi="Arial"/>
          <w:sz w:val="22"/>
          <w:szCs w:val="22"/>
        </w:rPr>
        <w:t xml:space="preserve">Infrastructure — DeepSeek-Coder-V2 is accessed via hosted endpoint. Latency and rate limits may affect the practical usability findings, though not the correctness metrics.</w:t>
      </w:r>
    </w:p>
    <w:p>
      <w:pPr>
        <w:spacing w:before="60" w:after="60"/>
      </w:pPr>
      <w:r>
        <w:t xml:space="preserve"/>
      </w:r>
    </w:p>
    <w:p>
      <w:pPr>
        <w:pStyle w:val="Heading1"/>
        <w:spacing w:before="440" w:after="160"/>
      </w:pPr>
      <w:r>
        <w:rPr>
          <w:rFonts w:ascii="Arial" w:cs="Arial" w:eastAsia="Arial" w:hAnsi="Arial"/>
          <w:b/>
          <w:bCs/>
          <w:color w:val="2E5FA3"/>
          <w:sz w:val="38"/>
          <w:szCs w:val="38"/>
        </w:rPr>
        <w:t xml:space="preserve">11. Timeline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Preparation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Pattern mapping of 20 examples; confirm infrastructure for all 4 models; train second evaluator on failure mode taxonomy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Pattern coverage map; model API access confirmed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Data collection</w:t>
            </w:r>
          </w:p>
        </w:tc>
        <w:tc>
          <w:tcPr>
            <w:tcW w:type="dxa" w:w="4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Run 80 experimental runs (20 examples × 4 models); apply correction prompts up to cap; record all metrics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Raw results spreadsheet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Analysis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Compute pass rates and iteration counts; classify failure modes; inter-rater reliability on 20% sample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Analysis tables and charts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Write-up</w:t>
            </w:r>
          </w:p>
        </w:tc>
        <w:tc>
          <w:tcPr>
            <w:tcW w:type="dxa" w:w="4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Document findings, hypotheses vs results, recommendations for SOP model choice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Study report</w:t>
            </w:r>
          </w:p>
        </w:tc>
      </w:tr>
    </w:tbl>
    <w:p>
      <w:pPr>
        <w:spacing w:before="60" w:after="60"/>
      </w:pPr>
      <w:r>
        <w:t xml:space="preserve"/>
      </w:r>
    </w:p>
    <w:p>
      <w:pPr>
        <w:pStyle w:val="Heading1"/>
        <w:spacing w:before="440" w:after="160"/>
      </w:pPr>
      <w:r>
        <w:rPr>
          <w:rFonts w:ascii="Arial" w:cs="Arial" w:eastAsia="Arial" w:hAnsi="Arial"/>
          <w:b/>
          <w:bCs/>
          <w:color w:val="2E5FA3"/>
          <w:sz w:val="38"/>
          <w:szCs w:val="38"/>
        </w:rPr>
        <w:t xml:space="preserve">Appendix: Data Collection Sheet</w:t>
      </w:r>
    </w:p>
    <w:p>
      <w:pPr>
        <w:spacing w:before="60" w:after="60"/>
      </w:pPr>
      <w:r>
        <w:t xml:space="preserve"/>
      </w:r>
    </w:p>
    <w:p>
      <w:pPr>
        <w:spacing w:before="60" w:after="60"/>
      </w:pPr>
      <w:r>
        <w:rPr>
          <w:rFonts w:ascii="Arial" w:cs="Arial" w:eastAsia="Arial" w:hAnsi="Arial"/>
          <w:sz w:val="22"/>
          <w:szCs w:val="22"/>
        </w:rPr>
        <w:t xml:space="preserve">Record one row per example × model combination. 80 rows total.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Example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e1–e7, m1–m7, h1–h6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Difficulty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easy / medium / hard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 GPT-4o / Gemini / DeepSeek</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iter_refactor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1, 2, 3, or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F6 observed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iter_translate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1, 2, 3, or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Failure modes (F1–F5)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comma-separated list or none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iter_verifier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1, 2, 3, or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F7 observed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Tier 1 pass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 2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Full pipeline pass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yes / no (all iters = 1 AND both tiers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text — any unusual behaviour</w:t>
            </w:r>
          </w:p>
        </w:tc>
      </w:tr>
    </w:tbl>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Ablation Study Design: PyTorch-to-JAX Translation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2E5FA3"/>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2026-02-25T23:50:01.954Z</dcterms:created>
  <dcterms:modified xsi:type="dcterms:W3CDTF">2026-02-25T23:50:01.955Z</dcterms:modified>
</cp:coreProperties>
</file>

<file path=docProps/custom.xml><?xml version="1.0" encoding="utf-8"?>
<Properties xmlns="http://schemas.openxmlformats.org/officeDocument/2006/custom-properties" xmlns:vt="http://schemas.openxmlformats.org/officeDocument/2006/docPropsVTypes"/>
</file>