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C58" w:rsidRDefault="00B95C58">
      <w:bookmarkStart w:id="0" w:name="_GoBack"/>
      <w:bookmarkEnd w:id="0"/>
      <w:r>
        <w:t xml:space="preserve">Note:  I’m trying to </w:t>
      </w:r>
      <w:r w:rsidR="001A1E5F">
        <w:t xml:space="preserve">avoid commenting on </w:t>
      </w:r>
      <w:r>
        <w:t>small editorial differences.</w:t>
      </w:r>
    </w:p>
    <w:p w:rsidR="005C78F2" w:rsidRDefault="005C78F2">
      <w:r>
        <w:t xml:space="preserve">67-83 – In </w:t>
      </w:r>
      <w:r w:rsidR="00645412">
        <w:t xml:space="preserve">the main text </w:t>
      </w:r>
      <w:r>
        <w:t>here somewhere, could you please indicate (1) whether you are including factors for spatial variation, spatio-temporal variation, or both, (2) how many factors you are including for each model component</w:t>
      </w:r>
      <w:r w:rsidR="007E5353">
        <w:t xml:space="preserve">, </w:t>
      </w:r>
      <w:r w:rsidR="00645412">
        <w:t>and (3</w:t>
      </w:r>
      <w:r w:rsidR="007E5353">
        <w:t>) what rotation you are using when presenting results (from the following it looks like PCA rotation)</w:t>
      </w:r>
      <w:r>
        <w:t xml:space="preserve">?  </w:t>
      </w:r>
      <w:r w:rsidR="00645412">
        <w:t>I think it would only need 1 sentence, and you could reference the Methods for details.  Or:  maybe this is a bad idea, I’m not really used to writing for journals with this Methods-last format!</w:t>
      </w:r>
    </w:p>
    <w:p w:rsidR="00B95C58" w:rsidRDefault="00B95C58">
      <w:r>
        <w:t>line 74-76 – Please rephrase, the wording is awk</w:t>
      </w:r>
      <w:r w:rsidR="007E5353">
        <w:t>w</w:t>
      </w:r>
      <w:r>
        <w:t>ard as-is.  I think you mean that the estimated factors can then be compared with measured covariates to refine hypotheses regarding what is driving observed covariation?</w:t>
      </w:r>
    </w:p>
    <w:p w:rsidR="00B95C58" w:rsidRDefault="00B95C58">
      <w:r>
        <w:t>82 – perhaps change “such as survey catch rate differences” to “such as differences in survey sampling efficiency (a.k.a. catchability)”</w:t>
      </w:r>
    </w:p>
    <w:p w:rsidR="00B95C58" w:rsidRDefault="00B95C58">
      <w:r>
        <w:t>86 – This sentence seems redundant given the greater detail provided later in the paragraph regarding the number of species in commercial catch, I suggest combining with the sentence starting on line 87.</w:t>
      </w:r>
    </w:p>
    <w:p w:rsidR="007E5353" w:rsidRDefault="007E5353">
      <w:r>
        <w:t>106 – “the first factor (after PCA-rotation)”, i.e., please remind the reader that presented factor values and loadings matrices are after rotation.</w:t>
      </w:r>
    </w:p>
    <w:p w:rsidR="00B95C58" w:rsidRDefault="00B95C58">
      <w:r>
        <w:t>109 – I’d change “positive coefficient” to “positive value”</w:t>
      </w:r>
    </w:p>
    <w:p w:rsidR="00B95C58" w:rsidRDefault="00B95C58">
      <w:r>
        <w:t>110 – I’d change “negative association” to “negative value”, or regardless maintain consistency with earlier terminology.</w:t>
      </w:r>
    </w:p>
    <w:p w:rsidR="00B95C58" w:rsidRDefault="00B95C58">
      <w:r>
        <w:t>Fig. 1 – are you sure that the values are right for variance-explained in panel A vs. panel B?  It seems unlikely that they would be identical to the 3</w:t>
      </w:r>
      <w:r w:rsidRPr="00B95C58">
        <w:rPr>
          <w:vertAlign w:val="superscript"/>
        </w:rPr>
        <w:t>rd</w:t>
      </w:r>
      <w:r>
        <w:t xml:space="preserve"> digit for each factor.  </w:t>
      </w:r>
    </w:p>
    <w:p w:rsidR="00B95C58" w:rsidRDefault="00B95C58">
      <w:r>
        <w:t xml:space="preserve">Fig. 3 caption – what confidence interval was used to define which spanned zero?  </w:t>
      </w:r>
    </w:p>
    <w:p w:rsidR="005C78F2" w:rsidRDefault="00B95C58">
      <w:r>
        <w:t>Fig. 4 – I couldn’t really figure out the rationale for the coloring used in panels A-G without reference to the text.  E.g., clearly panel F has pink and brown, corresponding to megrim and anglerfishes in panel H.  However, each map shows spatial variable</w:t>
      </w:r>
      <w:r w:rsidR="005858FA">
        <w:t xml:space="preserve"> (perhaps the log-ratio of expected megrim to anglerfishes), so is pink indicating areas where E[megrim] &gt; E[anglerfishes] and brown the opposite?  It would be good to explain the color-coding in more detail</w:t>
      </w:r>
      <w:r w:rsidR="007433AD">
        <w:t xml:space="preserve">, including the scale used for colors in each panel (perhaps by including an insert </w:t>
      </w:r>
      <w:proofErr w:type="spellStart"/>
      <w:r w:rsidR="007433AD">
        <w:t>colorbar</w:t>
      </w:r>
      <w:proofErr w:type="spellEnd"/>
      <w:r w:rsidR="007433AD">
        <w:t xml:space="preserve"> in each panel A-G)</w:t>
      </w:r>
      <w:r w:rsidR="005858FA">
        <w:t>.</w:t>
      </w:r>
    </w:p>
    <w:p w:rsidR="00B95C58" w:rsidRDefault="005C78F2">
      <w:r>
        <w:t>116 – “on the second [spatial] factor [for encounter probability]”</w:t>
      </w:r>
      <w:r w:rsidR="005858FA">
        <w:t xml:space="preserve">  </w:t>
      </w:r>
    </w:p>
    <w:p w:rsidR="00B95C58" w:rsidRDefault="00930BCB">
      <w:r>
        <w:t xml:space="preserve">127 – “with the positive [values]”;  again, you could use some other term, but hope we’re consistent throughout.  </w:t>
      </w:r>
    </w:p>
    <w:p w:rsidR="007E5353" w:rsidRDefault="007E5353">
      <w:r>
        <w:t>131 – Change “while a factor composition” to “While this exploratory factor analysis”</w:t>
      </w:r>
    </w:p>
    <w:p w:rsidR="007E5353" w:rsidRDefault="007E5353">
      <w:r>
        <w:t>134 – Perhaps change “density” to “positive density”, and use “positive density” throughout to reference the 2</w:t>
      </w:r>
      <w:r w:rsidRPr="007E5353">
        <w:rPr>
          <w:vertAlign w:val="superscript"/>
        </w:rPr>
        <w:t>nd</w:t>
      </w:r>
      <w:r>
        <w:t xml:space="preserve"> component of the delta model.  I think “density” is a bit too non-specific to me a good moniker for this model component.</w:t>
      </w:r>
    </w:p>
    <w:p w:rsidR="007E5353" w:rsidRDefault="007E5353">
      <w:r>
        <w:t xml:space="preserve">143 – Hmm.  Just as a discussion point, you’re aware that you could include depth as an explicit “dynamic habitat covariate” (which specifying that it doesn’t change among years), and treat the species-specific depth coefficient as a “factor loading” while still calculating </w:t>
      </w:r>
      <w:proofErr w:type="spellStart"/>
      <w:r>
        <w:t>covariane</w:t>
      </w:r>
      <w:proofErr w:type="spellEnd"/>
      <w:r>
        <w:t xml:space="preserve"> arising from </w:t>
      </w:r>
      <w:r>
        <w:lastRenderedPageBreak/>
        <w:t>factors + covariates?  I think our current approach is fine, but want you to be aware of the alternative path we could follow.</w:t>
      </w:r>
      <w:r w:rsidR="00A27718">
        <w:t xml:space="preserve">  NOTE:  I see in the Methods that you explored this other model specification.  Perhaps add a sentence stating that you explored this, and reference the methods or </w:t>
      </w:r>
      <w:proofErr w:type="spellStart"/>
      <w:r w:rsidR="00A27718">
        <w:t>Suppl</w:t>
      </w:r>
      <w:proofErr w:type="spellEnd"/>
      <w:r w:rsidR="00A27718">
        <w:t xml:space="preserve"> Mat section where it is dealt with in more detail.</w:t>
      </w:r>
    </w:p>
    <w:p w:rsidR="007E5353" w:rsidRDefault="007E5353">
      <w:r>
        <w:t>162 – “This suggests that [one or more] common environmental driver[s]”</w:t>
      </w:r>
    </w:p>
    <w:p w:rsidR="007E5353" w:rsidRDefault="00E238EA">
      <w:r>
        <w:t>223 – “</w:t>
      </w:r>
      <w:r w:rsidR="00514019">
        <w:t>through megrim has a stable density across the modeled area as indicated”</w:t>
      </w:r>
    </w:p>
    <w:p w:rsidR="00514019" w:rsidRDefault="00514019">
      <w:r>
        <w:t xml:space="preserve">230-239 – I think this presentation is very cool!  Could you add 1-2 sentences to the introduction foreshadowing this difference in relative catch rate among gear types?  I’d be curious about the mechanistic properties of otter vs. beam trawls (are they fishing closer to the bottom, or have a higher </w:t>
      </w:r>
      <w:proofErr w:type="spellStart"/>
      <w:r>
        <w:t>headrope</w:t>
      </w:r>
      <w:proofErr w:type="spellEnd"/>
      <w:r>
        <w:t xml:space="preserve"> to herd pelagic species?) to interpret this, even in just a post-hoc way.</w:t>
      </w:r>
    </w:p>
    <w:p w:rsidR="00514019" w:rsidRDefault="00514019">
      <w:r>
        <w:t xml:space="preserve">257-262 – please see </w:t>
      </w:r>
      <w:proofErr w:type="spellStart"/>
      <w:r>
        <w:t>Breivik</w:t>
      </w:r>
      <w:proofErr w:type="spellEnd"/>
      <w:r>
        <w:t xml:space="preserve"> et al. 2016 CJFAS (don’t have citation info on this computer, but studied bycatch in Norwegian shrimp fishery using fine-scale spatio-temporal models), or </w:t>
      </w:r>
      <w:r>
        <w:fldChar w:fldCharType="begin"/>
      </w:r>
      <w:r>
        <w:instrText xml:space="preserve"> ADDIN ZOTERO_ITEM CSL_CITATION {"citationID":"rqokrb9u2","properties":{"formattedCitation":"(Cosandey-Godin et al. 2014, Ward et al. 2015)","plainCitation":"(Cosandey-Godin et al. 2014, Ward et al. 2015)"},"citationItems":[{"id":1154,"uris":["http://zotero.org/users/251206/items/QDVUDHJV"],"uri":["http://zotero.org/users/251206/items/QDVUDHJV"],"itemData":{"id":1154,"type":"article-journal","title":"Applying Bayesian spatiotemporal models to fisheries bycatch in the Canadian Arctic","container-title":"Canadian Journal of Fisheries and Aquatic Sciences","page":"186-197","volume":"72","issue":"2","source":"NRC Research Press","abstract":"Understanding and reducing the incidence of accidental bycatch, particularly for vulnerable species such as sharks, is a major challenge for contemporary fisheries management. Here we establish integrated nested Laplace approximations (INLA) and stochastic partial differential equations (SPDE) as two powerful tools for modelling patterns of bycatch through time and space. These novel, computationally fast approaches are applied to fit zero-inflated hierarchical spatiotemporal models to Greenland shark (Somniosus microcephalus) bycatch data from the Baffin Bay Greenland halibut (Reinhardtius hippoglossoides) gillnet fishery. Results indicate that Greenland shark bycatch is clustered in space and time, varies significantly from year to year, and there are both tractable factors (number of gillnet panels, total Greenland halibut catch) and physical features (bathymetry) leading to the high incidence of Greenland shark bycatch. Bycatch risk could be reduced by limiting access to spatiotemporal hotspots or by ..., Comprendre et minimiser les répercussions relatives aux prises accessoires accidentelles, et plus particulièrement celles touchant les espèces vulnérables, tel le requin, constituent de nos jours un défi de taille en gestion halieutique. Par la présente recherche, nous soumettons que les approximations intégrées et agglomérées de Laplace (INLA) ainsi que les équations différentielles partielles stochastiques (EDPS), représentent de puissants outils de modélisation de la répartition des prises accessoires dans l’espace et le temps. Ces nouvelles approches informatiques, efficaces et innovantes sont ici utilisées afin de reproduire des modèles spatiotemporels hiérarchiques à inflation zéro en les appliquant aux données relatives aux prises accessoires du requin du Groenland (Somniosus microcephalus) dans la pêche au filet maillant du flétan noir (Reinhardtius hippoglossoides) de la baie de Baffin. Les résultats obtenus démontrent que les prises accessoires du requin du Groenland sont dispersées dans l’espac...","DOI":"10.1139/cjfas-2014-0159","ISSN":"0706-652X","journalAbbreviation":"Can. J. Fish. Aquat. Sci.","author":[{"family":"Cosandey-Godin","given":"Aurelie"},{"family":"Krainski","given":"Elias Teixeira"},{"family":"Worm","given":"Boris"},{"family":"Flemming","given":"Joanna Mills"}],"issued":{"date-parts":[["2014",9,29]]}}},{"id":3191,"uris":["http://zotero.org/users/251206/items/EWJKN97A"],"uri":["http://zotero.org/users/251206/items/EWJKN97A"],"itemData":{"id":3191,"type":"article-journal","title":"Using spatiotemporal species distribution models to identify temporally evolving hotspots of species co-occurrence","container-title":"Ecological Applications","page":"2198-2209","volume":"25","issue":"8","source":"Wiley Online Library","abstract":"Identifying spatiotemporal hotspots is important for understanding basic ecological processes, but is particularly important for species at risk. A number of terrestrial and aquatic species are indirectly affected by anthropogenic impacts, simply because they tend to be associated with species that are targeted for removals. Using newly developed statistical models that allow for the inclusion of time-varying spatial effects, we examine how the co-occurrence of a targeted and nontargeted species can be modeled as a function of environmental covariates (temperature, depth) and interannual variability. The nontarget species in our case study (eulachon) is listed under the U.S. Endangered Species Act, and is encountered by fisheries off the U.S. West Coast that target pink shrimp. Results from our spatiotemporal model indicated that eulachon bycatch risk decreases with depth and has a convex relationship with sea surface temperature. Additionally, we found that over the 2007–2012 period, there was support for an increase in eulachon density from both a fishery data set (+40%) and a fishery-independent data set (+55%). Eulachon bycatch has increased in recent years, but the agreement between these two data sets implies that increases in bycatch are not due to an increase in incidental targeting of eulachon by fishing vessels, but because of an increasing population size of eulachon. Based on our results, the application of spatiotemporal models to species that are of conservation concern appears promising in identifying the spatial distribution of environmental and anthropogenic risks to the population.","DOI":"10.1890/15-0051.1","ISSN":"1939-5582","language":"en","author":[{"family":"Ward","given":"Eric J."},{"family":"Jannot","given":"Jason E."},{"family":"Lee","given":"Yong-Woo"},{"family":"Ono","given":"Kotaro"},{"family":"Shelton","given":"Andrew O."},{"family":"Thorson","given":"James T."}],"issued":{"date-parts":[["2015",12,1]]}}}],"schema":"https://github.com/citation-style-language/schema/raw/master/csl-citation.json"} </w:instrText>
      </w:r>
      <w:r>
        <w:fldChar w:fldCharType="separate"/>
      </w:r>
      <w:r w:rsidRPr="00514019">
        <w:rPr>
          <w:rFonts w:ascii="Calibri" w:hAnsi="Calibri"/>
        </w:rPr>
        <w:t>(Cosandey-Godin et al. 2014, Ward et al. 2015)</w:t>
      </w:r>
      <w:r>
        <w:fldChar w:fldCharType="end"/>
      </w:r>
      <w:r>
        <w:t xml:space="preserve"> for examples discussing this approach.</w:t>
      </w:r>
    </w:p>
    <w:p w:rsidR="00514019" w:rsidRDefault="00514019">
      <w:r>
        <w:t xml:space="preserve">267-274 – I think a stronger way to word this is:  we assume that fisheries can achieve roughly the same catch as the survey at a given place and time.  Therefore, this analysis shows how much locational decisions can separate catches of different species in a mixed fishery.  However, in practice fishers can also separate amongst species using fine-scale behaviors (gear deployment, time-of-day, fine-spatial scale, bottom sensor, etc.), see </w:t>
      </w:r>
      <w:r>
        <w:fldChar w:fldCharType="begin"/>
      </w:r>
      <w:r>
        <w:instrText xml:space="preserve"> ADDIN ZOTERO_ITEM CSL_CITATION {"citationID":"2b7ubemc6h","properties":{"formattedCitation":"(Abbott et al. 2015, Thorson et al. 2016)","plainCitation":"(Abbott et al. 2015, Thorson et al. 2016)"},"citationItems":[{"id":3185,"uris":["http://zotero.org/users/251206/items/J7M33NV6"],"uri":["http://zotero.org/users/251206/items/J7M33NV6"],"itemData":{"id":3185,"type":"article-journal","title":"Hidden Flexibility: Institutions, Incentives, and the Margins of Selectivity in Fishing","container-title":"Land Economics","page":"169-195","volume":"91","issue":"1","source":"le.uwpress.org","abstract":"The degree to which selectivity in fisheries is malleable to changes in incentive structures is critical for policy design. We examine data for a multispecies trawl fishery before and after a transition from management under common-pool quotas to a fishery cooperative and note a substantial shift in postcooperative catch from bycatch and toward valuable target species. We examine the margins used to affect catch composition, finding that large- and fine-scale spatial decision making and avoidance of night-fishing were critical. We argue that the poor incentives for selectivity in many systems may obscure significant flexibility in multispecies production technologies. (JEL Q22, Q28)","DOI":"10.3368/le.91.1.169","ISSN":"0023-7639, 1543-8325","shortTitle":"Hidden Flexibility","journalAbbreviation":"Land Economics","language":"en","author":[{"family":"Abbott","given":"Joshua K."},{"family":"Haynie","given":"Alan C."},{"family":"Reimer","given":"Matthew N."}],"issued":{"date-parts":[["2015",2,1]]}}},{"id":4166,"uris":["http://zotero.org/users/251206/items/DJB7URSE"],"uri":["http://zotero.org/users/251206/items/DJB7URSE"],"itemData":{"id":4166,"type":"article-journal","title":"Accounting for spatiotemporal variation and fisher targeting when estimating abundance from multispecies fishery data","container-title":"Canadian Journal of Fisheries and Aquatic Sciences","page":"1-14","source":"NRC Research Press","abstract":"Estimating trends in abundance from fishery catch rates is one of the oldest endeavors in fisheries science. However, many jurisdictions do not analyze fishery catch rates due to concerns that these data confound changes in fishing behavior (adjustments in fishing location or gear operation) with trends in abundance. In response, we developed a spatial dynamic factor analysis (SDFA) model that decomposes covariation in multispecies catch rates into components representing spatial variation and fishing behavior. SDFA estimates spatiotemporal variation in fish density for multiple species and accounts for fisher behavior at large spatial scales (i.e., choice of fishing location) while controlling for fisher behavior at fine spatial scales (e.g., daily timing of fishing activity). We first use a multispecies simulation experiment to show that SDFA decreases bias in abundance indices relative to ignoring spatial adjustments and fishing tactics. We then present results for a case study involving petrale sole (..., L’estimation des tendances d’abondance à partir de taux de prises des pêches est une des pratiques les plus anciennes des sciences halieutiques. De nombreux pays n’analysent cependant pas les taux de prises des pêches parce que ces données pourraient ne pas distinguer les modifications des comportements de pêche (ajustements du lieu de pêche ou de l’utilisation d’engins) des tendances d’abondance. Nous avons donc développé un modèle d’analyse des facteurs de dynamique spatiale (SDFA) qui décompose la covariation des taux de prises multiespèces en différentes composantes représentant la variation spatiale et le comportement de pêche. La SDFA estime les variations spatiotemporelles de densité de poissons pour des espèces multiples et tient compte du comportement de pêche à de grandes échelles spatiales (c.-à-d., le choix du lieu de pêche), tout en contrôlant pour le comportement des pêcheurs à petites échelles spatiales (p. ex. l’heure du jour de l’activité de pêche). Nous utilisons d’abord une expérience d...","DOI":"10.1139/cjfas-2015-0598","ISSN":"0706-652X","journalAbbreviation":"Can. J. Fish. Aquat. Sci.","author":[{"family":"Thorson","given":"James T."},{"family":"Fonner","given":"Robert"},{"family":"Haltuch","given":"Melissa A."},{"family":"Ono","given":"Kotaro"},{"family":"Winker","given":"Henning"}],"issued":{"date-parts":[["2016",4,6]]}}}],"schema":"https://github.com/citation-style-language/schema/raw/master/csl-citation.json"} </w:instrText>
      </w:r>
      <w:r>
        <w:fldChar w:fldCharType="separate"/>
      </w:r>
      <w:r w:rsidRPr="00514019">
        <w:rPr>
          <w:rFonts w:ascii="Calibri" w:hAnsi="Calibri"/>
        </w:rPr>
        <w:t>(Abbott et al. 2015, Thorson et al. 2016)</w:t>
      </w:r>
      <w:r>
        <w:fldChar w:fldCharType="end"/>
      </w:r>
      <w:r>
        <w:t xml:space="preserve">.  So in practice, this analysis provides a lower-bound on how much species can be avoided.  </w:t>
      </w:r>
    </w:p>
    <w:p w:rsidR="00514019" w:rsidRDefault="00514019">
      <w:r>
        <w:t>288 – Its technically a 2D Gaussian Markov random field, and then the third dimension (time) is treated as 0</w:t>
      </w:r>
      <w:r w:rsidRPr="00514019">
        <w:rPr>
          <w:vertAlign w:val="superscript"/>
        </w:rPr>
        <w:t>th</w:t>
      </w:r>
      <w:r>
        <w:t xml:space="preserve"> order Markov (i.e., IID)</w:t>
      </w:r>
      <w:r w:rsidR="00A27718">
        <w:t>.  NOTE: later I see that you maybe mean species as the 3</w:t>
      </w:r>
      <w:r w:rsidR="00A27718" w:rsidRPr="00A27718">
        <w:rPr>
          <w:vertAlign w:val="superscript"/>
        </w:rPr>
        <w:t>rd</w:t>
      </w:r>
      <w:r w:rsidR="00A27718">
        <w:t xml:space="preserve"> dimension (not time).  At any rate, perhaps rephrase to state that you have a GMRF across space, but also model random variation among species and years.</w:t>
      </w:r>
    </w:p>
    <w:p w:rsidR="008317E9" w:rsidRDefault="008317E9">
      <w:r>
        <w:t xml:space="preserve">Eq. 2-3 – This is missing a symbol for spatial factors, which appear to be included in the model.  </w:t>
      </w:r>
      <w:r w:rsidR="004556B2">
        <w:t xml:space="preserve">Also, given that you later explore including depth as a “density covariate”, I would include a symbol for “density covariates” in these equations, which explaining that this was used to explore including depth during a model-selection step.  </w:t>
      </w:r>
    </w:p>
    <w:p w:rsidR="00514019" w:rsidRDefault="00514019">
      <w:r>
        <w:t>Eq. 3 – There’s a log-link here on the left-hand side (instead of the gamma distribution), and then I recommend adding an Eq. 4 showing the Gamma distribution and delta-model formulation (i.e., the probability function for the data given p and r)</w:t>
      </w:r>
    </w:p>
    <w:p w:rsidR="008317E9" w:rsidRDefault="008317E9">
      <w:r>
        <w:t>314 – V is a covariance matrix (this is important, because a Kroenecker product of two correlation matrices would still be a correlation matrix, and hence would be missing information regarding the magnitude of spatio-temporal variation)</w:t>
      </w:r>
    </w:p>
    <w:p w:rsidR="008317E9" w:rsidRDefault="008317E9">
      <w:r>
        <w:t xml:space="preserve">353 – Please rephrase: there’s a log-link for the linear predictor for positive density and a logit-link for the linear predictor for encounter probability.  </w:t>
      </w:r>
    </w:p>
    <w:p w:rsidR="008317E9" w:rsidRDefault="008317E9">
      <w:r>
        <w:t>359 – I would say it included 130,950 “coefficients”, and use the term “parameter” to refer specifically to fixed effects.  This use of coefficients to indicate both fixed and random effects, is why I prefer the term “value” for the numerical value predicted for each random effect (i.e., “factor values” instead of “factor coefficients”)</w:t>
      </w:r>
    </w:p>
    <w:p w:rsidR="008317E9" w:rsidRDefault="008317E9"/>
    <w:p w:rsidR="00514019" w:rsidRDefault="00514019"/>
    <w:p w:rsidR="00514019" w:rsidRPr="00514019" w:rsidRDefault="00514019" w:rsidP="00514019">
      <w:pPr>
        <w:pStyle w:val="Bibliography"/>
        <w:rPr>
          <w:rFonts w:ascii="Calibri" w:hAnsi="Calibri"/>
        </w:rPr>
      </w:pPr>
      <w:r>
        <w:lastRenderedPageBreak/>
        <w:fldChar w:fldCharType="begin"/>
      </w:r>
      <w:r>
        <w:instrText xml:space="preserve"> ADDIN ZOTERO_BIBL {"custom":[]} CSL_BIBLIOGRAPHY </w:instrText>
      </w:r>
      <w:r>
        <w:fldChar w:fldCharType="separate"/>
      </w:r>
      <w:r w:rsidRPr="00514019">
        <w:rPr>
          <w:rFonts w:ascii="Calibri" w:hAnsi="Calibri"/>
        </w:rPr>
        <w:t>Abbott, J. K., A. C. Haynie, and M. N. Reimer. 2015. Hidden Flexibility: Institutions, Incentives, and the Margins of Selectivity in Fishing. Land Economics 91:169–195.</w:t>
      </w:r>
    </w:p>
    <w:p w:rsidR="00514019" w:rsidRPr="00514019" w:rsidRDefault="00514019" w:rsidP="00514019">
      <w:pPr>
        <w:pStyle w:val="Bibliography"/>
        <w:rPr>
          <w:rFonts w:ascii="Calibri" w:hAnsi="Calibri"/>
        </w:rPr>
      </w:pPr>
      <w:r w:rsidRPr="00514019">
        <w:rPr>
          <w:rFonts w:ascii="Calibri" w:hAnsi="Calibri"/>
        </w:rPr>
        <w:t>Cosandey-Godin, A., E. T. Krainski, B. Worm, and J. M. Flemming. 2014. Applying Bayesian spatiotemporal models to fisheries bycatch in the Canadian Arctic. Canadian Journal of Fisheries and Aquatic Sciences 72:186–197.</w:t>
      </w:r>
    </w:p>
    <w:p w:rsidR="00514019" w:rsidRPr="00514019" w:rsidRDefault="00514019" w:rsidP="00514019">
      <w:pPr>
        <w:pStyle w:val="Bibliography"/>
        <w:rPr>
          <w:rFonts w:ascii="Calibri" w:hAnsi="Calibri"/>
        </w:rPr>
      </w:pPr>
      <w:r w:rsidRPr="00514019">
        <w:rPr>
          <w:rFonts w:ascii="Calibri" w:hAnsi="Calibri"/>
        </w:rPr>
        <w:t>Thorson, J. T., R. Fonner, M. A. Haltuch, K. Ono, and H. Winker. 2016. Accounting for spatiotemporal variation and fisher targeting when estimating abundance from multispecies fishery data. Canadian Journal of Fisheries and Aquatic Sciences:1–14.</w:t>
      </w:r>
    </w:p>
    <w:p w:rsidR="00514019" w:rsidRPr="00514019" w:rsidRDefault="00514019" w:rsidP="00514019">
      <w:pPr>
        <w:pStyle w:val="Bibliography"/>
        <w:rPr>
          <w:rFonts w:ascii="Calibri" w:hAnsi="Calibri"/>
        </w:rPr>
      </w:pPr>
      <w:r w:rsidRPr="00514019">
        <w:rPr>
          <w:rFonts w:ascii="Calibri" w:hAnsi="Calibri"/>
        </w:rPr>
        <w:t>Ward, E. J., J. E. Jannot, Y.-W. Lee, K. Ono, A. O. Shelton, and J. T. Thorson. 2015. Using spatiotemporal species distribution models to identify temporally evolving hotspots of species co-occurrence. Ecological Applications 25:2198–2209.</w:t>
      </w:r>
    </w:p>
    <w:p w:rsidR="00514019" w:rsidRDefault="00514019">
      <w:r>
        <w:fldChar w:fldCharType="end"/>
      </w:r>
    </w:p>
    <w:p w:rsidR="00514019" w:rsidRDefault="00514019"/>
    <w:p w:rsidR="00514019" w:rsidRDefault="00514019"/>
    <w:p w:rsidR="00514019" w:rsidRDefault="00514019"/>
    <w:p w:rsidR="007E5353" w:rsidRDefault="007E5353"/>
    <w:sectPr w:rsidR="007E535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C58"/>
    <w:rsid w:val="001A1E5F"/>
    <w:rsid w:val="004556B2"/>
    <w:rsid w:val="00514019"/>
    <w:rsid w:val="005858FA"/>
    <w:rsid w:val="005C78F2"/>
    <w:rsid w:val="00645412"/>
    <w:rsid w:val="00712AAF"/>
    <w:rsid w:val="007433AD"/>
    <w:rsid w:val="007E5353"/>
    <w:rsid w:val="008317E9"/>
    <w:rsid w:val="008E17DC"/>
    <w:rsid w:val="008E2DF7"/>
    <w:rsid w:val="00930BCB"/>
    <w:rsid w:val="00A27718"/>
    <w:rsid w:val="00B95C58"/>
    <w:rsid w:val="00E238EA"/>
    <w:rsid w:val="00E72B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9720"/>
  <w15:chartTrackingRefBased/>
  <w15:docId w15:val="{20462B32-925A-4706-A823-BA1DE293D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14019"/>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2614</Words>
  <Characters>14905</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11</cp:revision>
  <dcterms:created xsi:type="dcterms:W3CDTF">2017-08-30T20:05:00Z</dcterms:created>
  <dcterms:modified xsi:type="dcterms:W3CDTF">2017-08-31T06:24:00Z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id="fKO21AuQ"/&gt;&lt;style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