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Note:  I’m trying to avoid commenting on small editorial differences.</w:t>
      </w:r>
    </w:p>
    <w:tbl>
      <w:tblPr>
        <w:tblW w:w="8996"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485"/>
        <w:gridCol w:w="4511"/>
      </w:tblGrid>
      <w:tr>
        <w:trPr/>
        <w:tc>
          <w:tcPr>
            <w:tcW w:w="44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67-83 – In the main text here somewhere, could you please indicate (1) whether you are including factors for spatial variation, spatio-temporal variation, or both, (2) how many factors you are including for each model component, and (3) what rotation you are using when presenting results (from the following it looks like PCA rotation)?  I think it would only need 1 sentence, and you could reference the Methods for details.  Or:  maybe this is a bad idea, I’m not really used to writing for journals with this Methods-last format!</w:t>
            </w:r>
          </w:p>
        </w:tc>
        <w:tc>
          <w:tcPr>
            <w:tcW w:w="4511"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 have tried to deal with these two points together. The text now reads:</w:t>
            </w:r>
          </w:p>
          <w:p>
            <w:pPr>
              <w:pStyle w:val="TableContents"/>
              <w:spacing w:before="0" w:after="160"/>
              <w:rPr/>
            </w:pPr>
            <w:r>
              <w:rPr/>
              <w:t>“</w:t>
            </w:r>
            <w:r>
              <w:rPr/>
              <w:t>...We Implement a factor analysis decomposition to describe trends in spatiotemporal dynamics of the different species as a function of latent variables {Thorson2015} representing spatial variation (9 factors; which we call 'average' spatial variation) and spatio-temporal variation (9 factors) for encounter probability and positive                                             catch rates (which we describe as 'positive density') separately {Thorson2015a}. We use the resultant exploratory factor analysis to identify community dynamics and drivers common among 18 species-groups and present results through transformation of the loading matrices through PCA rotation. By describing the species-groups dynamics through underlying contributory spatiotemporal factors we can take account of how the factors contribute to affect catches of the species-groups in mixed fisheries….”</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line 74-76 – Please rephrase, the wording is awkward as-is.  I think you mean that the estimated factors can then be compared with measured covariates to refine hypotheses regarding what is driving observed covariation?</w:t>
            </w:r>
          </w:p>
        </w:tc>
        <w:tc>
          <w:tcPr>
            <w:tcW w:w="4511"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82 – perhaps change “such as survey catch rate differences” to “such as differences in survey sampling efficiency (a.k.a. catchability)”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86 – This sentence seems redundant given the greater detail provided later in the paragraph regarding the number of species in commercial catch, I suggest combining with the sentence starting on line 87.</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 – trimmed/combined</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106 – “the first factor (after PCA-rotation)”, i.e., please remind the reader that presented factor values and loadings matrices are after rotation.</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109 – I’d change “positive coefficient” to “positive value”</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110 – I’d change “negative association” to “negative value”, or regardless maintain consistency with earlier terminology.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Fig. 1 – are you sure that the values are right for variance-explained in panel A vs. panel B?  It seems unlikely that they would be identical to the 3</w:t>
            </w:r>
            <w:r>
              <w:rPr>
                <w:vertAlign w:val="superscript"/>
              </w:rPr>
              <w:t>rd</w:t>
            </w:r>
            <w:r>
              <w:rPr/>
              <w:t xml:space="preserve"> digit for each factor.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Good spot! Is corrected with the right values </w:t>
            </w:r>
            <w:r>
              <w:rPr/>
              <w:t>for the positive density results</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Fig. 3 caption – what confidence interval was used to define which spanned zero?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 </w:t>
            </w:r>
            <w:r>
              <w:rPr/>
              <w:t>1.96 * S</w:t>
            </w:r>
            <w:r>
              <w:rPr/>
              <w:t>E</w:t>
            </w:r>
            <w:r>
              <w:rPr/>
              <w:t xml:space="preserve"> : added </w:t>
            </w:r>
            <w:r>
              <w:rPr/>
              <w:t>this</w:t>
            </w:r>
            <w:r>
              <w:rPr/>
              <w:t xml:space="preserve"> to the figure legend</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Fig. 4 – I couldn’t really figure out the rationale for the coloring used in panels A-G without reference to the text.  E.g., clearly panel F has pink and brown, corresponding to megrim and anglerfishes in panel H.  However, each map shows spatial variable (perhaps the log-ratio of expected megrim to anglerfishes), so is pink indicating areas where E[megrim] &gt; E[anglerfishes] and brown the opposite?  It would be good to explain the color-coding in more detail, including the scale used for colors in each panel (perhaps by including an insert colorbar in each panel A-G).</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I have added a </w:t>
            </w:r>
            <w:r>
              <w:rPr>
                <w:lang w:val="en-GB"/>
              </w:rPr>
              <w:t>colour</w:t>
            </w:r>
            <w:r>
              <w:rPr/>
              <w:t xml:space="preserve"> bar for  for each panel under the title </w:t>
            </w:r>
            <w:r>
              <w:rPr/>
              <w:t>of each plot</w:t>
            </w:r>
            <w:r>
              <w:rPr/>
              <w:t>.</w:t>
            </w:r>
          </w:p>
          <w:p>
            <w:pPr>
              <w:pStyle w:val="TableContents"/>
              <w:spacing w:before="0" w:after="160"/>
              <w:rPr/>
            </w:pPr>
            <w:r>
              <w:rPr/>
              <w:t xml:space="preserve">The representation is the differences between the standardised (i.e. den(i) / sum(den)) for each species pairs at each location : added </w:t>
            </w:r>
            <w:r>
              <w:rPr/>
              <w:t>this</w:t>
            </w:r>
            <w:r>
              <w:rPr/>
              <w:t xml:space="preserve"> to the figure legend</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116 – “on the second [spatial] factor [for encounter probability]”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127 – “with the positive [values]”;  again, you could use some other term, but hope we’re consistent throughout.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131 – Change “while a factor composition” to “While this exploratory factor analysis”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134 – Perhaps change “density” to “positive density”, and use “positive density” throughout to reference the 2</w:t>
            </w:r>
            <w:r>
              <w:rPr>
                <w:vertAlign w:val="superscript"/>
              </w:rPr>
              <w:t>nd</w:t>
            </w:r>
            <w:r>
              <w:rPr/>
              <w:t xml:space="preserve"> component of the delta model.  I think “density” is a bit too non-specific to me a good moniker for this model component.</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143 – Hmm.  Just as a discussion point, you’re aware that you could include depth as an explicit “dynamic habitat covariate” (which specifying that it doesn’t change among years), and treat the species-specific depth coefficient as a “factor loading” while still calculating covariane arising from factors + covariates?  I think our current approach is fine, but want you to be aware of the alternative path we could follow.  NOTE:  I see in the Methods that you explored this other model specification.  Perhaps add a sentence stating that you explored this, and reference the methods or Suppl Mat section where it is dealt with in more detail.</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Yes, this was not working / improving the model. I’m unsure why this was, it may have been I was not implementing it correctly...but I tried a few ways and it didn’t reduce the AIC.  May be something we get called on, but I’ve for now included a sentence as suggested:</w:t>
            </w:r>
          </w:p>
          <w:p>
            <w:pPr>
              <w:pStyle w:val="TableContents"/>
              <w:spacing w:before="0" w:after="160"/>
              <w:rPr/>
            </w:pPr>
            <w:r>
              <w:rPr/>
              <w:t>“</w:t>
            </w:r>
            <w:r>
              <w:rPr/>
              <w:t>While depth was incorporated as a covariate in an alternative model formulation (see Methods), it was found not to improve predictions. The utility of these variables as predictors of species distributions has been identified in other marine species distribution models \cite{Robinson2011}; the advantage to the approach taken here is that, where such data is unavailable at appropriate spatial resolution, the spatial factor analysis can adequately characterise these influences on species dynamics.”</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162 – “This suggests that [one or more] common environmental driver[s]”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223 – “through megrim has a stable density across the modeled area as indicated”</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Done</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230-239 – I think this presentation is very cool!  Could you add 1-2 sentences to the introduction foreshadowing this difference in relative catch rate among gear types?  I’d be curious about the mechanistic properties of otter vs. beam trawls (are they fishing closer to the bottom, or have a higher headrope to herd pelagic species?) to interpret this, even in just a post-hoc way.</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Have added a sentence:</w:t>
            </w:r>
          </w:p>
          <w:p>
            <w:pPr>
              <w:pStyle w:val="TableContents"/>
              <w:spacing w:before="0" w:after="160"/>
              <w:rPr/>
            </w:pPr>
            <w:r>
              <w:rPr/>
              <w:t>“</w:t>
            </w:r>
            <w:r>
              <w:rPr/>
              <w:t>Otter trawl gears are known to have higher catch rates of roundfish due to the higher headline and wider sweeps which herd demersal fish into the net. Conversely, beam trawls, which employ chain mesh to 'dig' benthic flatfish species, have higher catch rates for these species {Fraser2008}.”</w:t>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257-262 – please see Breivik et al. 2016 CJFAS (don’t have citation info on this computer, but studied bycatch in Norwegian shrimp fishery using fine-scale spatio-temporal models), or </w:t>
            </w:r>
            <w:r>
              <w:fldChar w:fldCharType="begin"/>
            </w:r>
            <w:r>
              <w:instrText>ADDIN ZOTERO_ITEM CSL_CITATION {"citationID":"rqokrb9u2","properties":{"formattedCitation":"(Cosandey-Godin et al. 2014, Ward et al. 2015)","plainCitation":"(Cosandey-Godin et al. 2014, Ward et al. 2015)"},"citationItems":[{"id":1154,"uris":["http://zotero.org/users/251206/items/QDVUDHJV"],"uri":["http://zotero.org/users/251206/items/QDVUDHJV"],"itemData":{"id":1154,"type":"article-journal","title":"Applying Bayesian spatiotemporal models to fisheries bycatch in the Canadian Arctic","container-title":"Canadian Journal of Fisheries and Aquatic Sciences","page":"186-197","volume":"72","issue":"2","source":"NRC Research Press","abstract":"Understanding and reducing the incidence of accidental bycatch, particularly for vulnerable species such as sharks, is a major challenge for contemporary fisheries management. Here we establish integrated nested Laplace approximations (INLA) and stochastic partial differential equations (SPDE) as two powerful tools for modelling patterns of bycatch through time and space. These novel, computationally fast approaches are applied to fit zero-inflated hierarchical spatiotemporal models to Greenland shark (Somniosus microcephalus) bycatch data from the Baffin Bay Greenland halibut (Reinhardtius hippoglossoides) gillnet fishery. Results indicate that Greenland shark bycatch is clustered in space and time, varies significantly from year to year, and there are both tractable factors (number of gillnet panels, total Greenland halibut catch) and physical features (bathymetry) leading to the high incidence of Greenland shark bycatch. Bycatch risk could be reduced by limiting access to spatiotemporal hotspots or by ..., Comprendre et minimiser les répercussions relatives aux prises accessoires accidentelles, et plus particulièrement celles touchant les espèces vulnérables, tel le requin, constituent de nos jours un défi de taille en gestion halieutique. Par la présente recherche, nous soumettons que les approximations intégrées et agglomérées de Laplace (INLA) ainsi que les équations différentielles partielles stochastiques (EDPS), représentent de puissants outils de modélisation de la répartition des prises accessoires dans l’espace et le temps. Ces nouvelles approches informatiques, efficaces et innovantes sont ici utilisées afin de reproduire des modèles spatiotemporels hiérarchiques à inflation zéro en les appliquant aux données relatives aux prises accessoires du requin du Groenland (Somniosus microcephalus) dans la pêche au filet maillant du flétan noir (Reinhardtius hippoglossoides) de la baie de Baffin. Les résultats obtenus démontrent que les prises accessoires du requin du Groenland sont dispersées dans l’espac...","DOI":"10.1139/cjfas-2014-0159","ISSN":"0706-652X","journalAbbreviation":"Can. J. Fish. Aquat. Sci.","author":[{"family":"Cosandey-Godin","given":"Aurelie"},{"family":"Krainski","given":"Elias Teixeira"},{"family":"Worm","given":"Boris"},{"family":"Flemming","given":"Joanna Mills"}],"issued":{"date-parts":[["2014",9,29]]}}},{"id":3191,"uris":["http://zotero.org/users/251206/items/EWJKN97A"],"uri":["http://zotero.org/users/251206/items/EWJKN97A"],"itemData":{"id":3191,"type":"article-journal","title":"Using spatiotemporal species distribution models to identify temporally evolving hotspots of species co-occurrence","container-title":"Ecological Applications","page":"2198-2209","volume":"25","issue":"8","source":"Wiley Online Library","abstract":"Identifying spatiotemporal hotspots is important for understanding basic ecological processes, but is particularly important for species at risk. A number of terrestrial and aquatic species are indirectly affected by anthropogenic impacts, simply because they tend to be associated with species that are targeted for removals. Using newly developed statistical models that allow for the inclusion of time-varying spatial effects, we examine how the co-occurrence of a targeted and nontargeted species can be modeled as a function of environmental covariates (temperature, depth) and interannual variability. The nontarget species in our case study (eulachon) is listed under the U.S. Endangered Species Act, and is encountered by fisheries off the U.S. West Coast that target pink shrimp. Results from our spatiotemporal model indicated that eulachon bycatch risk decreases with depth and has a convex relationship with sea surface temperature. Additionally, we found that over the 2007–2012 period, there was support for an increase in eulachon density from both a fishery data set (+40%) and a fishery-independent data set (+55%). Eulachon bycatch has increased in recent years, but the agreement between these two data sets implies that increases in bycatch are not due to an increase in incidental targeting of eulachon by fishing vessels, but because of an increasing population size of eulachon. Based on our results, the application of spatiotemporal models to species that are of conservation concern appears promising in identifying the spatial distribution of environmental and anthropogenic risks to the population.","DOI":"10.1890/15-0051.1","ISSN":"1939-5582","language":"en","author":[{"family":"Ward","given":"Eric J."},{"family":"Jannot","given":"Jason E."},{"family":"Lee","given":"Yong-Woo"},{"family":"Ono","given":"Kotaro"},{"family":"Shelton","given":"Andrew O."},{"family":"Thorson","given":"James T."}],"issued":{"date-parts":[["2015",12,1]]}}}],"schema":"https://github.com/citation-style-language/schema/raw/master/csl-citation.json"}</w:instrText>
            </w:r>
            <w:r>
              <w:fldChar w:fldCharType="separate"/>
            </w:r>
            <w:bookmarkStart w:id="1" w:name="__Fieldmark__56_10237539"/>
            <w:r>
              <w:rPr/>
            </w:r>
            <w:r>
              <w:rPr/>
              <w:t>(Cosandey-Godin et al. 2014, Ward et al. 2015)</w:t>
            </w:r>
            <w:r>
              <w:rPr/>
            </w:r>
            <w:r>
              <w:fldChar w:fldCharType="end"/>
            </w:r>
            <w:bookmarkEnd w:id="1"/>
            <w:r>
              <w:rPr/>
              <w:t xml:space="preserve"> for examples discussing this approach.</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267-274 – I think a stronger way to word this is:  we assume that fisheries can achieve roughly the same catch as the survey at a given place and time.  Therefore, this analysis shows how much locational decisions can separate catches of different species in a mixed fishery.  However, in practice fishers can also separate amongst species using fine-scale behaviors (gear deployment, time-of-day, fine-spatial scale, bottom sensor, etc.), see </w:t>
            </w:r>
            <w:r>
              <w:fldChar w:fldCharType="begin"/>
            </w:r>
            <w:r>
              <w:instrText>ADDIN ZOTERO_ITEM CSL_CITATION {"citationID":"2b7ubemc6h","properties":{"formattedCitation":"(Abbott et al. 2015, Thorson et al. 2016)","plainCitation":"(Abbott et al. 2015, Thorson et al. 2016)"},"citationItems":[{"id":3185,"uris":["http://zotero.org/users/251206/items/J7M33NV6"],"uri":["http://zotero.org/users/251206/items/J7M33NV6"],"itemData":{"id":3185,"type":"article-journal","title":"Hidden Flexibility: Institutions, Incentives, and the Margins of Selectivity in Fishing","container-title":"Land Economics","page":"169-195","volume":"91","issue":"1","source":"le.uwpress.org","abstract":"The degree to which selectivity in fisheries is malleable to changes in incentive structures is critical for policy design. We examine data for a multispecies trawl fishery before and after a transition from management under common-pool quotas to a fishery cooperative and note a substantial shift in postcooperative catch from bycatch and toward valuable target species. We examine the margins used to affect catch composition, finding that large- and fine-scale spatial decision making and avoidance of night-fishing were critical. We argue that the poor incentives for selectivity in many systems may obscure significant flexibility in multispecies production technologies. (JEL Q22, Q28)","DOI":"10.3368/le.91.1.169","ISSN":"0023-7639, 1543-8325","shortTitle":"Hidden Flexibility","journalAbbreviation":"Land Economics","language":"en","author":[{"family":"Abbott","given":"Joshua K."},{"family":"Haynie","given":"Alan C."},{"family":"Reimer","given":"Matthew N."}],"issued":{"date-parts":[["2015",2,1]]}}},{"id":4166,"uris":["http://zotero.org/users/251206/items/DJB7URSE"],"uri":["http://zotero.org/users/251206/items/DJB7URSE"],"itemData":{"id":4166,"type":"article-journal","title":"Accounting for spatiotemporal variation and fisher targeting when estimating abundance from multispecies fishery data","container-title":"Canadian Journal of Fisheries and Aquatic Sciences","page":"1-14","source":"NRC Research Press","abstract":"Estimating trends in abundance from fishery catch rates is one of the oldest endeavors in fisheries science. However, many jurisdictions do not analyze fishery catch rates due to concerns that these data confound changes in fishing behavior (adjustments in fishing location or gear operation) with trends in abundance. In response, we developed a spatial dynamic factor analysis (SDFA) model that decomposes covariation in multispecies catch rates into components representing spatial variation and fishing behavior. SDFA estimates spatiotemporal variation in fish density for multiple species and accounts for fisher behavior at large spatial scales (i.e., choice of fishing location) while controlling for fisher behavior at fine spatial scales (e.g., daily timing of fishing activity). We first use a multispecies simulation experiment to show that SDFA decreases bias in abundance indices relative to ignoring spatial adjustments and fishing tactics. We then present results for a case study involving petrale sole (..., L’estimation des tendances d’abondance à partir de taux de prises des pêches est une des pratiques les plus anciennes des sciences halieutiques. De nombreux pays n’analysent cependant pas les taux de prises des pêches parce que ces données pourraient ne pas distinguer les modifications des comportements de pêche (ajustements du lieu de pêche ou de l’utilisation d’engins) des tendances d’abondance. Nous avons donc développé un modèle d’analyse des facteurs de dynamique spatiale (SDFA) qui décompose la covariation des taux de prises multiespèces en différentes composantes représentant la variation spatiale et le comportement de pêche. La SDFA estime les variations spatiotemporelles de densité de poissons pour des espèces multiples et tient compte du comportement de pêche à de grandes échelles spatiales (c.-à-d., le choix du lieu de pêche), tout en contrôlant pour le comportement des pêcheurs à petites échelles spatiales (p. ex. l’heure du jour de l’activité de pêche). Nous utilisons d’abord une expérience d...","DOI":"10.1139/cjfas-2015-0598","ISSN":"0706-652X","journalAbbreviation":"Can. J. Fish. Aquat. Sci.","author":[{"family":"Thorson","given":"James T."},{"family":"Fonner","given":"Robert"},{"family":"Haltuch","given":"Melissa A."},{"family":"Ono","given":"Kotaro"},{"family":"Winker","given":"Henning"}],"issued":{"date-parts":[["2016",4,6]]}}}],"schema":"https://github.com/citation-style-language/schema/raw/master/csl-citation.json"}</w:instrText>
            </w:r>
            <w:r>
              <w:fldChar w:fldCharType="separate"/>
            </w:r>
            <w:bookmarkStart w:id="2" w:name="__Fieldmark__63_10237539"/>
            <w:r>
              <w:rPr/>
            </w:r>
            <w:r>
              <w:rPr/>
              <w:t>(Abbott et al. 2015, Thorson et al. 2016)</w:t>
            </w:r>
            <w:r>
              <w:rPr/>
            </w:r>
            <w:r>
              <w:fldChar w:fldCharType="end"/>
            </w:r>
            <w:bookmarkEnd w:id="2"/>
            <w:r>
              <w:rPr/>
              <w:t xml:space="preserve">.  So in practice, this analysis provides a lower-bound on how much species can be avoided.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288 – Its technically a 2D Gaussian Markov random field, and then the third dimension (time) is treated as 0</w:t>
            </w:r>
            <w:r>
              <w:rPr>
                <w:vertAlign w:val="superscript"/>
              </w:rPr>
              <w:t>th</w:t>
            </w:r>
            <w:r>
              <w:rPr/>
              <w:t xml:space="preserve"> order Markov (i.e., IID).  NOTE: later I see that you maybe mean species as the 3</w:t>
            </w:r>
            <w:r>
              <w:rPr>
                <w:vertAlign w:val="superscript"/>
              </w:rPr>
              <w:t>rd</w:t>
            </w:r>
            <w:r>
              <w:rPr/>
              <w:t xml:space="preserve"> dimension (not time).  At any rate, perhaps rephrase to state that you have a GMRF across space, but also model random variation among species and years.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Eq. 2-3 – This is missing a symbol for spatial factors, which appear to be included in the model.  Also, given that you later explore including depth as a “density covariate”, I would include a symbol for “density covariates” in these equations, which explaining that this was used to explore including depth during a model-selection step.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Eq. 3 – There’s a log-link here on the left-hand side (instead of the gamma distribution), and then I recommend adding an Eq. 4 showing the Gamma distribution and delta-model formulation (i.e., the probability function for the data given p and r)</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314 – V is a covariance matrix (this is important, because a Kroenecker product of two correlation matrices would still be a correlation matrix, and hence would be missing information regarding the magnitude of spatio-temporal variation)</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 xml:space="preserve">353 – Please rephrase: there’s a log-link for the linear predictor for positive density and a logit-link for the linear predictor for encounter probability.  </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448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rPr/>
            </w:pPr>
            <w:r>
              <w:rPr/>
              <w:t>359 – I would say it included 130,950 “coefficients”, and use the term “parameter” to refer specifically to fixed effects.  This use of coefficients to indicate both fixed and random effects, is why I prefer the term “value” for the numerical value predicted for each random effect (i.e., “factor values” instead of “factor coefficients”)</w:t>
            </w:r>
          </w:p>
        </w:tc>
        <w:tc>
          <w:tcPr>
            <w:tcW w:w="451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fldChar w:fldCharType="begin"/>
      </w:r>
      <w:r>
        <w:instrText>ADDIN ZOTERO_BIBL {"custom":[]} CSL_BIBLIOGRAPHY</w:instrText>
      </w:r>
      <w:r>
        <w:fldChar w:fldCharType="separate"/>
      </w:r>
      <w:bookmarkStart w:id="3" w:name="__Fieldmark__81_10237539"/>
      <w:r>
        <w:rPr/>
      </w:r>
      <w:r>
        <w:rPr/>
        <w:t>Abbott, J. K., A. C. Haynie, and M. N. Reimer. 2015. Hidden Flexibility: Institutions, Incentives, and the Margins of Selectivity in Fishing. Land Economics 91:169–195.</w:t>
      </w:r>
      <w:bookmarkEnd w:id="3"/>
      <w:r>
        <w:rPr/>
      </w:r>
      <w:r>
        <w:fldChar w:fldCharType="end"/>
      </w:r>
    </w:p>
    <w:p>
      <w:pPr>
        <w:pStyle w:val="Bibliography"/>
        <w:rPr>
          <w:rFonts w:ascii="Calibri" w:hAnsi="Calibri"/>
        </w:rPr>
      </w:pPr>
      <w:r>
        <w:rPr/>
        <w:t>Cosandey-Godin, A., E. T. Krainski, B. Worm, and J. M. Flemming. 2014. Applying Bayesian spatiotemporal models to fisheries bycatch in the Canadian Arctic. Canadian Journal of Fisheries and Aquatic Sciences 72:186–197.</w:t>
      </w:r>
    </w:p>
    <w:p>
      <w:pPr>
        <w:pStyle w:val="Bibliography"/>
        <w:rPr>
          <w:rFonts w:ascii="Calibri" w:hAnsi="Calibri"/>
        </w:rPr>
      </w:pPr>
      <w:r>
        <w:rPr/>
        <w:t>Thorson, J. T., R. Fonner, M. A. Haltuch, K. Ono, and H. Winker. 2016. Accounting for spatiotemporal variation and fisher targeting when estimating abundance from multispecies fishery data. Canadian Journal of Fisheries and Aquatic Sciences:1–14.</w:t>
      </w:r>
    </w:p>
    <w:p>
      <w:pPr>
        <w:pStyle w:val="Bibliography"/>
        <w:rPr>
          <w:rFonts w:ascii="Calibri" w:hAnsi="Calibri"/>
        </w:rPr>
      </w:pPr>
      <w:r>
        <w:rPr/>
        <w:t>Ward, E. J., J. E. Jannot, Y.-W. Lee, K. Ono, A. O. Shelton, and J. T. Thorson. 2015. Using spatiotemporal species distribution models to identify temporally evolving hotspots of species co-occurrence. Ecological Applications 25:2198–2209.</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514019"/>
    <w:pPr>
      <w:spacing w:lineRule="auto" w:line="480" w:before="0" w:after="0"/>
      <w:ind w:left="720" w:hanging="72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LibreOffice/5.1.6.2$Linux_X86_64 LibreOffice_project/10m0$Build-2</Application>
  <Pages>5</Pages>
  <Words>1544</Words>
  <Characters>8260</Characters>
  <CharactersWithSpaces>9854</CharactersWithSpaces>
  <Paragraphs>52</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2017-08-30T20:05:00Z</dcterms:created>
  <dc:creator>Thorson, James</dc:creator>
  <dc:description/>
  <dc:language>en-GB</dc:language>
  <cp:lastModifiedBy/>
  <dcterms:modified xsi:type="dcterms:W3CDTF">2017-08-31T16:05:18Z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zotero-version="4.0.28.7"&gt;&lt;session id="fKO21AuQ"/&gt;&lt;style id="http://www.zotero.org/styles/ecology" hasBibliography="1" bibliographyStyleHasBeenSet="1"/&gt;&lt;prefs&gt;&lt;pref name="fieldType" value="Field"/&gt;&lt;pref name="storeReferences" value=</vt:lpwstr>
  </property>
  <property fmtid="{D5CDD505-2E9C-101B-9397-08002B2CF9AE}" pid="10" name="ZOTERO_PREF_2">
    <vt:lpwstr>"true"/&gt;&lt;pref name="automaticJournalAbbreviations" value="true"/&gt;&lt;pref name="noteType" value=""/&gt;&lt;/prefs&gt;&lt;/data&gt;</vt:lpwstr>
  </property>
</Properties>
</file>