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KENDRY &amp; SLATE</w:t>
      </w:r>
    </w:p>
    <w:p>
      <w:r>
        <w:rPr>
          <w:sz w:val="20"/>
          <w:szCs w:val="20"/>
        </w:rPr>
        <w:t xml:space="preserve">Matter: NexaCare Health Group — Project Whitegum (acquisition of Whitegum Medical Centres)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Client correspondence log (extract) — client-facing communications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50"/>
        <w:gridCol w:w="2700"/>
        <w:gridCol w:w="1150"/>
        <w:gridCol w:w="326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115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2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Subject / note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18 Aug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J. Bentley (K&amp;S) → Dr A. Keller (NexaCare)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Engagement letter and fee estimate issued.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19 Aug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 A. Keller → J. Bentley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 engagement returned. CEO requests a weekly one-page status update.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21 Aug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(K&amp;S) → NexaCare deal group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Kick-off: scope, accelerated timetable and contact points confirmed.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22 Aug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→ J. Wu (GC)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Week-1 status one-pager — on schedule.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29 Aug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→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Week-2 status one-pager — data-room access confirmed; diligence commenced.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D. O'Connell (K&amp;S) → Landlord's agent (Parramatta)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Letter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Change-of-control consent request lodged; 14-day response period noted.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5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→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Week-3 status one-pager — leases and TSA review under way.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8 Sep 2025, 9:12am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J. Wu → J. Bentley / L. Chen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Forwards MediTrax notice letter; urgent advice requested.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8 Sep 2025, 9:40am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J. Bentley →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Acknowledgement only — team tasked; substantive advice to follow.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9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Keller's EA → L. Chen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(message)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requests an update call. No return call recorded.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10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Keller's EA → L. Chen / D. O'Connell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(message)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 request for update. No return call recorded.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11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Keller's EA → P. Iyer (partner)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Escalation: “the CEO has had no update since Monday.”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12 Sep 2025, 8:55am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Landlord's agent → Dr A. Keller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contacts the client directly regarding Parramatta consent status.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12 Sep 2025, 11:30am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P. Iyer → Dr A. Keller /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MediTrax one-pager and consent status update delivered; call held 2:00pm.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15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→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one-pager resumes; daily crisis bulletin agreed for the EHR negotiation.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19 Sep 2025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L. Chen → J. Wu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Week-5 status one-pager — MediTrax without-prejudice call scheduled.</w:t>
            </w:r>
          </w:p>
        </w:tc>
      </w:tr>
    </w:tbl>
    <w:p>
      <w:pPr>
        <w:spacing w:before="240"/>
      </w:pPr>
      <w:r>
        <w:rPr>
          <w:i/>
          <w:iCs/>
          <w:sz w:val="16"/>
          <w:szCs w:val="16"/>
        </w:rPr>
        <w:t xml:space="preserve">Prepared from the matter file for internal service review. Internal team communications are not recorded in this extract.</w:t>
      </w:r>
    </w:p>
    <w:p>
      <w:pPr>
        <w:spacing w:before="120"/>
      </w:pPr>
      <w:r>
        <w:rPr>
          <w:i/>
          <w:iCs/>
          <w:color w:val="808080"/>
          <w:sz w:val="16"/>
          <w:szCs w:val="16"/>
        </w:rPr>
        <w:t xml:space="preserve">Fictional teaching document — UNSW LAWS8198 (Legal Project Management). Not legal advice; all names, entities and events are invented.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2026-07-23T07:43:10.844Z</dcterms:created>
  <dcterms:modified xsi:type="dcterms:W3CDTF">2026-07-23T07:43:10.844Z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