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Extract</w:t>
      </w:r>
    </w:p>
    <w:p>
      <w:r>
        <w:t>MediTrax Systems Pty Ltd (ACN 604 218 993) (Supplier) and Whitegum Medical Centres Pty Ltd (ACN 118 442 307) (Customer) — dated 14 March 2019. Extract of clauses relevant to change of control and data migration. Schedules 3 (Service Levels) and 6 (Fees) not reproduced.</w:t>
      </w:r>
    </w:p>
    <w:p>
      <w:r>
        <w:rPr>
          <w:i/>
          <w:sz w:val="16"/>
        </w:rPr>
        <w:t>FICTIONAL DOCUMENT — created for legal-technology teaching (UNSW / Mike Australia case study). All entities, people and terms are invented. Not a real agreement. Not legal advice.</w:t>
      </w:r>
    </w:p>
    <w:p>
      <w:pPr>
        <w:pStyle w:val="Heading1"/>
      </w:pPr>
      <w:r>
        <w:t>14. Assignment and change of control</w:t>
      </w:r>
    </w:p>
    <w:p>
      <w:r>
        <w:t>14.1 Neither party may assign or novate this agreement without the prior written consent of the other party, which must not be unreasonably withheld or delayed.</w:t>
      </w:r>
    </w:p>
    <w:p>
      <w:r>
        <w:t>14.2 The Customer must notify the Supplier in writing within 10 Business Days after any change in the ownership or control of the Customer (including a transfer of all or a majority of the shares in the Customer).</w:t>
      </w:r>
    </w:p>
    <w:p>
      <w:r>
        <w:t>14.3 A change of control of the Customer is taken to be an assignment for the purposes of clause 14.1, and the Supplier may withhold consent only where it reasonably considers that the change of control materially increases the risk to the security or privacy of Patient Data held on the Platform.</w:t>
      </w:r>
    </w:p>
    <w:p>
      <w:r>
        <w:t>14.4 The Supplier must respond to any request for consent under this clause within 15 Business Days of receiving reasonable information about the incoming controller, including its identity, ownership structure and information-security accreditation. If the Supplier does not respond within that period, consent is taken to have been given.</w:t>
      </w:r>
    </w:p>
    <w:p>
      <w:r>
        <w:t>14.5 The Supplier is not entitled to vary the Fees, or to impose new fees or conditions, by reason only of a change of control of the Customer.</w:t>
      </w:r>
    </w:p>
    <w:p>
      <w:pPr>
        <w:pStyle w:val="Heading1"/>
      </w:pPr>
      <w:r>
        <w:t>18. Data portability</w:t>
      </w:r>
    </w:p>
    <w:p>
      <w:r>
        <w:t>18.1 The Customer owns all Customer Data, including all Patient Data.</w:t>
      </w:r>
    </w:p>
    <w:p>
      <w:r>
        <w:t>18.2 On request by the Customer, the Supplier must provide an export of the Customer Data in a commonly used, machine-readable format within 15 Business Days of the request.</w:t>
      </w:r>
    </w:p>
    <w:p>
      <w:r>
        <w:t>18.3 The Supplier may charge its reasonable costs, at the rates in Schedule 6, for more than two (2) bulk exports in any 12-month period.</w:t>
      </w:r>
    </w:p>
    <w:p>
      <w:r>
        <w:t>18.4 On expiry or termination of this agreement, the Supplier must retain the Customer Data for 90 days and must provide a final export under clause 18.2 before deleting it.</w:t>
      </w:r>
    </w:p>
    <w:p>
      <w:pPr>
        <w:pStyle w:val="Heading1"/>
      </w:pPr>
      <w:r>
        <w:t>19. Cooperation and transition assistance</w:t>
      </w:r>
    </w:p>
    <w:p>
      <w:r>
        <w:t>19.1 The Supplier must provide reasonable assistance requested by the Customer in connection with any migration of the Customer Data to another platform, including making available current data schemas and interface documentation.</w:t>
      </w:r>
    </w:p>
    <w:p>
      <w:r>
        <w:t>19.2 Assistance under clause 19.1 beyond the provision of documentation is chargeable at the Supplier's then-current rates in Schedule 6.</w:t>
      </w:r>
    </w:p>
    <w:p>
      <w:r>
        <w:t>19.3 The Supplier is not required to provide assistance under this clause to the extent the Customer is in material breach of this agreement and has failed to remedy that breach in accordance with clause 25.</w:t>
      </w:r>
    </w:p>
    <w:p>
      <w:pPr>
        <w:pStyle w:val="Heading1"/>
      </w:pPr>
      <w:r>
        <w:t>22. Privacy and security</w:t>
      </w:r>
    </w:p>
    <w:p>
      <w:r>
        <w:t>22.1 Each party must comply with the Privacy Act 1988 (Cth), including the Australian Privacy Principles, in connection with Patient Data.</w:t>
      </w:r>
    </w:p>
    <w:p>
      <w:r>
        <w:t>22.2 The Customer must ensure that any third party to whom Patient Data is disclosed in connection with a migration is subject to obligations substantially equivalent to this clause 22.</w:t>
      </w:r>
    </w:p>
    <w:p>
      <w:r>
        <w:t>22.3 The Customer must, on reasonable request, provide the Supplier with a summary of its information-security measures relevant to the Platform. The Supplier must keep that summary confidential.</w:t>
      </w:r>
    </w:p>
    <w:p>
      <w:r>
        <w:t>22.4 Each party must notify the other promptly of any actual or suspected eligible data breach involving Patient Data and must cooperate in any notification required under Part IIIC of the Privacy Act 1988 (Cth).</w:t>
      </w:r>
    </w:p>
    <w:p>
      <w:pPr>
        <w:pStyle w:val="Heading1"/>
      </w:pPr>
      <w:r>
        <w:t>25. Suspension, breach and cure</w:t>
      </w:r>
    </w:p>
    <w:p>
      <w:r>
        <w:t>25.1 The Supplier may suspend access to the Platform (in whole or in part, including by restricting access to read-only) only where: (a) suspension is necessary to protect the security or integrity of the Platform or Patient Data; or (b) the Customer has failed to pay undisputed Fees and has not remedied that failure within 20 Business Days of written notice.</w:t>
      </w:r>
    </w:p>
    <w:p>
      <w:r>
        <w:t>25.2 Before suspending under clause 25.1, the Supplier must give the Customer as much notice as is reasonably practicable and must limit the suspension to the minimum extent and duration necessary.</w:t>
      </w:r>
    </w:p>
    <w:p>
      <w:r>
        <w:t>25.3 A party in material breach must be given written notice specifying the breach and a period of 20 Business Days to remedy it before the other party may exercise any right of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