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146AEA" w14:textId="77777777" w:rsidR="00CD75FE" w:rsidRDefault="00000000">
      <w:pPr>
        <w:spacing w:after="40"/>
      </w:pPr>
      <w:proofErr w:type="spellStart"/>
      <w:r>
        <w:rPr>
          <w:b/>
          <w:bCs/>
          <w:color w:val="1F3B57"/>
          <w:sz w:val="32"/>
          <w:szCs w:val="32"/>
        </w:rPr>
        <w:t>NexaCare</w:t>
      </w:r>
      <w:proofErr w:type="spellEnd"/>
      <w:r>
        <w:rPr>
          <w:b/>
          <w:bCs/>
          <w:color w:val="1F3B57"/>
          <w:sz w:val="32"/>
          <w:szCs w:val="32"/>
        </w:rPr>
        <w:t xml:space="preserve"> — </w:t>
      </w:r>
      <w:proofErr w:type="spellStart"/>
      <w:r>
        <w:rPr>
          <w:b/>
          <w:bCs/>
          <w:color w:val="1F3B57"/>
          <w:sz w:val="32"/>
          <w:szCs w:val="32"/>
        </w:rPr>
        <w:t>Whitegum</w:t>
      </w:r>
      <w:proofErr w:type="spellEnd"/>
      <w:r>
        <w:rPr>
          <w:b/>
          <w:bCs/>
          <w:color w:val="1F3B57"/>
          <w:sz w:val="32"/>
          <w:szCs w:val="32"/>
        </w:rPr>
        <w:t xml:space="preserve"> Acquisition</w:t>
      </w:r>
    </w:p>
    <w:p w14:paraId="2E566CEC" w14:textId="3A9CEAEC" w:rsidR="00CD75FE" w:rsidRDefault="00000000">
      <w:pPr>
        <w:spacing w:after="40"/>
      </w:pPr>
      <w:r>
        <w:rPr>
          <w:sz w:val="26"/>
          <w:szCs w:val="26"/>
        </w:rPr>
        <w:t xml:space="preserve">Student Guide — Client &amp; Employee Experience (Week </w:t>
      </w:r>
      <w:r w:rsidR="00E615A9">
        <w:rPr>
          <w:sz w:val="26"/>
          <w:szCs w:val="26"/>
        </w:rPr>
        <w:t>8</w:t>
      </w:r>
      <w:r>
        <w:rPr>
          <w:sz w:val="26"/>
          <w:szCs w:val="26"/>
        </w:rPr>
        <w:t>)</w:t>
      </w:r>
    </w:p>
    <w:p w14:paraId="449D7260" w14:textId="283018BC" w:rsidR="00CD75FE" w:rsidRDefault="00000000">
      <w:pPr>
        <w:spacing w:after="200"/>
      </w:pPr>
      <w:r>
        <w:rPr>
          <w:i/>
          <w:iCs/>
          <w:color w:val="606A75"/>
          <w:sz w:val="18"/>
          <w:szCs w:val="18"/>
        </w:rPr>
        <w:t>LAWS3850 · Fictional teaching scenario — not legal advice</w:t>
      </w:r>
    </w:p>
    <w:p w14:paraId="6739A224" w14:textId="77777777" w:rsidR="00CD75FE" w:rsidRDefault="00000000">
      <w:pPr>
        <w:pStyle w:val="Heading2"/>
        <w:spacing w:before="200" w:after="80"/>
      </w:pPr>
      <w:r>
        <w:t>What this week is about</w:t>
      </w:r>
    </w:p>
    <w:p w14:paraId="290E340B" w14:textId="03BD5FE7" w:rsidR="00CD75FE" w:rsidRDefault="00000000">
      <w:pPr>
        <w:spacing w:after="120"/>
      </w:pPr>
      <w:r>
        <w:t xml:space="preserve">Most of what a client remembers about a legal matter is not the law — it is the experience: whether they felt informed, whether there were surprises, whether the team was responsive. This week you look at the </w:t>
      </w:r>
      <w:proofErr w:type="spellStart"/>
      <w:r>
        <w:t>NexaCare</w:t>
      </w:r>
      <w:proofErr w:type="spellEnd"/>
      <w:r>
        <w:t xml:space="preserve"> acquisition through two lenses: client experience (CX) — how it felt to be the client — and employee experience (EX) — how it felt to be on the deal team under a compressed timetable. You will run six short exercises in Mike</w:t>
      </w:r>
      <w:r w:rsidR="00E615A9">
        <w:t xml:space="preserve"> (Australia)</w:t>
      </w:r>
      <w:r>
        <w:t>, each producing something you can discuss and, for the assessment, assemble into a one-page “ideal happy path” and a short EX note.</w:t>
      </w:r>
    </w:p>
    <w:p w14:paraId="20EF523B" w14:textId="77777777" w:rsidR="00CD75FE" w:rsidRDefault="00000000">
      <w:pPr>
        <w:pStyle w:val="Heading2"/>
        <w:spacing w:before="200" w:after="80"/>
      </w:pPr>
      <w:r>
        <w:t>Before you start — your workspace</w:t>
      </w:r>
    </w:p>
    <w:p w14:paraId="183258CF" w14:textId="00C8F9F2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Your project. </w:t>
      </w:r>
      <w:r>
        <w:t>Everything happens inside your group’s project, “</w:t>
      </w:r>
      <w:proofErr w:type="spellStart"/>
      <w:r>
        <w:t>NexaCare</w:t>
      </w:r>
      <w:proofErr w:type="spellEnd"/>
      <w:r>
        <w:t xml:space="preserve"> — </w:t>
      </w:r>
      <w:proofErr w:type="spellStart"/>
      <w:r>
        <w:t>Whitegum</w:t>
      </w:r>
      <w:proofErr w:type="spellEnd"/>
      <w:r>
        <w:t xml:space="preserve"> Acquisition — Group [your letter]”. It already contains </w:t>
      </w:r>
      <w:r w:rsidR="00E615A9">
        <w:t>some</w:t>
      </w:r>
      <w:r>
        <w:t xml:space="preserve"> matter</w:t>
      </w:r>
      <w:r w:rsidR="00E615A9">
        <w:t>-specific</w:t>
      </w:r>
      <w:r>
        <w:t xml:space="preserve"> documents (leases, the </w:t>
      </w:r>
      <w:proofErr w:type="spellStart"/>
      <w:r>
        <w:t>MediTrax</w:t>
      </w:r>
      <w:proofErr w:type="spellEnd"/>
      <w:r>
        <w:t xml:space="preserve"> notice and MSA extract, the TSA schedule, a client correspondence log and the process map) and the matter task list. Select this project whenever you run a </w:t>
      </w:r>
      <w:proofErr w:type="gramStart"/>
      <w:r>
        <w:t>workflow</w:t>
      </w:r>
      <w:proofErr w:type="gramEnd"/>
      <w:r>
        <w:t xml:space="preserve"> so Mike has the case context.</w:t>
      </w:r>
    </w:p>
    <w:p w14:paraId="5E85B997" w14:textId="77777777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Running a workflow. </w:t>
      </w:r>
      <w:r>
        <w:t xml:space="preserve">Open Workflows in the left sidebar, find the named workflow, and choose Use. Set “Use in” to Project and select your group’s project. If a workflow asks for input, paste it into the message box. Click Run. Where a workflow shows a plan first, read it and </w:t>
      </w:r>
      <w:proofErr w:type="gramStart"/>
      <w:r>
        <w:t>Approve</w:t>
      </w:r>
      <w:proofErr w:type="gramEnd"/>
      <w:r>
        <w:t xml:space="preserve"> to let it run — this approval step is deliberate (it mirrors partner supervision).</w:t>
      </w:r>
    </w:p>
    <w:p w14:paraId="4B2DBF21" w14:textId="77777777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Reading the output. </w:t>
      </w:r>
      <w:r>
        <w:t>Each workflow works in three moves — research, draft, then a review step that checks the draft. Read all three: the review step is where the interesting tensions surface.</w:t>
      </w:r>
    </w:p>
    <w:p w14:paraId="350A36B2" w14:textId="77777777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standing rule. </w:t>
      </w:r>
      <w:r>
        <w:t xml:space="preserve">Mike’s output is AI-generated and must be checked before anyone relies on it. Treat every draft as a first </w:t>
      </w:r>
      <w:proofErr w:type="gramStart"/>
      <w:r>
        <w:t>draft, and</w:t>
      </w:r>
      <w:proofErr w:type="gramEnd"/>
      <w:r>
        <w:t xml:space="preserve"> never let a citation reach a client without a human verifying it.</w:t>
      </w:r>
    </w:p>
    <w:p w14:paraId="63E11F1B" w14:textId="77777777" w:rsidR="00CD75FE" w:rsidRDefault="00000000">
      <w:pPr>
        <w:pStyle w:val="Heading2"/>
        <w:spacing w:before="200" w:after="80"/>
      </w:pPr>
      <w:r>
        <w:t>Cast — who’s who</w:t>
      </w:r>
    </w:p>
    <w:p w14:paraId="4E7343D9" w14:textId="77777777" w:rsidR="00CD75FE" w:rsidRDefault="00000000">
      <w:pPr>
        <w:spacing w:after="120"/>
      </w:pPr>
      <w:r>
        <w:rPr>
          <w:b/>
          <w:bCs/>
        </w:rPr>
        <w:t>The client (</w:t>
      </w:r>
      <w:proofErr w:type="spellStart"/>
      <w:r>
        <w:rPr>
          <w:b/>
          <w:bCs/>
        </w:rPr>
        <w:t>NexaCare</w:t>
      </w:r>
      <w:proofErr w:type="spellEnd"/>
      <w:r>
        <w:rPr>
          <w:b/>
          <w:bCs/>
        </w:rPr>
        <w:t xml:space="preserve">). </w:t>
      </w:r>
      <w:r>
        <w:t>Dr Alexandra Keller, CEO — commercial, decisive, wants the bottom line first and no surprises. Jonathan Wu, General Counsel — disciplined and risk-weighted, wants the reasoning and the downside. Daniel Okoye, CIO — precise and technical, cares about operational continuity and data integrity. Elena Rossi, Head of HR — people-first, plain language, focused on staff impact.</w:t>
      </w:r>
    </w:p>
    <w:p w14:paraId="36FEAB08" w14:textId="77777777" w:rsidR="00CD75FE" w:rsidRDefault="00000000">
      <w:pPr>
        <w:spacing w:after="120"/>
      </w:pPr>
      <w:r>
        <w:rPr>
          <w:b/>
          <w:bCs/>
        </w:rPr>
        <w:t xml:space="preserve">The deal team (Kendry &amp; Slate). </w:t>
      </w:r>
      <w:r>
        <w:t>Two partners (James Bentley, Priya Iyer), senior associates (Lily Chen, David O’Connell), junior associates (Aisha Rahman, Tom Nguyen) and a paralegal (Mia Rossi). Watch the team’s wellbeing cues under deadline pressure: over-commitment, anxiety, rigidity, and the risk of missed detail when people are stretched.</w:t>
      </w:r>
    </w:p>
    <w:p w14:paraId="62F42B85" w14:textId="77777777" w:rsidR="00CD75FE" w:rsidRDefault="00000000">
      <w:pPr>
        <w:pStyle w:val="Heading1"/>
        <w:spacing w:before="320" w:after="60"/>
      </w:pPr>
      <w:r>
        <w:t>Exercise 1 — Baseline (CX): Client experience (CX) audit &amp; scorecard</w:t>
      </w:r>
    </w:p>
    <w:p w14:paraId="4C367072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>Map the client’s journey across the whole matter and rate how each touchpoint is likely to have felt from the client’s side.</w:t>
      </w:r>
    </w:p>
    <w:p w14:paraId="5F84AB2A" w14:textId="77777777" w:rsidR="00CD75FE" w:rsidRDefault="00000000">
      <w:pPr>
        <w:spacing w:after="120"/>
      </w:pPr>
      <w:r>
        <w:rPr>
          <w:b/>
          <w:bCs/>
        </w:rPr>
        <w:t xml:space="preserve">What you'll produce.  </w:t>
      </w:r>
      <w:r>
        <w:t>A CX scorecard (a table of touchpoints, the client’s expectation, the likely current experience and a red/amber/green rating) plus a prioritised list of improvements.</w:t>
      </w:r>
    </w:p>
    <w:p w14:paraId="7FA75DB8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52C35886" w14:textId="77777777" w:rsidR="00CD75FE" w:rsidRDefault="00000000">
      <w:pPr>
        <w:pStyle w:val="ListParagraph"/>
        <w:numPr>
          <w:ilvl w:val="0"/>
          <w:numId w:val="3"/>
        </w:numPr>
        <w:spacing w:after="60"/>
      </w:pPr>
      <w:r>
        <w:t>Open the workflow “Client experience (CX) audit &amp; scorecard (W7)” and choose Use → Project → your group’s project.</w:t>
      </w:r>
    </w:p>
    <w:p w14:paraId="2B27F01C" w14:textId="77777777" w:rsidR="00CD75FE" w:rsidRDefault="00000000">
      <w:pPr>
        <w:pStyle w:val="ListParagraph"/>
        <w:numPr>
          <w:ilvl w:val="0"/>
          <w:numId w:val="3"/>
        </w:numPr>
        <w:spacing w:after="60"/>
      </w:pPr>
      <w:r>
        <w:t xml:space="preserve">When selecting documents, include the Client Correspondence Log so the audit is based on what </w:t>
      </w:r>
      <w:proofErr w:type="gramStart"/>
      <w:r>
        <w:t>actually happened</w:t>
      </w:r>
      <w:proofErr w:type="gramEnd"/>
      <w:r>
        <w:t>, not guesswork.</w:t>
      </w:r>
    </w:p>
    <w:p w14:paraId="36333D6F" w14:textId="77777777" w:rsidR="00CD75FE" w:rsidRDefault="00000000">
      <w:pPr>
        <w:pStyle w:val="ListParagraph"/>
        <w:numPr>
          <w:ilvl w:val="0"/>
          <w:numId w:val="3"/>
        </w:numPr>
        <w:spacing w:after="60"/>
      </w:pPr>
      <w:r>
        <w:t>Run, and approve the plan if prompted.</w:t>
      </w:r>
    </w:p>
    <w:p w14:paraId="66C8AE4D" w14:textId="77777777" w:rsidR="00CD75FE" w:rsidRDefault="00000000">
      <w:pPr>
        <w:pStyle w:val="ListParagraph"/>
        <w:numPr>
          <w:ilvl w:val="0"/>
          <w:numId w:val="3"/>
        </w:numPr>
        <w:spacing w:after="60"/>
      </w:pPr>
      <w:r>
        <w:t>Read the scorecard and the improvement backlog; note which touchpoints are rated amber or red.</w:t>
      </w:r>
    </w:p>
    <w:p w14:paraId="3BD3BE27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>Where is the client experience most at risk in this matter — and why is the weak point almost always a communication failure rather than a legal one?</w:t>
      </w:r>
    </w:p>
    <w:p w14:paraId="4532B383" w14:textId="77777777" w:rsidR="00CD75FE" w:rsidRDefault="00000000">
      <w:pPr>
        <w:pStyle w:val="Heading1"/>
        <w:spacing w:before="320" w:after="60"/>
      </w:pPr>
      <w:r>
        <w:lastRenderedPageBreak/>
        <w:t>Exercise 2 — Recovery (CX): Service recovery response</w:t>
      </w:r>
    </w:p>
    <w:p w14:paraId="451D7E28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>Draft the message the firm sends when something has gone wrong. The craft is in balancing a genuine service apology against the risk of admitting legal liability.</w:t>
      </w:r>
    </w:p>
    <w:p w14:paraId="177DAF02" w14:textId="77777777" w:rsidR="00CD75FE" w:rsidRDefault="00000000">
      <w:pPr>
        <w:spacing w:after="120"/>
      </w:pPr>
      <w:r>
        <w:rPr>
          <w:b/>
          <w:bCs/>
        </w:rPr>
        <w:t xml:space="preserve">What you'll produce.  </w:t>
      </w:r>
      <w:r>
        <w:t>A recovery note to the client, plus the review step’s flag of any wording that could become a legal admission needing partner or professional-indemnity (PI) sign-off.</w:t>
      </w:r>
    </w:p>
    <w:p w14:paraId="4BAF9779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2A52DC31" w14:textId="77777777" w:rsidR="00CD75FE" w:rsidRDefault="00000000">
      <w:pPr>
        <w:pStyle w:val="ListParagraph"/>
        <w:numPr>
          <w:ilvl w:val="0"/>
          <w:numId w:val="4"/>
        </w:numPr>
        <w:spacing w:after="60"/>
      </w:pPr>
      <w:r>
        <w:t>Open “Service recovery response (W7)” → Use → Project → your group’s project.</w:t>
      </w:r>
    </w:p>
    <w:p w14:paraId="47D61878" w14:textId="77777777" w:rsidR="00CD75FE" w:rsidRDefault="00000000">
      <w:pPr>
        <w:pStyle w:val="ListParagraph"/>
        <w:numPr>
          <w:ilvl w:val="0"/>
          <w:numId w:val="4"/>
        </w:numPr>
        <w:spacing w:after="60"/>
      </w:pPr>
      <w:r>
        <w:t>Paste the scenario in the box below into the message field.</w:t>
      </w:r>
    </w:p>
    <w:p w14:paraId="7B75972C" w14:textId="77777777" w:rsidR="00CD75FE" w:rsidRDefault="00000000">
      <w:pPr>
        <w:pStyle w:val="ListParagraph"/>
        <w:numPr>
          <w:ilvl w:val="0"/>
          <w:numId w:val="4"/>
        </w:numPr>
        <w:spacing w:after="60"/>
      </w:pPr>
      <w:r>
        <w:t>Run, and read the draft together with the review step.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75FE" w14:paraId="093571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5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355C2E" w14:textId="77777777" w:rsidR="00CD75FE" w:rsidRDefault="00000000">
            <w:pPr>
              <w:spacing w:after="60"/>
            </w:pPr>
            <w:r>
              <w:rPr>
                <w:b/>
                <w:bCs/>
                <w:color w:val="1F3B57"/>
                <w:sz w:val="20"/>
                <w:szCs w:val="20"/>
              </w:rPr>
              <w:t>Scenario to paste:</w:t>
            </w:r>
          </w:p>
          <w:p w14:paraId="3F1E51D0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We diarised the landlord’s 14-day consent clock under the Parramatta lease from the wrong start date. The response window has now </w:t>
            </w:r>
            <w:proofErr w:type="gramStart"/>
            <w:r>
              <w:rPr>
                <w:sz w:val="20"/>
                <w:szCs w:val="20"/>
              </w:rPr>
              <w:t>expired</w:t>
            </w:r>
            <w:proofErr w:type="gramEnd"/>
            <w:r>
              <w:rPr>
                <w:sz w:val="20"/>
                <w:szCs w:val="20"/>
              </w:rPr>
              <w:t xml:space="preserve"> and the landlord’s agent is asserting deemed refusal. Dr Keller heard about it from the agent before she heard from us. Draft the service-recovery response to </w:t>
            </w:r>
            <w:proofErr w:type="spellStart"/>
            <w:r>
              <w:rPr>
                <w:sz w:val="20"/>
                <w:szCs w:val="20"/>
              </w:rPr>
              <w:t>NexaCare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241CD49" w14:textId="77777777" w:rsidR="00CD75FE" w:rsidRDefault="00CD75FE">
      <w:pPr>
        <w:spacing w:after="60"/>
      </w:pPr>
    </w:p>
    <w:p w14:paraId="116D629B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>Which sentences in the draft could a PI insurer read as an admission of liability? How would you apologise for the client’s experience while protecting the firm’s legal position — and what must go to a partner before this is sent?</w:t>
      </w:r>
    </w:p>
    <w:p w14:paraId="2C6C9C2B" w14:textId="77777777" w:rsidR="00CD75FE" w:rsidRDefault="00000000">
      <w:pPr>
        <w:pStyle w:val="Heading1"/>
        <w:spacing w:before="320" w:after="60"/>
      </w:pPr>
      <w:r>
        <w:t>Exercise 3 — Listening (CX): Client feedback synthesis</w:t>
      </w:r>
    </w:p>
    <w:p w14:paraId="5DAFD883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>Turn a set of raw client comments into themes, sentiment and a prioritised action list — the data-driven side of client experience.</w:t>
      </w:r>
    </w:p>
    <w:p w14:paraId="3E1210F3" w14:textId="77777777" w:rsidR="00CD75FE" w:rsidRDefault="00000000">
      <w:pPr>
        <w:spacing w:after="120"/>
      </w:pPr>
      <w:r>
        <w:rPr>
          <w:b/>
          <w:bCs/>
        </w:rPr>
        <w:t xml:space="preserve">What you'll produce.  </w:t>
      </w:r>
      <w:r>
        <w:t>A themes table (theme, frequency, sentiment, a representative quote), an overall read (a promoters / passives / detractors split), and specific actions tied to the strongest themes.</w:t>
      </w:r>
    </w:p>
    <w:p w14:paraId="562121AD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5015DD29" w14:textId="77777777" w:rsidR="00CD75FE" w:rsidRDefault="00000000">
      <w:pPr>
        <w:pStyle w:val="ListParagraph"/>
        <w:numPr>
          <w:ilvl w:val="0"/>
          <w:numId w:val="5"/>
        </w:numPr>
        <w:spacing w:after="60"/>
      </w:pPr>
      <w:r>
        <w:t>Open “Client feedback synthesis — data-driven CX (W7)” → Use → Project → your group’s project.</w:t>
      </w:r>
    </w:p>
    <w:p w14:paraId="71D25CA3" w14:textId="77777777" w:rsidR="00CD75FE" w:rsidRDefault="00000000">
      <w:pPr>
        <w:pStyle w:val="ListParagraph"/>
        <w:numPr>
          <w:ilvl w:val="0"/>
          <w:numId w:val="5"/>
        </w:numPr>
        <w:spacing w:after="60"/>
      </w:pPr>
      <w:r>
        <w:t>Paste the client feedback in the box below into the message field.</w:t>
      </w:r>
    </w:p>
    <w:p w14:paraId="2E38C4E3" w14:textId="77777777" w:rsidR="00CD75FE" w:rsidRDefault="00000000">
      <w:pPr>
        <w:pStyle w:val="ListParagraph"/>
        <w:numPr>
          <w:ilvl w:val="0"/>
          <w:numId w:val="5"/>
        </w:numPr>
        <w:spacing w:after="60"/>
      </w:pPr>
      <w:r>
        <w:t>Run, and review the themes, the sentiment read and the actions.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D75FE" w14:paraId="0BC391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5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6130D" w14:textId="77777777" w:rsidR="00CD75FE" w:rsidRDefault="00000000">
            <w:pPr>
              <w:spacing w:after="60"/>
            </w:pPr>
            <w:r>
              <w:rPr>
                <w:b/>
                <w:bCs/>
                <w:color w:val="1F3B57"/>
                <w:sz w:val="20"/>
                <w:szCs w:val="20"/>
              </w:rPr>
              <w:t>Client feedback to paste:</w:t>
            </w:r>
          </w:p>
          <w:p w14:paraId="5F75CAB7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1. Dr Keller (CEO): “When they’re in the </w:t>
            </w:r>
            <w:proofErr w:type="gramStart"/>
            <w:r>
              <w:rPr>
                <w:sz w:val="20"/>
                <w:szCs w:val="20"/>
              </w:rPr>
              <w:t>room</w:t>
            </w:r>
            <w:proofErr w:type="gramEnd"/>
            <w:r>
              <w:rPr>
                <w:sz w:val="20"/>
                <w:szCs w:val="20"/>
              </w:rPr>
              <w:t xml:space="preserve"> they’re excellent. Getting them into the room is the problem.”</w:t>
            </w:r>
          </w:p>
          <w:p w14:paraId="44EEA506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2. Keller’s EA: “Three days of calls during the EHR crisis week before anyone rang back.”</w:t>
            </w:r>
          </w:p>
          <w:p w14:paraId="123DA928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3. Jonathan Wu (GC): “The substantive advice on the </w:t>
            </w:r>
            <w:proofErr w:type="spellStart"/>
            <w:r>
              <w:rPr>
                <w:sz w:val="20"/>
                <w:szCs w:val="20"/>
              </w:rPr>
              <w:t>MediTrax</w:t>
            </w:r>
            <w:proofErr w:type="spellEnd"/>
            <w:r>
              <w:rPr>
                <w:sz w:val="20"/>
                <w:szCs w:val="20"/>
              </w:rPr>
              <w:t xml:space="preserve"> notice was first-rate. Genuinely impressive under pressure.”</w:t>
            </w:r>
          </w:p>
          <w:p w14:paraId="628F0C11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4. Jonathan Wu (GC): “I should not have to email a partner to get a status update a senior associate could have sent.”</w:t>
            </w:r>
          </w:p>
          <w:p w14:paraId="24CECC48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5. Daniel Okoye (CIO): “Answers were right but slow. In an IT cutover, slow and right can equal wrong.”</w:t>
            </w:r>
          </w:p>
          <w:p w14:paraId="2C7FB369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6. Elena Rossi (HR): “Lovely people, clearly stretched. You can hear it in how fast they talk on calls.”</w:t>
            </w:r>
          </w:p>
          <w:p w14:paraId="3A128109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7. Dr Keller (CEO): “I found out about the landlord’s position from the landlord’s agent. That cannot happen again.”</w:t>
            </w:r>
          </w:p>
          <w:p w14:paraId="72ED1174" w14:textId="77777777" w:rsidR="00CD75FE" w:rsidRDefault="00000000">
            <w:pPr>
              <w:spacing w:after="60"/>
            </w:pPr>
            <w:r>
              <w:rPr>
                <w:sz w:val="20"/>
                <w:szCs w:val="20"/>
              </w:rPr>
              <w:t>8. Board chair: “Quality of the written work is not in question. Cadence of communication is.”</w:t>
            </w:r>
          </w:p>
        </w:tc>
      </w:tr>
    </w:tbl>
    <w:p w14:paraId="68B250E3" w14:textId="77777777" w:rsidR="00CD75FE" w:rsidRDefault="00CD75FE">
      <w:pPr>
        <w:spacing w:after="60"/>
      </w:pPr>
    </w:p>
    <w:p w14:paraId="1BD60FCD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>What is the dominant theme, and does the strongest single comment change your priorities even if it only appears once? Is any theme based on too small a sample to act on?</w:t>
      </w:r>
    </w:p>
    <w:p w14:paraId="7E28DE32" w14:textId="77777777" w:rsidR="00CD75FE" w:rsidRDefault="00000000">
      <w:pPr>
        <w:pStyle w:val="Heading1"/>
        <w:spacing w:before="320" w:after="60"/>
      </w:pPr>
      <w:r>
        <w:t>Exercise 4 — The team side (EX): Team experience &amp; psychological-safety pulse</w:t>
      </w:r>
    </w:p>
    <w:p w14:paraId="00E1233F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>Shift the lens from the client to the team. Read how the deal team is experiencing the compressed timetable, and surface psychological-safety signals.</w:t>
      </w:r>
    </w:p>
    <w:p w14:paraId="5811DDC2" w14:textId="77777777" w:rsidR="00CD75FE" w:rsidRDefault="00000000">
      <w:pPr>
        <w:spacing w:after="120"/>
      </w:pPr>
      <w:r>
        <w:rPr>
          <w:b/>
          <w:bCs/>
        </w:rPr>
        <w:lastRenderedPageBreak/>
        <w:t xml:space="preserve">What you'll produce.  </w:t>
      </w:r>
      <w:r>
        <w:t>A pulse read of the team’s experience with practical, humane management actions — kept within a manager’s remit, not a clinical assessment.</w:t>
      </w:r>
    </w:p>
    <w:p w14:paraId="40754C52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6EFDB9DB" w14:textId="77777777" w:rsidR="00CD75FE" w:rsidRDefault="00000000">
      <w:pPr>
        <w:pStyle w:val="ListParagraph"/>
        <w:numPr>
          <w:ilvl w:val="0"/>
          <w:numId w:val="6"/>
        </w:numPr>
        <w:spacing w:after="60"/>
      </w:pPr>
      <w:r>
        <w:t>Open “Team experience (EX) &amp; psychological-safety pulse (W7)” → Use → Project → your group’s project.</w:t>
      </w:r>
    </w:p>
    <w:p w14:paraId="16CFFF1F" w14:textId="77777777" w:rsidR="00CD75FE" w:rsidRDefault="00000000">
      <w:pPr>
        <w:pStyle w:val="ListParagraph"/>
        <w:numPr>
          <w:ilvl w:val="0"/>
          <w:numId w:val="6"/>
        </w:numPr>
        <w:spacing w:after="60"/>
      </w:pPr>
      <w:r>
        <w:t>Run, and read the pulse and the suggested actions.</w:t>
      </w:r>
    </w:p>
    <w:p w14:paraId="447B05C7" w14:textId="77777777" w:rsidR="00CD75FE" w:rsidRDefault="00000000">
      <w:pPr>
        <w:spacing w:before="40" w:after="120"/>
      </w:pPr>
      <w:r>
        <w:rPr>
          <w:i/>
          <w:iCs/>
          <w:color w:val="606A75"/>
          <w:sz w:val="18"/>
          <w:szCs w:val="18"/>
        </w:rPr>
        <w:t>Care note: this exercise is about practical management, not diagnosis. Keep the discussion supportive and non-clinical. If real wellbeing concerns come up in your group, contact UNSW student support rather than treating it as part of the case.</w:t>
      </w:r>
    </w:p>
    <w:p w14:paraId="3E998201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 xml:space="preserve">Which of Mike’s own features </w:t>
      </w:r>
      <w:proofErr w:type="gramStart"/>
      <w:r>
        <w:rPr>
          <w:i/>
          <w:iCs/>
        </w:rPr>
        <w:t>actually support</w:t>
      </w:r>
      <w:proofErr w:type="gramEnd"/>
      <w:r>
        <w:rPr>
          <w:i/>
          <w:iCs/>
        </w:rPr>
        <w:t xml:space="preserve"> employee experience? (For example: the approval gate distributes </w:t>
      </w:r>
      <w:proofErr w:type="gramStart"/>
      <w:r>
        <w:rPr>
          <w:i/>
          <w:iCs/>
        </w:rPr>
        <w:t>accountability</w:t>
      </w:r>
      <w:proofErr w:type="gramEnd"/>
      <w:r>
        <w:rPr>
          <w:i/>
          <w:iCs/>
        </w:rPr>
        <w:t xml:space="preserve"> so no junior carries a risky decision alone; the audit log protects the junior who flagged a problem.)</w:t>
      </w:r>
    </w:p>
    <w:p w14:paraId="221D2A9F" w14:textId="77777777" w:rsidR="00CD75FE" w:rsidRDefault="00000000">
      <w:pPr>
        <w:pStyle w:val="Heading1"/>
        <w:spacing w:before="320" w:after="60"/>
      </w:pPr>
      <w:r>
        <w:t>Exercise 5 — Rebalance (EX): Workload &amp; wellbeing rebalance</w:t>
      </w:r>
    </w:p>
    <w:p w14:paraId="53F8C976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>Re-plan the accelerated timetable so the team can hit the deadline at a sustainable pace, rather than by burning people out.</w:t>
      </w:r>
    </w:p>
    <w:p w14:paraId="0A559A73" w14:textId="77777777" w:rsidR="00CD75FE" w:rsidRDefault="00000000">
      <w:pPr>
        <w:spacing w:after="120"/>
      </w:pPr>
      <w:r>
        <w:rPr>
          <w:b/>
          <w:bCs/>
        </w:rPr>
        <w:t xml:space="preserve">What you'll produce.  </w:t>
      </w:r>
      <w:r>
        <w:t>A rebalanced plan that still meets the client’s deadline but redistributes load and protects the team.</w:t>
      </w:r>
    </w:p>
    <w:p w14:paraId="1112D472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1A6CC267" w14:textId="77777777" w:rsidR="00CD75FE" w:rsidRDefault="00000000">
      <w:pPr>
        <w:pStyle w:val="ListParagraph"/>
        <w:numPr>
          <w:ilvl w:val="0"/>
          <w:numId w:val="7"/>
        </w:numPr>
        <w:spacing w:after="60"/>
      </w:pPr>
      <w:r>
        <w:t>Open “Workload &amp; wellbeing rebalance (W7)” → Use → Project → your group’s project.</w:t>
      </w:r>
    </w:p>
    <w:p w14:paraId="596AAA9B" w14:textId="77777777" w:rsidR="00CD75FE" w:rsidRDefault="00000000">
      <w:pPr>
        <w:pStyle w:val="ListParagraph"/>
        <w:numPr>
          <w:ilvl w:val="0"/>
          <w:numId w:val="7"/>
        </w:numPr>
        <w:spacing w:after="60"/>
      </w:pPr>
      <w:r>
        <w:t>Run, and compare the rebalanced plan against how the work is currently distributed.</w:t>
      </w:r>
    </w:p>
    <w:p w14:paraId="6C1FD732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 xml:space="preserve">Where did serving the client come at the team’s expense in this matter, and how would you redesign that </w:t>
      </w:r>
      <w:proofErr w:type="gramStart"/>
      <w:r>
        <w:rPr>
          <w:i/>
          <w:iCs/>
        </w:rPr>
        <w:t>moment</w:t>
      </w:r>
      <w:proofErr w:type="gramEnd"/>
      <w:r>
        <w:rPr>
          <w:i/>
          <w:iCs/>
        </w:rPr>
        <w:t xml:space="preserve"> so it doesn’t have to?</w:t>
      </w:r>
    </w:p>
    <w:p w14:paraId="1C8F7FAB" w14:textId="77777777" w:rsidR="00CD75FE" w:rsidRDefault="00000000">
      <w:pPr>
        <w:pStyle w:val="Heading1"/>
        <w:spacing w:before="320" w:after="60"/>
      </w:pPr>
      <w:r>
        <w:t>Exercise 6 — Synthesis: Moments that matter — CX/EX map</w:t>
      </w:r>
    </w:p>
    <w:p w14:paraId="4821892E" w14:textId="77777777" w:rsidR="00CD75FE" w:rsidRDefault="00000000">
      <w:pPr>
        <w:spacing w:after="120"/>
      </w:pPr>
      <w:r>
        <w:rPr>
          <w:b/>
          <w:bCs/>
        </w:rPr>
        <w:t xml:space="preserve">Purpose.  </w:t>
      </w:r>
      <w:r>
        <w:t xml:space="preserve">Bring both lenses together. Map the moments that matter for the client and for the team across the </w:t>
      </w:r>
      <w:proofErr w:type="gramStart"/>
      <w:r>
        <w:t>matter, and</w:t>
      </w:r>
      <w:proofErr w:type="gramEnd"/>
      <w:r>
        <w:t xml:space="preserve"> find where they reinforce each other — or conflict.</w:t>
      </w:r>
    </w:p>
    <w:p w14:paraId="49987D2E" w14:textId="77777777" w:rsidR="00CD75FE" w:rsidRDefault="00000000">
      <w:pPr>
        <w:spacing w:after="120"/>
      </w:pPr>
      <w:r>
        <w:rPr>
          <w:b/>
          <w:bCs/>
        </w:rPr>
        <w:t xml:space="preserve">What you'll produce.  </w:t>
      </w:r>
      <w:r>
        <w:t>Two parallel journeys (client and team) with the emotional stake and firm action at each moment, and two or three inflection points where CX and EX pull in different directions.</w:t>
      </w:r>
    </w:p>
    <w:p w14:paraId="7A0734E2" w14:textId="77777777" w:rsidR="00CD75FE" w:rsidRDefault="00000000">
      <w:pPr>
        <w:spacing w:before="60" w:after="40"/>
      </w:pPr>
      <w:r>
        <w:rPr>
          <w:b/>
          <w:bCs/>
        </w:rPr>
        <w:t>Steps</w:t>
      </w:r>
    </w:p>
    <w:p w14:paraId="0184C6E1" w14:textId="77777777" w:rsidR="00CD75FE" w:rsidRDefault="00000000">
      <w:pPr>
        <w:pStyle w:val="ListParagraph"/>
        <w:numPr>
          <w:ilvl w:val="0"/>
          <w:numId w:val="8"/>
        </w:numPr>
        <w:spacing w:after="60"/>
      </w:pPr>
      <w:r>
        <w:t>Open “Moments that matter — CX/EX map (W7)” → Use → Project → your group’s project.</w:t>
      </w:r>
    </w:p>
    <w:p w14:paraId="5DCE541E" w14:textId="77777777" w:rsidR="00CD75FE" w:rsidRDefault="00000000">
      <w:pPr>
        <w:pStyle w:val="ListParagraph"/>
        <w:numPr>
          <w:ilvl w:val="0"/>
          <w:numId w:val="8"/>
        </w:numPr>
        <w:spacing w:after="60"/>
      </w:pPr>
      <w:r>
        <w:t>Run, and identify the inflection points the review step highlights.</w:t>
      </w:r>
    </w:p>
    <w:p w14:paraId="4F7DED72" w14:textId="77777777" w:rsidR="00CD75FE" w:rsidRDefault="00000000">
      <w:pPr>
        <w:spacing w:before="60" w:after="120"/>
      </w:pPr>
      <w:r>
        <w:rPr>
          <w:b/>
          <w:bCs/>
        </w:rPr>
        <w:t xml:space="preserve">Discuss.  </w:t>
      </w:r>
      <w:r>
        <w:rPr>
          <w:i/>
          <w:iCs/>
        </w:rPr>
        <w:t>Compressing the timetable pleases the client but strains the team. Pick one such moment and design a firm response that serves both at once — that is the core skill this week.</w:t>
      </w:r>
    </w:p>
    <w:p w14:paraId="2D0B1EF5" w14:textId="77777777" w:rsidR="00CD75FE" w:rsidRDefault="00000000">
      <w:pPr>
        <w:pStyle w:val="Heading1"/>
        <w:spacing w:before="280" w:after="120"/>
      </w:pPr>
      <w:r>
        <w:t>Putting it together — the Week 7 deliverable</w:t>
      </w:r>
    </w:p>
    <w:p w14:paraId="1EAF701A" w14:textId="77777777" w:rsidR="00CD75FE" w:rsidRDefault="00000000">
      <w:pPr>
        <w:spacing w:after="120"/>
      </w:pPr>
      <w:r>
        <w:t>Assemble two short outputs from the exercises above:</w:t>
      </w:r>
    </w:p>
    <w:p w14:paraId="4B6C59C8" w14:textId="77777777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one-page “ideal happy path” </w:t>
      </w:r>
      <w:r>
        <w:t>for the client across the matter — the sequence of moments handled well, drawn from Exercises 1, 3 and 6.</w:t>
      </w:r>
    </w:p>
    <w:p w14:paraId="16BD1A50" w14:textId="77777777" w:rsidR="00CD75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short EX note </w:t>
      </w:r>
      <w:r>
        <w:t>on how the accelerated timetable was staffed sustainably — drawn from Exercises 4 and 5.</w:t>
      </w:r>
    </w:p>
    <w:p w14:paraId="6FA71B91" w14:textId="6AFC9B1C" w:rsidR="00CD75FE" w:rsidRDefault="00000000">
      <w:pPr>
        <w:spacing w:before="80" w:after="120"/>
      </w:pPr>
      <w:r>
        <w:t xml:space="preserve">You can export any Mike </w:t>
      </w:r>
      <w:r w:rsidR="00E615A9">
        <w:t xml:space="preserve">(Australia) </w:t>
      </w:r>
      <w:r>
        <w:t xml:space="preserve">output as a Word or PDF file using the Export button on the </w:t>
      </w:r>
      <w:proofErr w:type="gramStart"/>
      <w:r>
        <w:t>run, and</w:t>
      </w:r>
      <w:proofErr w:type="gramEnd"/>
      <w:r>
        <w:t xml:space="preserve"> edit it into your final one-pager. </w:t>
      </w:r>
      <w:r>
        <w:rPr>
          <w:b/>
          <w:bCs/>
        </w:rPr>
        <w:t xml:space="preserve">Remember the standing rule: </w:t>
      </w:r>
      <w:r>
        <w:t xml:space="preserve">check every AI-generated </w:t>
      </w:r>
      <w:proofErr w:type="gramStart"/>
      <w:r>
        <w:t>statement, and</w:t>
      </w:r>
      <w:proofErr w:type="gramEnd"/>
      <w:r>
        <w:t xml:space="preserve"> verify any citation yourself before it goes anywhere near a client.</w:t>
      </w:r>
    </w:p>
    <w:p w14:paraId="78D985D4" w14:textId="022FE329" w:rsidR="00CD75FE" w:rsidRDefault="00000000">
      <w:pPr>
        <w:spacing w:before="240"/>
      </w:pPr>
      <w:r>
        <w:rPr>
          <w:i/>
          <w:iCs/>
          <w:color w:val="606A75"/>
          <w:sz w:val="16"/>
          <w:szCs w:val="16"/>
        </w:rPr>
        <w:t>Fictional teaching document — UNSW LAWS3850. All names, entities and events are invented. Not legal advice.</w:t>
      </w:r>
    </w:p>
    <w:sectPr w:rsidR="00CD75FE"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FF6B1C"/>
    <w:multiLevelType w:val="hybridMultilevel"/>
    <w:tmpl w:val="A55414F6"/>
    <w:lvl w:ilvl="0" w:tplc="91480824">
      <w:start w:val="1"/>
      <w:numFmt w:val="decimal"/>
      <w:lvlText w:val="%1."/>
      <w:lvlJc w:val="left"/>
      <w:pPr>
        <w:ind w:left="360" w:hanging="220"/>
      </w:pPr>
    </w:lvl>
    <w:lvl w:ilvl="1" w:tplc="9C584EEC">
      <w:numFmt w:val="decimal"/>
      <w:lvlText w:val=""/>
      <w:lvlJc w:val="left"/>
    </w:lvl>
    <w:lvl w:ilvl="2" w:tplc="1E9EFB34">
      <w:numFmt w:val="decimal"/>
      <w:lvlText w:val=""/>
      <w:lvlJc w:val="left"/>
    </w:lvl>
    <w:lvl w:ilvl="3" w:tplc="935CCDB8">
      <w:numFmt w:val="decimal"/>
      <w:lvlText w:val=""/>
      <w:lvlJc w:val="left"/>
    </w:lvl>
    <w:lvl w:ilvl="4" w:tplc="C6CE7252">
      <w:numFmt w:val="decimal"/>
      <w:lvlText w:val=""/>
      <w:lvlJc w:val="left"/>
    </w:lvl>
    <w:lvl w:ilvl="5" w:tplc="333856FE">
      <w:numFmt w:val="decimal"/>
      <w:lvlText w:val=""/>
      <w:lvlJc w:val="left"/>
    </w:lvl>
    <w:lvl w:ilvl="6" w:tplc="D814343A">
      <w:numFmt w:val="decimal"/>
      <w:lvlText w:val=""/>
      <w:lvlJc w:val="left"/>
    </w:lvl>
    <w:lvl w:ilvl="7" w:tplc="0F78DA0E">
      <w:numFmt w:val="decimal"/>
      <w:lvlText w:val=""/>
      <w:lvlJc w:val="left"/>
    </w:lvl>
    <w:lvl w:ilvl="8" w:tplc="CEC613AA">
      <w:numFmt w:val="decimal"/>
      <w:lvlText w:val=""/>
      <w:lvlJc w:val="left"/>
    </w:lvl>
  </w:abstractNum>
  <w:abstractNum w:abstractNumId="1" w15:restartNumberingAfterBreak="0">
    <w:nsid w:val="25B24424"/>
    <w:multiLevelType w:val="hybridMultilevel"/>
    <w:tmpl w:val="CE705D2E"/>
    <w:lvl w:ilvl="0" w:tplc="2716CD8E">
      <w:start w:val="1"/>
      <w:numFmt w:val="decimal"/>
      <w:lvlText w:val="%1."/>
      <w:lvlJc w:val="left"/>
      <w:pPr>
        <w:ind w:left="360" w:hanging="220"/>
      </w:pPr>
    </w:lvl>
    <w:lvl w:ilvl="1" w:tplc="7A045344">
      <w:numFmt w:val="decimal"/>
      <w:lvlText w:val=""/>
      <w:lvlJc w:val="left"/>
    </w:lvl>
    <w:lvl w:ilvl="2" w:tplc="BEC4FB70">
      <w:numFmt w:val="decimal"/>
      <w:lvlText w:val=""/>
      <w:lvlJc w:val="left"/>
    </w:lvl>
    <w:lvl w:ilvl="3" w:tplc="A1D2A874">
      <w:numFmt w:val="decimal"/>
      <w:lvlText w:val=""/>
      <w:lvlJc w:val="left"/>
    </w:lvl>
    <w:lvl w:ilvl="4" w:tplc="E88CFF74">
      <w:numFmt w:val="decimal"/>
      <w:lvlText w:val=""/>
      <w:lvlJc w:val="left"/>
    </w:lvl>
    <w:lvl w:ilvl="5" w:tplc="B7F49228">
      <w:numFmt w:val="decimal"/>
      <w:lvlText w:val=""/>
      <w:lvlJc w:val="left"/>
    </w:lvl>
    <w:lvl w:ilvl="6" w:tplc="B100FF64">
      <w:numFmt w:val="decimal"/>
      <w:lvlText w:val=""/>
      <w:lvlJc w:val="left"/>
    </w:lvl>
    <w:lvl w:ilvl="7" w:tplc="631457DA">
      <w:numFmt w:val="decimal"/>
      <w:lvlText w:val=""/>
      <w:lvlJc w:val="left"/>
    </w:lvl>
    <w:lvl w:ilvl="8" w:tplc="DB5A9500">
      <w:numFmt w:val="decimal"/>
      <w:lvlText w:val=""/>
      <w:lvlJc w:val="left"/>
    </w:lvl>
  </w:abstractNum>
  <w:abstractNum w:abstractNumId="2" w15:restartNumberingAfterBreak="0">
    <w:nsid w:val="47A957B3"/>
    <w:multiLevelType w:val="hybridMultilevel"/>
    <w:tmpl w:val="492C7308"/>
    <w:lvl w:ilvl="0" w:tplc="9E1ADB04">
      <w:start w:val="1"/>
      <w:numFmt w:val="bullet"/>
      <w:lvlText w:val="•"/>
      <w:lvlJc w:val="left"/>
      <w:pPr>
        <w:ind w:left="360" w:hanging="200"/>
      </w:pPr>
      <w:rPr>
        <w:color w:val="1F3B57"/>
      </w:rPr>
    </w:lvl>
    <w:lvl w:ilvl="1" w:tplc="DB26CA44">
      <w:numFmt w:val="decimal"/>
      <w:lvlText w:val=""/>
      <w:lvlJc w:val="left"/>
    </w:lvl>
    <w:lvl w:ilvl="2" w:tplc="1A7A0F8E">
      <w:numFmt w:val="decimal"/>
      <w:lvlText w:val=""/>
      <w:lvlJc w:val="left"/>
    </w:lvl>
    <w:lvl w:ilvl="3" w:tplc="3276687C">
      <w:numFmt w:val="decimal"/>
      <w:lvlText w:val=""/>
      <w:lvlJc w:val="left"/>
    </w:lvl>
    <w:lvl w:ilvl="4" w:tplc="C86E9A1C">
      <w:numFmt w:val="decimal"/>
      <w:lvlText w:val=""/>
      <w:lvlJc w:val="left"/>
    </w:lvl>
    <w:lvl w:ilvl="5" w:tplc="9E163504">
      <w:numFmt w:val="decimal"/>
      <w:lvlText w:val=""/>
      <w:lvlJc w:val="left"/>
    </w:lvl>
    <w:lvl w:ilvl="6" w:tplc="5CBC24A4">
      <w:numFmt w:val="decimal"/>
      <w:lvlText w:val=""/>
      <w:lvlJc w:val="left"/>
    </w:lvl>
    <w:lvl w:ilvl="7" w:tplc="29D08130">
      <w:numFmt w:val="decimal"/>
      <w:lvlText w:val=""/>
      <w:lvlJc w:val="left"/>
    </w:lvl>
    <w:lvl w:ilvl="8" w:tplc="7BEC810E">
      <w:numFmt w:val="decimal"/>
      <w:lvlText w:val=""/>
      <w:lvlJc w:val="left"/>
    </w:lvl>
  </w:abstractNum>
  <w:abstractNum w:abstractNumId="3" w15:restartNumberingAfterBreak="0">
    <w:nsid w:val="4EB81F00"/>
    <w:multiLevelType w:val="hybridMultilevel"/>
    <w:tmpl w:val="E0D4B97C"/>
    <w:lvl w:ilvl="0" w:tplc="4048799E">
      <w:start w:val="1"/>
      <w:numFmt w:val="decimal"/>
      <w:lvlText w:val="%1."/>
      <w:lvlJc w:val="left"/>
      <w:pPr>
        <w:ind w:left="360" w:hanging="220"/>
      </w:pPr>
    </w:lvl>
    <w:lvl w:ilvl="1" w:tplc="08982A3C">
      <w:numFmt w:val="decimal"/>
      <w:lvlText w:val=""/>
      <w:lvlJc w:val="left"/>
    </w:lvl>
    <w:lvl w:ilvl="2" w:tplc="A2CE3994">
      <w:numFmt w:val="decimal"/>
      <w:lvlText w:val=""/>
      <w:lvlJc w:val="left"/>
    </w:lvl>
    <w:lvl w:ilvl="3" w:tplc="3886E53E">
      <w:numFmt w:val="decimal"/>
      <w:lvlText w:val=""/>
      <w:lvlJc w:val="left"/>
    </w:lvl>
    <w:lvl w:ilvl="4" w:tplc="2F08ABEC">
      <w:numFmt w:val="decimal"/>
      <w:lvlText w:val=""/>
      <w:lvlJc w:val="left"/>
    </w:lvl>
    <w:lvl w:ilvl="5" w:tplc="F4B08E96">
      <w:numFmt w:val="decimal"/>
      <w:lvlText w:val=""/>
      <w:lvlJc w:val="left"/>
    </w:lvl>
    <w:lvl w:ilvl="6" w:tplc="B3A0B8CC">
      <w:numFmt w:val="decimal"/>
      <w:lvlText w:val=""/>
      <w:lvlJc w:val="left"/>
    </w:lvl>
    <w:lvl w:ilvl="7" w:tplc="1004E006">
      <w:numFmt w:val="decimal"/>
      <w:lvlText w:val=""/>
      <w:lvlJc w:val="left"/>
    </w:lvl>
    <w:lvl w:ilvl="8" w:tplc="C4AA3FA0">
      <w:numFmt w:val="decimal"/>
      <w:lvlText w:val=""/>
      <w:lvlJc w:val="left"/>
    </w:lvl>
  </w:abstractNum>
  <w:abstractNum w:abstractNumId="4" w15:restartNumberingAfterBreak="0">
    <w:nsid w:val="530A7457"/>
    <w:multiLevelType w:val="hybridMultilevel"/>
    <w:tmpl w:val="F110B8E0"/>
    <w:lvl w:ilvl="0" w:tplc="DED888F8">
      <w:start w:val="1"/>
      <w:numFmt w:val="decimal"/>
      <w:lvlText w:val="%1."/>
      <w:lvlJc w:val="left"/>
      <w:pPr>
        <w:ind w:left="360" w:hanging="220"/>
      </w:pPr>
    </w:lvl>
    <w:lvl w:ilvl="1" w:tplc="F27AC274">
      <w:numFmt w:val="decimal"/>
      <w:lvlText w:val=""/>
      <w:lvlJc w:val="left"/>
    </w:lvl>
    <w:lvl w:ilvl="2" w:tplc="85604C0C">
      <w:numFmt w:val="decimal"/>
      <w:lvlText w:val=""/>
      <w:lvlJc w:val="left"/>
    </w:lvl>
    <w:lvl w:ilvl="3" w:tplc="E48C8A98">
      <w:numFmt w:val="decimal"/>
      <w:lvlText w:val=""/>
      <w:lvlJc w:val="left"/>
    </w:lvl>
    <w:lvl w:ilvl="4" w:tplc="6868C91A">
      <w:numFmt w:val="decimal"/>
      <w:lvlText w:val=""/>
      <w:lvlJc w:val="left"/>
    </w:lvl>
    <w:lvl w:ilvl="5" w:tplc="A538C6C2">
      <w:numFmt w:val="decimal"/>
      <w:lvlText w:val=""/>
      <w:lvlJc w:val="left"/>
    </w:lvl>
    <w:lvl w:ilvl="6" w:tplc="90CC7468">
      <w:numFmt w:val="decimal"/>
      <w:lvlText w:val=""/>
      <w:lvlJc w:val="left"/>
    </w:lvl>
    <w:lvl w:ilvl="7" w:tplc="4F62EE86">
      <w:numFmt w:val="decimal"/>
      <w:lvlText w:val=""/>
      <w:lvlJc w:val="left"/>
    </w:lvl>
    <w:lvl w:ilvl="8" w:tplc="2988CECE">
      <w:numFmt w:val="decimal"/>
      <w:lvlText w:val=""/>
      <w:lvlJc w:val="left"/>
    </w:lvl>
  </w:abstractNum>
  <w:abstractNum w:abstractNumId="5" w15:restartNumberingAfterBreak="0">
    <w:nsid w:val="652F7C03"/>
    <w:multiLevelType w:val="hybridMultilevel"/>
    <w:tmpl w:val="8E68AF7C"/>
    <w:lvl w:ilvl="0" w:tplc="CA5E171C">
      <w:start w:val="1"/>
      <w:numFmt w:val="decimal"/>
      <w:lvlText w:val="%1."/>
      <w:lvlJc w:val="left"/>
      <w:pPr>
        <w:ind w:left="360" w:hanging="220"/>
      </w:pPr>
    </w:lvl>
    <w:lvl w:ilvl="1" w:tplc="07B06EE0">
      <w:numFmt w:val="decimal"/>
      <w:lvlText w:val=""/>
      <w:lvlJc w:val="left"/>
    </w:lvl>
    <w:lvl w:ilvl="2" w:tplc="1938D28E">
      <w:numFmt w:val="decimal"/>
      <w:lvlText w:val=""/>
      <w:lvlJc w:val="left"/>
    </w:lvl>
    <w:lvl w:ilvl="3" w:tplc="1AEC4862">
      <w:numFmt w:val="decimal"/>
      <w:lvlText w:val=""/>
      <w:lvlJc w:val="left"/>
    </w:lvl>
    <w:lvl w:ilvl="4" w:tplc="463846D8">
      <w:numFmt w:val="decimal"/>
      <w:lvlText w:val=""/>
      <w:lvlJc w:val="left"/>
    </w:lvl>
    <w:lvl w:ilvl="5" w:tplc="27B48112">
      <w:numFmt w:val="decimal"/>
      <w:lvlText w:val=""/>
      <w:lvlJc w:val="left"/>
    </w:lvl>
    <w:lvl w:ilvl="6" w:tplc="0F9C5542">
      <w:numFmt w:val="decimal"/>
      <w:lvlText w:val=""/>
      <w:lvlJc w:val="left"/>
    </w:lvl>
    <w:lvl w:ilvl="7" w:tplc="39B068C6">
      <w:numFmt w:val="decimal"/>
      <w:lvlText w:val=""/>
      <w:lvlJc w:val="left"/>
    </w:lvl>
    <w:lvl w:ilvl="8" w:tplc="0582C8A8">
      <w:numFmt w:val="decimal"/>
      <w:lvlText w:val=""/>
      <w:lvlJc w:val="left"/>
    </w:lvl>
  </w:abstractNum>
  <w:abstractNum w:abstractNumId="6" w15:restartNumberingAfterBreak="0">
    <w:nsid w:val="6E433D33"/>
    <w:multiLevelType w:val="hybridMultilevel"/>
    <w:tmpl w:val="1758F478"/>
    <w:lvl w:ilvl="0" w:tplc="2B34EC04">
      <w:start w:val="1"/>
      <w:numFmt w:val="decimal"/>
      <w:lvlText w:val="%1."/>
      <w:lvlJc w:val="left"/>
      <w:pPr>
        <w:ind w:left="360" w:hanging="220"/>
      </w:pPr>
    </w:lvl>
    <w:lvl w:ilvl="1" w:tplc="08EC9928">
      <w:numFmt w:val="decimal"/>
      <w:lvlText w:val=""/>
      <w:lvlJc w:val="left"/>
    </w:lvl>
    <w:lvl w:ilvl="2" w:tplc="05946332">
      <w:numFmt w:val="decimal"/>
      <w:lvlText w:val=""/>
      <w:lvlJc w:val="left"/>
    </w:lvl>
    <w:lvl w:ilvl="3" w:tplc="DBDE5F76">
      <w:numFmt w:val="decimal"/>
      <w:lvlText w:val=""/>
      <w:lvlJc w:val="left"/>
    </w:lvl>
    <w:lvl w:ilvl="4" w:tplc="A02C6740">
      <w:numFmt w:val="decimal"/>
      <w:lvlText w:val=""/>
      <w:lvlJc w:val="left"/>
    </w:lvl>
    <w:lvl w:ilvl="5" w:tplc="8AF67BE6">
      <w:numFmt w:val="decimal"/>
      <w:lvlText w:val=""/>
      <w:lvlJc w:val="left"/>
    </w:lvl>
    <w:lvl w:ilvl="6" w:tplc="B15811D0">
      <w:numFmt w:val="decimal"/>
      <w:lvlText w:val=""/>
      <w:lvlJc w:val="left"/>
    </w:lvl>
    <w:lvl w:ilvl="7" w:tplc="9D6A8254">
      <w:numFmt w:val="decimal"/>
      <w:lvlText w:val=""/>
      <w:lvlJc w:val="left"/>
    </w:lvl>
    <w:lvl w:ilvl="8" w:tplc="53F09B5C">
      <w:numFmt w:val="decimal"/>
      <w:lvlText w:val=""/>
      <w:lvlJc w:val="left"/>
    </w:lvl>
  </w:abstractNum>
  <w:abstractNum w:abstractNumId="7" w15:restartNumberingAfterBreak="0">
    <w:nsid w:val="7C6E5643"/>
    <w:multiLevelType w:val="hybridMultilevel"/>
    <w:tmpl w:val="3202FADA"/>
    <w:lvl w:ilvl="0" w:tplc="2BE200AE">
      <w:start w:val="1"/>
      <w:numFmt w:val="bullet"/>
      <w:lvlText w:val="●"/>
      <w:lvlJc w:val="left"/>
      <w:pPr>
        <w:ind w:left="720" w:hanging="360"/>
      </w:pPr>
    </w:lvl>
    <w:lvl w:ilvl="1" w:tplc="8D0439FA">
      <w:start w:val="1"/>
      <w:numFmt w:val="bullet"/>
      <w:lvlText w:val="○"/>
      <w:lvlJc w:val="left"/>
      <w:pPr>
        <w:ind w:left="1440" w:hanging="360"/>
      </w:pPr>
    </w:lvl>
    <w:lvl w:ilvl="2" w:tplc="A7029E7C">
      <w:start w:val="1"/>
      <w:numFmt w:val="bullet"/>
      <w:lvlText w:val="■"/>
      <w:lvlJc w:val="left"/>
      <w:pPr>
        <w:ind w:left="2160" w:hanging="360"/>
      </w:pPr>
    </w:lvl>
    <w:lvl w:ilvl="3" w:tplc="68EA6F74">
      <w:start w:val="1"/>
      <w:numFmt w:val="bullet"/>
      <w:lvlText w:val="●"/>
      <w:lvlJc w:val="left"/>
      <w:pPr>
        <w:ind w:left="2880" w:hanging="360"/>
      </w:pPr>
    </w:lvl>
    <w:lvl w:ilvl="4" w:tplc="1E54FE82">
      <w:start w:val="1"/>
      <w:numFmt w:val="bullet"/>
      <w:lvlText w:val="○"/>
      <w:lvlJc w:val="left"/>
      <w:pPr>
        <w:ind w:left="3600" w:hanging="360"/>
      </w:pPr>
    </w:lvl>
    <w:lvl w:ilvl="5" w:tplc="7D5EDDD4">
      <w:start w:val="1"/>
      <w:numFmt w:val="bullet"/>
      <w:lvlText w:val="■"/>
      <w:lvlJc w:val="left"/>
      <w:pPr>
        <w:ind w:left="4320" w:hanging="360"/>
      </w:pPr>
    </w:lvl>
    <w:lvl w:ilvl="6" w:tplc="C47C449C">
      <w:start w:val="1"/>
      <w:numFmt w:val="bullet"/>
      <w:lvlText w:val="●"/>
      <w:lvlJc w:val="left"/>
      <w:pPr>
        <w:ind w:left="5040" w:hanging="360"/>
      </w:pPr>
    </w:lvl>
    <w:lvl w:ilvl="7" w:tplc="8BBC20DA">
      <w:start w:val="1"/>
      <w:numFmt w:val="bullet"/>
      <w:lvlText w:val="●"/>
      <w:lvlJc w:val="left"/>
      <w:pPr>
        <w:ind w:left="5760" w:hanging="360"/>
      </w:pPr>
    </w:lvl>
    <w:lvl w:ilvl="8" w:tplc="B3E029DA">
      <w:start w:val="1"/>
      <w:numFmt w:val="bullet"/>
      <w:lvlText w:val="●"/>
      <w:lvlJc w:val="left"/>
      <w:pPr>
        <w:ind w:left="6480" w:hanging="360"/>
      </w:pPr>
    </w:lvl>
  </w:abstractNum>
  <w:num w:numId="1" w16cid:durableId="812455234">
    <w:abstractNumId w:val="7"/>
    <w:lvlOverride w:ilvl="0">
      <w:startOverride w:val="1"/>
    </w:lvlOverride>
  </w:num>
  <w:num w:numId="2" w16cid:durableId="1414818390">
    <w:abstractNumId w:val="2"/>
    <w:lvlOverride w:ilvl="0">
      <w:startOverride w:val="1"/>
    </w:lvlOverride>
  </w:num>
  <w:num w:numId="3" w16cid:durableId="1892688608">
    <w:abstractNumId w:val="3"/>
    <w:lvlOverride w:ilvl="0">
      <w:startOverride w:val="1"/>
    </w:lvlOverride>
  </w:num>
  <w:num w:numId="4" w16cid:durableId="278803405">
    <w:abstractNumId w:val="0"/>
    <w:lvlOverride w:ilvl="0">
      <w:startOverride w:val="1"/>
    </w:lvlOverride>
  </w:num>
  <w:num w:numId="5" w16cid:durableId="2009675262">
    <w:abstractNumId w:val="1"/>
    <w:lvlOverride w:ilvl="0">
      <w:startOverride w:val="1"/>
    </w:lvlOverride>
  </w:num>
  <w:num w:numId="6" w16cid:durableId="2130857782">
    <w:abstractNumId w:val="6"/>
    <w:lvlOverride w:ilvl="0">
      <w:startOverride w:val="1"/>
    </w:lvlOverride>
  </w:num>
  <w:num w:numId="7" w16cid:durableId="220599527">
    <w:abstractNumId w:val="4"/>
    <w:lvlOverride w:ilvl="0">
      <w:startOverride w:val="1"/>
    </w:lvlOverride>
  </w:num>
  <w:num w:numId="8" w16cid:durableId="106417749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5FE"/>
    <w:rsid w:val="00CD75FE"/>
    <w:rsid w:val="00E500CC"/>
    <w:rsid w:val="00E61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ACB28F"/>
  <w15:docId w15:val="{E12637BB-1A5C-8A48-A6BF-172ED5365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B57"/>
      <w:sz w:val="26"/>
      <w:szCs w:val="26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B57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1446</Words>
  <Characters>8247</Characters>
  <Application>Microsoft Office Word</Application>
  <DocSecurity>0</DocSecurity>
  <Lines>68</Lines>
  <Paragraphs>19</Paragraphs>
  <ScaleCrop>false</ScaleCrop>
  <Company/>
  <LinksUpToDate>false</LinksUpToDate>
  <CharactersWithSpaces>9674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Peter Dombkins</cp:lastModifiedBy>
  <cp:revision>2</cp:revision>
  <dcterms:created xsi:type="dcterms:W3CDTF">2026-07-23T09:04:00Z</dcterms:created>
  <dcterms:modified xsi:type="dcterms:W3CDTF">2026-07-23T09:31:00Z</dcterms:modified>
</cp:coreProperties>
</file>