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sz w:val="22"/>
          <w:szCs w:val="22"/>
        </w:rPr>
        <w:t xml:space="preserve">AustLII – Australasian Legal Information Institute</w:t>
      </w:r>
    </w:p>
    <w:p>
      <w:pPr>
        <w:spacing w:after="240"/>
      </w:pPr>
      <w:r>
        <w:rPr>
          <w:rFonts w:ascii="Calibri" w:cs="Calibri" w:eastAsia="Calibri" w:hAnsi="Calibri"/>
          <w:sz w:val="22"/>
          <w:szCs w:val="22"/>
        </w:rPr>
        <w:t xml:space="preserve">Feedback channel: austlii.edu.au/feedback.html</w:t>
      </w:r>
    </w:p>
    <w:p>
      <w:pPr>
        <w:spacing w:after="20"/>
      </w:pPr>
      <w:r>
        <w:rPr>
          <w:rFonts w:ascii="Calibri" w:cs="Calibri" w:eastAsia="Calibri" w:hAnsi="Calibri"/>
          <w:b/>
          <w:bCs/>
          <w:sz w:val="22"/>
          <w:szCs w:val="22"/>
        </w:rPr>
        <w:t xml:space="preserve">Peter Dombkins</w:t>
      </w:r>
    </w:p>
    <w:p>
      <w:pPr>
        <w:spacing w:after="20"/>
      </w:pPr>
      <w:r>
        <w:rPr>
          <w:rFonts w:ascii="Calibri" w:cs="Calibri" w:eastAsia="Calibri" w:hAnsi="Calibri"/>
          <w:sz w:val="22"/>
          <w:szCs w:val="22"/>
        </w:rPr>
        <w:t xml:space="preserve">Adjunct Associate Professor in Legal Transformation</w:t>
      </w:r>
    </w:p>
    <w:p>
      <w:pPr>
        <w:spacing w:after="20"/>
      </w:pPr>
      <w:r>
        <w:rPr>
          <w:rFonts w:ascii="Calibri" w:cs="Calibri" w:eastAsia="Calibri" w:hAnsi="Calibri"/>
          <w:sz w:val="22"/>
          <w:szCs w:val="22"/>
        </w:rPr>
        <w:t xml:space="preserve">Faculty of Law, UNSW Sydney</w:t>
      </w:r>
    </w:p>
    <w:p>
      <w:pPr>
        <w:spacing w:after="240"/>
      </w:pPr>
      <w:r>
        <w:rPr>
          <w:rFonts w:ascii="Calibri" w:cs="Calibri" w:eastAsia="Calibri" w:hAnsi="Calibri"/>
          <w:sz w:val="22"/>
          <w:szCs w:val="22"/>
        </w:rPr>
        <w:t xml:space="preserve">p.dombkins@unsw.edu.au</w:t>
      </w:r>
    </w:p>
    <w:p>
      <w:pPr>
        <w:spacing w:after="240"/>
      </w:pPr>
      <w:r>
        <w:rPr>
          <w:rFonts w:ascii="Calibri" w:cs="Calibri" w:eastAsia="Calibri" w:hAnsi="Calibri"/>
          <w:sz w:val="22"/>
          <w:szCs w:val="22"/>
        </w:rPr>
        <w:t xml:space="preserve">5 July 2026</w:t>
      </w:r>
    </w:p>
    <w:p>
      <w:pPr>
        <w:spacing w:after="240"/>
      </w:pPr>
      <w:r>
        <w:rPr>
          <w:rFonts w:ascii="Calibri" w:cs="Calibri" w:eastAsia="Calibri" w:hAnsi="Calibri"/>
          <w:b/>
          <w:bCs/>
          <w:sz w:val="22"/>
          <w:szCs w:val="22"/>
        </w:rPr>
        <w:t xml:space="preserve">Re: Confirmation that a human-in-the-loop, end-use citation-verification design is acceptable under the AustLII Usage Policy</w:t>
      </w:r>
    </w:p>
    <w:p>
      <w:pPr>
        <w:spacing w:after="160" w:line="276"/>
      </w:pPr>
      <w:r>
        <w:rPr>
          <w:rFonts w:ascii="Calibri" w:cs="Calibri" w:eastAsia="Calibri" w:hAnsi="Calibri"/>
          <w:sz w:val="22"/>
          <w:szCs w:val="22"/>
        </w:rPr>
        <w:t xml:space="preserve">Dear AustLII Co-Directors,</w:t>
      </w:r>
    </w:p>
    <w:p>
      <w:pPr>
        <w:spacing w:after="160" w:line="276"/>
      </w:pPr>
      <w:r>
        <w:rPr>
          <w:rFonts w:ascii="Calibri" w:cs="Calibri" w:eastAsia="Calibri" w:hAnsi="Calibri"/>
          <w:sz w:val="22"/>
          <w:szCs w:val="22"/>
        </w:rPr>
        <w:t xml:space="preserve">I am an Adjunct Associate Professor in Legal Transformation in the Faculty of Law at UNSW Sydney. In an earlier note I asked about automated access to AustLII for a legal-technology teaching tool. Having read your Usage Policy closely, I have redesigned the tool so that it does not access AustLII in any automated way at all. I am writing to describe that design and to ask you to confirm it sits within permitted end-use — or to tell me what you would need changed.</w:t>
      </w:r>
    </w:p>
    <w:p>
      <w:pPr>
        <w:spacing w:after="160" w:line="276"/>
      </w:pPr>
      <w:r>
        <w:rPr>
          <w:rFonts w:ascii="Calibri" w:cs="Calibri" w:eastAsia="Calibri" w:hAnsi="Calibri"/>
          <w:b/>
          <w:bCs/>
          <w:sz w:val="22"/>
          <w:szCs w:val="22"/>
        </w:rPr>
        <w:t xml:space="preserve">What the tool is. </w:t>
      </w:r>
      <w:r>
        <w:rPr>
          <w:rFonts w:ascii="Calibri" w:cs="Calibri" w:eastAsia="Calibri" w:hAnsi="Calibri"/>
          <w:sz w:val="22"/>
          <w:szCs w:val="22"/>
        </w:rPr>
        <w:t xml:space="preserve">As part of a subject that introduces law students to legal technology, I have built an AI legal-research assistant. It is used solely for teaching and research – it is not sold, licensed, marketed, or made available to law firms or any third party. Its only users are me and my enrolled students.</w:t>
      </w:r>
    </w:p>
    <w:p>
      <w:pPr>
        <w:spacing w:after="160" w:line="276"/>
      </w:pPr>
      <w:r>
        <w:rPr>
          <w:rFonts w:ascii="Calibri" w:cs="Calibri" w:eastAsia="Calibri" w:hAnsi="Calibri"/>
          <w:b/>
          <w:bCs/>
          <w:sz w:val="22"/>
          <w:szCs w:val="22"/>
        </w:rPr>
        <w:t xml:space="preserve">How citation checking works – and what it deliberately does not do. </w:t>
      </w:r>
      <w:r>
        <w:rPr>
          <w:rFonts w:ascii="Calibri" w:cs="Calibri" w:eastAsia="Calibri" w:hAnsi="Calibri"/>
          <w:sz w:val="22"/>
          <w:szCs w:val="22"/>
        </w:rPr>
        <w:t xml:space="preserve">When the assistant drafts advice that cites an Australian authority, it does not finalise that advice until a human has checked each citation. The verification step is designed around your Usage Policy:</w:t>
      </w:r>
    </w:p>
    <w:p>
      <w:pPr>
        <w:pStyle w:val="ListParagraph"/>
        <w:numPr>
          <w:ilvl w:val="0"/>
          <w:numId w:val="2"/>
        </w:numPr>
        <w:spacing w:after="80"/>
      </w:pPr>
      <w:r>
        <w:rPr>
          <w:rFonts w:ascii="Calibri" w:cs="Calibri" w:eastAsia="Calibri" w:hAnsi="Calibri"/>
          <w:sz w:val="22"/>
          <w:szCs w:val="22"/>
        </w:rPr>
        <w:t xml:space="preserve">The tool never accesses AustLII programmatically. It builds an ordinary AustLII search link; the student's own web browser opens AustLII in a separate tab and the student performs and reads the search themselves — ordinary individual end-use under clause 2(a).</w:t>
      </w:r>
    </w:p>
    <w:p>
      <w:pPr>
        <w:pStyle w:val="ListParagraph"/>
        <w:numPr>
          <w:ilvl w:val="0"/>
          <w:numId w:val="2"/>
        </w:numPr>
        <w:spacing w:after="80"/>
      </w:pPr>
      <w:r>
        <w:rPr>
          <w:rFonts w:ascii="Calibri" w:cs="Calibri" w:eastAsia="Calibri" w:hAnsi="Calibri"/>
          <w:sz w:val="22"/>
          <w:szCs w:val="22"/>
        </w:rPr>
        <w:t xml:space="preserve">AustLII is never framed or embedded. It opens in a separate browser tab, never in an in-app frame or iframe — so there is no page framing within the meaning of clause 4(a)(ii).</w:t>
      </w:r>
    </w:p>
    <w:p>
      <w:pPr>
        <w:pStyle w:val="ListParagraph"/>
        <w:numPr>
          <w:ilvl w:val="0"/>
          <w:numId w:val="2"/>
        </w:numPr>
        <w:spacing w:after="80"/>
      </w:pPr>
      <w:r>
        <w:rPr>
          <w:rFonts w:ascii="Calibri" w:cs="Calibri" w:eastAsia="Calibri" w:hAnsi="Calibri"/>
          <w:sz w:val="22"/>
          <w:szCs w:val="22"/>
        </w:rPr>
        <w:t xml:space="preserve">Only a verified / not-verified outcome is recorded. The tool stores the student's yes/no result plus the neutral citation the assistant already had. No AustLII page content — no judgment text, headnotes, catchwords, summaries or other value-added material — is copied into the tool, stored, or passed to the AI.</w:t>
      </w:r>
    </w:p>
    <w:p>
      <w:pPr>
        <w:pStyle w:val="ListParagraph"/>
        <w:numPr>
          <w:ilvl w:val="0"/>
          <w:numId w:val="2"/>
        </w:numPr>
        <w:spacing w:after="200"/>
      </w:pPr>
      <w:r>
        <w:rPr>
          <w:rFonts w:ascii="Calibri" w:cs="Calibri" w:eastAsia="Calibri" w:hAnsi="Calibri"/>
          <w:sz w:val="22"/>
          <w:szCs w:val="22"/>
        </w:rPr>
        <w:t xml:space="preserve">The AI receives the human's decision, not AustLII material. On resuming, the assistant is given only the yes/no outcomes and finalises its advice; nothing from AustLII is ingested, cached, summarised, vectorised, or incorporated into its outputs.</w:t>
      </w:r>
    </w:p>
    <w:p>
      <w:pPr>
        <w:spacing w:after="160" w:line="276"/>
      </w:pPr>
      <w:r>
        <w:rPr>
          <w:rFonts w:ascii="Calibri" w:cs="Calibri" w:eastAsia="Calibri" w:hAnsi="Calibri"/>
          <w:sz w:val="22"/>
          <w:szCs w:val="22"/>
        </w:rPr>
        <w:t xml:space="preserve">My reading is that this keeps the tool within individual end-use (clause 2(a)) and clear of the automated-access, page-framing (clause 4(a)(ii)) and AI-materials provisions (section 5), because the only party accessing AustLII is the human student, using their own browser, and the only thing the software records is that student's verification decision. I recognise, however, that section 5 is drafted broadly, and I would much rather confirm this with you than rely on my own interpretation.</w:t>
      </w:r>
    </w:p>
    <w:p>
      <w:pPr>
        <w:spacing w:after="160" w:line="276"/>
      </w:pPr>
      <w:r>
        <w:rPr>
          <w:rFonts w:ascii="Calibri" w:cs="Calibri" w:eastAsia="Calibri" w:hAnsi="Calibri"/>
          <w:b/>
          <w:bCs/>
          <w:sz w:val="22"/>
          <w:szCs w:val="22"/>
        </w:rPr>
        <w:t xml:space="preserve">Scale of use. </w:t>
      </w:r>
      <w:r>
        <w:rPr>
          <w:rFonts w:ascii="Calibri" w:cs="Calibri" w:eastAsia="Calibri" w:hAnsi="Calibri"/>
          <w:sz w:val="22"/>
          <w:szCs w:val="22"/>
        </w:rPr>
        <w:t xml:space="preserve">Any AustLII access is by individual students as end-users, during class. The cohort is small and predictable:</w:t>
      </w:r>
    </w:p>
    <w:p>
      <w:pPr>
        <w:pStyle w:val="ListParagraph"/>
        <w:numPr>
          <w:ilvl w:val="0"/>
          <w:numId w:val="2"/>
        </w:numPr>
        <w:spacing w:after="80"/>
      </w:pPr>
      <w:r>
        <w:rPr>
          <w:rFonts w:ascii="Calibri" w:cs="Calibri" w:eastAsia="Calibri" w:hAnsi="Calibri"/>
          <w:sz w:val="22"/>
          <w:szCs w:val="22"/>
        </w:rPr>
        <w:t xml:space="preserve">One class of ~30 students, three terms per year (~90 enrolments annually).</w:t>
      </w:r>
    </w:p>
    <w:p>
      <w:pPr>
        <w:pStyle w:val="ListParagraph"/>
        <w:numPr>
          <w:ilvl w:val="0"/>
          <w:numId w:val="2"/>
        </w:numPr>
        <w:spacing w:after="200"/>
      </w:pPr>
      <w:r>
        <w:rPr>
          <w:rFonts w:ascii="Calibri" w:cs="Calibri" w:eastAsia="Calibri" w:hAnsi="Calibri"/>
          <w:sz w:val="22"/>
          <w:szCs w:val="22"/>
        </w:rPr>
        <w:t xml:space="preserve">Legal-technology content runs over 2 weeks per term (4 × 2-hour sessions), i.e. 12 sessions per year.</w:t>
      </w:r>
    </w:p>
    <w:p>
      <w:pPr>
        <w:spacing w:after="160" w:line="276"/>
      </w:pPr>
      <w:r>
        <w:rPr>
          <w:rFonts w:ascii="Calibri" w:cs="Calibri" w:eastAsia="Calibri" w:hAnsi="Calibri"/>
          <w:b/>
          <w:bCs/>
          <w:sz w:val="22"/>
          <w:szCs w:val="22"/>
        </w:rPr>
        <w:t xml:space="preserve">What I am asking:</w:t>
      </w:r>
    </w:p>
    <w:p>
      <w:pPr>
        <w:pStyle w:val="ListParagraph"/>
        <w:numPr>
          <w:ilvl w:val="0"/>
          <w:numId w:val="3"/>
        </w:numPr>
        <w:spacing w:after="80"/>
      </w:pPr>
      <w:r>
        <w:rPr>
          <w:rFonts w:ascii="Calibri" w:cs="Calibri" w:eastAsia="Calibri" w:hAnsi="Calibri"/>
          <w:sz w:val="22"/>
          <w:szCs w:val="22"/>
        </w:rPr>
        <w:t xml:space="preserve">Whether you agree that the human-in-the-loop design described above — students searching AustLII in their own browser as end-users, with the tool recording only a verified/not-verified outcome and no AustLII content — is within permitted use under the Usage Policy (including section 5); and</w:t>
      </w:r>
    </w:p>
    <w:p>
      <w:pPr>
        <w:pStyle w:val="ListParagraph"/>
        <w:numPr>
          <w:ilvl w:val="0"/>
          <w:numId w:val="3"/>
        </w:numPr>
        <w:spacing w:after="80"/>
      </w:pPr>
      <w:r>
        <w:rPr>
          <w:rFonts w:ascii="Calibri" w:cs="Calibri" w:eastAsia="Calibri" w:hAnsi="Calibri"/>
          <w:sz w:val="22"/>
          <w:szCs w:val="22"/>
        </w:rPr>
        <w:t xml:space="preserve">Whether you are comfortable with the tool deep-linking students to AustLII search results for this purpose; and</w:t>
      </w:r>
    </w:p>
    <w:p>
      <w:pPr>
        <w:pStyle w:val="ListParagraph"/>
        <w:numPr>
          <w:ilvl w:val="0"/>
          <w:numId w:val="3"/>
        </w:numPr>
        <w:spacing w:after="200"/>
      </w:pPr>
      <w:r>
        <w:rPr>
          <w:rFonts w:ascii="Calibri" w:cs="Calibri" w:eastAsia="Calibri" w:hAnsi="Calibri"/>
          <w:sz w:val="22"/>
          <w:szCs w:val="22"/>
        </w:rPr>
        <w:t xml:space="preserve">Any conditions you would like observed — for example attribution, a particular link format, an on-screen notice, or a limit on how the feature is presented.</w:t>
      </w:r>
    </w:p>
    <w:p>
      <w:pPr>
        <w:spacing w:after="160" w:line="276"/>
      </w:pPr>
      <w:r>
        <w:rPr>
          <w:rFonts w:ascii="Calibri" w:cs="Calibri" w:eastAsia="Calibri" w:hAnsi="Calibri"/>
          <w:sz w:val="22"/>
          <w:szCs w:val="22"/>
        </w:rPr>
        <w:t xml:space="preserve">I would be glad to demonstrate the tool, walk you through exactly what is and is not recorded, or adjust the design to meet any concerns. Given AustLII's role in legal education, I hope this human-centred approach is one you can support.</w:t>
      </w:r>
    </w:p>
    <w:p>
      <w:pPr>
        <w:spacing w:after="240"/>
      </w:pPr>
      <w:r>
        <w:rPr>
          <w:rFonts w:ascii="Calibri" w:cs="Calibri" w:eastAsia="Calibri" w:hAnsi="Calibri"/>
          <w:sz w:val="22"/>
          <w:szCs w:val="22"/>
        </w:rPr>
        <w:t xml:space="preserve">Thank you for your time, and for the service AustLII provides to legal education in Australia.</w:t>
      </w:r>
    </w:p>
    <w:p>
      <w:pPr>
        <w:spacing w:after="240"/>
      </w:pPr>
      <w:r>
        <w:rPr>
          <w:rFonts w:ascii="Calibri" w:cs="Calibri" w:eastAsia="Calibri" w:hAnsi="Calibri"/>
          <w:sz w:val="22"/>
          <w:szCs w:val="22"/>
        </w:rPr>
        <w:t xml:space="preserve">Kind regards,</w:t>
      </w:r>
    </w:p>
    <w:p>
      <w:pPr>
        <w:spacing w:after="20"/>
      </w:pPr>
      <w:r>
        <w:rPr>
          <w:rFonts w:ascii="Calibri" w:cs="Calibri" w:eastAsia="Calibri" w:hAnsi="Calibri"/>
          <w:b/>
          <w:bCs/>
          <w:sz w:val="22"/>
          <w:szCs w:val="22"/>
        </w:rPr>
        <w:t xml:space="preserve">Peter Dombkins</w:t>
      </w:r>
    </w:p>
    <w:p>
      <w:pPr>
        <w:spacing w:after="20"/>
      </w:pPr>
      <w:r>
        <w:rPr>
          <w:rFonts w:ascii="Calibri" w:cs="Calibri" w:eastAsia="Calibri" w:hAnsi="Calibri"/>
          <w:sz w:val="22"/>
          <w:szCs w:val="22"/>
        </w:rPr>
        <w:t xml:space="preserve">Adjunct Associate Professor in Legal Transformation</w:t>
      </w:r>
    </w:p>
    <w:p>
      <w:pPr>
        <w:spacing w:after="20"/>
      </w:pPr>
      <w:r>
        <w:rPr>
          <w:rFonts w:ascii="Calibri" w:cs="Calibri" w:eastAsia="Calibri" w:hAnsi="Calibri"/>
          <w:sz w:val="22"/>
          <w:szCs w:val="22"/>
        </w:rPr>
        <w:t xml:space="preserve">Faculty of Law, UNSW Sydney</w:t>
      </w:r>
    </w:p>
    <w:p>
      <w:pPr>
        <w:spacing w:after="20"/>
      </w:pPr>
      <w:r>
        <w:rPr>
          <w:rFonts w:ascii="Calibri" w:cs="Calibri" w:eastAsia="Calibri" w:hAnsi="Calibri"/>
          <w:sz w:val="22"/>
          <w:szCs w:val="22"/>
        </w:rPr>
        <w:t xml:space="preserve">p.dombkins@unsw.edu.au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2026-07-05T13:27:47.698Z</dcterms:created>
  <dcterms:modified xsi:type="dcterms:W3CDTF">2026-07-05T13:27:47.699Z</dcterms:modified>
</cp:coreProperties>
</file>

<file path=docProps/custom.xml><?xml version="1.0" encoding="utf-8"?>
<Properties xmlns="http://schemas.openxmlformats.org/officeDocument/2006/custom-properties" xmlns:vt="http://schemas.openxmlformats.org/officeDocument/2006/docPropsVTypes"/>
</file>