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BarNetwork Pty Limited (BarNet) – Jade Support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help@jade.io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Peter Dombkins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Adjunct Associate Professor in Legal Transformation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Faculty of Law, UNSW Sydney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p.dombkins@unsw.edu.au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5 July 2026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Request for written permission – automated access to Jade for university teaching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Dear Jade / BarNet team,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 am an Adjunct Associate Professor in Legal Transformation in the Faculty of Law at UNSW Sydney. I am writing to request BarNet’s written permission for a limited, non-commercial form of automated access to Jade for a subject I teach on legal technology.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teaching tool. </w:t>
      </w:r>
      <w:r>
        <w:rPr>
          <w:rFonts w:ascii="Calibri" w:cs="Calibri" w:eastAsia="Calibri" w:hAnsi="Calibri"/>
          <w:sz w:val="22"/>
          <w:szCs w:val="22"/>
        </w:rPr>
        <w:t xml:space="preserve">As part of the subject, I have built an AI legal-research assistant to show students how legal-tech systems retrieve and validate authorities. It queries Jade programmatically for two things only: validating medium neutral citations, and retrieving case references for in-class demonstrations. It uses Jade because Jade is the most reliable Australian source for citation validation. The tool is used solely for teaching and research – it is not sold, licensed, marketed, or made available to law firms or any third party. Its only users are me and my enrolled students.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I’m writing. </w:t>
      </w:r>
      <w:r>
        <w:rPr>
          <w:rFonts w:ascii="Calibri" w:cs="Calibri" w:eastAsia="Calibri" w:hAnsi="Calibri"/>
          <w:sz w:val="22"/>
          <w:szCs w:val="22"/>
        </w:rPr>
        <w:t xml:space="preserve">Your Acceptable Use Policy prohibits automated access to Jade without prior written permission, and I understand that prohibition applies regardless of purpose. Rather than rely on any exception, I would like your permission directly, on whatever terms suit you.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Scale of use. </w:t>
      </w:r>
      <w:r>
        <w:rPr>
          <w:rFonts w:ascii="Calibri" w:cs="Calibri" w:eastAsia="Calibri" w:hAnsi="Calibri"/>
          <w:sz w:val="22"/>
          <w:szCs w:val="22"/>
        </w:rPr>
        <w:t xml:space="preserve">The usage is small and predictable, concentrated into a few teaching weeks each year: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class of ~30 students, three terms per year (~90 enrolments annually).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Legal-tech content runs over 2 weeks per term (4 × 2-hour sessions), i.e. 12 sessions per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Automated access occurs almost entirely during scheduled class hours, with up to 30 concurrent users, plus modest preparation and testing by me.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Estimated volume: roughly 3,000–5,000 requests per term (up to ~15,000 per year), concentrated into about 6 teaching weeks.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I’m glad to apply any safeguards you prefer – caching to avoid repeat requests, rate-limiting and capped concurrency, a custom user-agent identifying the tool, restricting queries to citation validation and case retrieval, and not storing or redistributing any of Jade’s editorial content (summaries, headnotes, JADEmarks) – and to honour any restrictions you specify.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I’m asking for: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Written permission for the described automated access for university teaching and research; 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Access via any academic or API arrangement you would prefer; and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Any conditions or attribution requirements you would like observed.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I’m happy to discuss by email or a short call, to detail exactly what the tool requests, or to demonstrate it. I would much rather do this with your blessing than on any assumption about permitted use.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Thank you for your time – and for the academic focus Jade brings to the profession, which is a large part of why I want my students learning on it.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Kind regards,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Peter Dombkins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Adjunct Associate Professor in Legal Transformation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Faculty of Law, UNSW Sydney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p.dombkins@unsw.edu.au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2026-07-05T12:16:38.401Z</dcterms:created>
  <dcterms:modified xsi:type="dcterms:W3CDTF">2026-07-05T12:16:38.401Z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