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57"/>
          <w:sz w:val="32"/>
          <w:szCs w:val="32"/>
        </w:rPr>
        <w:t xml:space="preserve">NexaCare — Whitegum Acquisition</w:t>
      </w:r>
    </w:p>
    <w:p>
      <w:pPr>
        <w:spacing w:after="40"/>
      </w:pPr>
      <w:r>
        <w:rPr>
          <w:sz w:val="26"/>
          <w:szCs w:val="26"/>
        </w:rPr>
        <w:t xml:space="preserve">Student Guide — Client &amp; Employee Experience (Week 8)</w:t>
      </w:r>
    </w:p>
    <w:p>
      <w:pPr>
        <w:spacing w:after="200"/>
      </w:pPr>
      <w:r>
        <w:rPr>
          <w:i/>
          <w:iCs/>
          <w:color w:val="606A75"/>
          <w:sz w:val="18"/>
          <w:szCs w:val="18"/>
        </w:rPr>
        <w:t xml:space="preserve">LAWS3850 Legal Project Management · Fictional teaching scenario — not legal advice</w:t>
      </w:r>
    </w:p>
    <w:p>
      <w:pPr>
        <w:pStyle w:val="Heading2"/>
        <w:spacing w:after="80" w:before="200"/>
      </w:pPr>
      <w:r>
        <w:rPr>
          <w:color w:val="1F3B57"/>
        </w:rPr>
        <w:t xml:space="preserve">What this week is about</w:t>
      </w:r>
    </w:p>
    <w:p>
      <w:pPr>
        <w:spacing w:after="120" w:before="0"/>
      </w:pPr>
      <w:r>
        <w:t xml:space="preserve">Most of what a client remembers about a legal matter is not the law — it is the experience: whether they felt informed, whether there were surprises, whether the team was responsive. This week you look at the NexaCare acquisition through two lenses: client experience (CX) — how it felt to be the client — and employee experience (EX) — how it felt to be on the deal team under a compressed timetable. You will run six short exercises in Mike, each producing something you can discuss and, for the assessment, assemble into a one-page “ideal happy path” and a short EX note.</w:t>
      </w:r>
    </w:p>
    <w:p>
      <w:pPr>
        <w:pStyle w:val="Heading2"/>
        <w:spacing w:after="80" w:before="200"/>
      </w:pPr>
      <w:r>
        <w:rPr>
          <w:color w:val="1F3B57"/>
        </w:rPr>
        <w:t xml:space="preserve">Before you start — your workspace</w:t>
      </w:r>
    </w:p>
    <w:p>
      <w:pPr>
        <w:pStyle w:val="ListParagraph"/>
        <w:numPr>
          <w:ilvl w:val="0"/>
          <w:numId w:val="2"/>
        </w:numPr>
        <w:spacing w:after="60"/>
      </w:pPr>
      <w:r>
        <w:rPr>
          <w:b/>
          <w:bCs/>
        </w:rPr>
        <w:t xml:space="preserve">Your project. </w:t>
      </w:r>
      <w:r>
        <w:t xml:space="preserve">Everything happens inside your group’s project, “NexaCare — Whitegum Acquisition — Group [your letter]”. It already contains the matter documents (leases, the MediTrax notice and MSA extract, the TSA schedule, a client correspondence log and the process map) and the matter task list. Select this project whenever you run a workflow so Mike has the case context.</w:t>
      </w:r>
    </w:p>
    <w:p>
      <w:pPr>
        <w:pStyle w:val="ListParagraph"/>
        <w:numPr>
          <w:ilvl w:val="0"/>
          <w:numId w:val="2"/>
        </w:numPr>
        <w:spacing w:after="60"/>
      </w:pPr>
      <w:r>
        <w:rPr>
          <w:b/>
          <w:bCs/>
        </w:rPr>
        <w:t xml:space="preserve">Running a workflow. </w:t>
      </w:r>
      <w:r>
        <w:t xml:space="preserve">Open Workflows in the left sidebar, find the named workflow, and choose Use. Set “Use in” to Project and select your group’s project. If a workflow asks for input, paste it into the message box. Click Run. Where a workflow shows a plan first, read it and Approve to let it run — this approval step is deliberate (it mirrors partner supervision).</w:t>
      </w:r>
    </w:p>
    <w:p>
      <w:pPr>
        <w:pStyle w:val="ListParagraph"/>
        <w:numPr>
          <w:ilvl w:val="0"/>
          <w:numId w:val="2"/>
        </w:numPr>
        <w:spacing w:after="60"/>
      </w:pPr>
      <w:r>
        <w:rPr>
          <w:b/>
          <w:bCs/>
        </w:rPr>
        <w:t xml:space="preserve">Reading the output. </w:t>
      </w:r>
      <w:r>
        <w:t xml:space="preserve">Each workflow works in three moves — research, draft, then a review step that checks the draft. Read all three: the review step is where the interesting tensions surface.</w:t>
      </w:r>
    </w:p>
    <w:p>
      <w:pPr>
        <w:pStyle w:val="ListParagraph"/>
        <w:numPr>
          <w:ilvl w:val="0"/>
          <w:numId w:val="2"/>
        </w:numPr>
        <w:spacing w:after="60"/>
      </w:pPr>
      <w:r>
        <w:rPr>
          <w:b/>
          <w:bCs/>
        </w:rPr>
        <w:t xml:space="preserve">A standing rule. </w:t>
      </w:r>
      <w:r>
        <w:t xml:space="preserve">Mike’s output is AI-generated and must be checked before anyone relies on it. Treat every draft as a first draft, and never let a citation reach a client without a human verifying it.</w:t>
      </w:r>
    </w:p>
    <w:p>
      <w:pPr>
        <w:pStyle w:val="Heading2"/>
        <w:spacing w:after="80" w:before="200"/>
      </w:pPr>
      <w:r>
        <w:rPr>
          <w:color w:val="1F3B57"/>
        </w:rPr>
        <w:t xml:space="preserve">Cast — who’s who</w:t>
      </w:r>
    </w:p>
    <w:p>
      <w:pPr>
        <w:spacing w:after="120" w:before="0"/>
      </w:pPr>
      <w:r>
        <w:rPr>
          <w:b/>
          <w:bCs/>
        </w:rPr>
        <w:t xml:space="preserve">The client (NexaCare). </w:t>
      </w:r>
      <w:r>
        <w:t xml:space="preserve">Dr Alexandra Keller, CEO — commercial, decisive, wants the bottom line first and no surprises. Jonathan Wu, General Counsel — disciplined and risk-weighted, wants the reasoning and the downside. Daniel Okoye, CIO — precise and technical, cares about operational continuity and data integrity. Elena Rossi, Head of HR — people-first, plain language, focused on staff impact.</w:t>
      </w:r>
    </w:p>
    <w:p>
      <w:pPr>
        <w:spacing w:after="120" w:before="0"/>
      </w:pPr>
      <w:r>
        <w:rPr>
          <w:b/>
          <w:bCs/>
        </w:rPr>
        <w:t xml:space="preserve">The deal team (Kendry &amp; Slate). </w:t>
      </w:r>
      <w:r>
        <w:t xml:space="preserve">Two partners (James Bentley, Priya Iyer), senior associates (Lily Chen, David O’Connell), junior associates (Aisha Rahman, Tom Nguyen) and a paralegal (Mia Rossi). Watch the team’s wellbeing cues under deadline pressure: over-commitment, anxiety, rigidity, and the risk of missed detail when people are stretched.</w:t>
      </w:r>
    </w:p>
    <w:p>
      <w:pPr>
        <w:pStyle w:val="Heading1"/>
        <w:spacing w:after="60" w:before="320"/>
      </w:pPr>
      <w:r>
        <w:rPr>
          <w:color w:val="1F3B57"/>
        </w:rPr>
        <w:t xml:space="preserve">Exercise 1 — Baseline (CX): </w:t>
      </w:r>
      <w:r>
        <w:rPr>
          <w:color w:val="1F3B57"/>
        </w:rPr>
        <w:t xml:space="preserve">Client experience (CX) audit &amp; scorecard</w:t>
      </w:r>
    </w:p>
    <w:p>
      <w:pPr>
        <w:spacing w:after="120" w:before="0"/>
      </w:pPr>
      <w:r>
        <w:rPr>
          <w:b/>
          <w:bCs/>
        </w:rPr>
        <w:t xml:space="preserve">Purpose.  </w:t>
      </w:r>
      <w:r>
        <w:t xml:space="preserve">Map the client’s journey across the whole matter and rate how each touchpoint is likely to have felt from the client’s side.</w:t>
      </w:r>
    </w:p>
    <w:p>
      <w:pPr>
        <w:spacing w:after="120" w:before="0"/>
      </w:pPr>
      <w:r>
        <w:rPr>
          <w:b/>
          <w:bCs/>
        </w:rPr>
        <w:t xml:space="preserve">What you'll produce.  </w:t>
      </w:r>
      <w:r>
        <w:t xml:space="preserve">A CX scorecard (a table of touchpoints, the client’s expectation, the likely current experience and a red/amber/green rating) plus a prioritised list of improvements.</w:t>
      </w:r>
    </w:p>
    <w:p>
      <w:pPr>
        <w:spacing w:after="40" w:before="60"/>
      </w:pPr>
      <w:r>
        <w:rPr>
          <w:b/>
          <w:bCs/>
        </w:rPr>
        <w:t xml:space="preserve">Steps</w:t>
      </w:r>
    </w:p>
    <w:p>
      <w:pPr>
        <w:pStyle w:val="ListParagraph"/>
        <w:numPr>
          <w:ilvl w:val="0"/>
          <w:numId w:val="3"/>
        </w:numPr>
        <w:spacing w:after="60"/>
      </w:pPr>
      <w:r>
        <w:t xml:space="preserve">Open the workflow “Client experience (CX) audit &amp; scorecard (W8)” and choose Use → Project → your group’s project.</w:t>
      </w:r>
    </w:p>
    <w:p>
      <w:pPr>
        <w:pStyle w:val="ListParagraph"/>
        <w:numPr>
          <w:ilvl w:val="0"/>
          <w:numId w:val="3"/>
        </w:numPr>
        <w:spacing w:after="60"/>
      </w:pPr>
      <w:r>
        <w:t xml:space="preserve">When selecting documents, include the Client Correspondence Log so the audit is based on what actually happened, not guesswork.</w:t>
      </w:r>
    </w:p>
    <w:p>
      <w:pPr>
        <w:pStyle w:val="ListParagraph"/>
        <w:numPr>
          <w:ilvl w:val="0"/>
          <w:numId w:val="3"/>
        </w:numPr>
        <w:spacing w:after="60"/>
      </w:pPr>
      <w:r>
        <w:t xml:space="preserve">Run, and approve the plan if prompted.</w:t>
      </w:r>
    </w:p>
    <w:p>
      <w:pPr>
        <w:pStyle w:val="ListParagraph"/>
        <w:numPr>
          <w:ilvl w:val="0"/>
          <w:numId w:val="3"/>
        </w:numPr>
        <w:spacing w:after="60"/>
      </w:pPr>
      <w:r>
        <w:t xml:space="preserve">Read the scorecard and the improvement backlog; note which touchpoints are rated amber or red.</w:t>
      </w:r>
    </w:p>
    <w:p>
      <w:pPr>
        <w:spacing w:after="120" w:before="60"/>
      </w:pPr>
      <w:r>
        <w:rPr>
          <w:b/>
          <w:bCs/>
        </w:rPr>
        <w:t xml:space="preserve">Discuss.  </w:t>
      </w:r>
      <w:r>
        <w:rPr>
          <w:i/>
          <w:iCs/>
        </w:rPr>
        <w:t xml:space="preserve">Where is the client experience most at risk in this matter — and why is the weak point almost always a communication failure rather than a legal one?</w:t>
      </w:r>
    </w:p>
    <w:p>
      <w:pPr>
        <w:pStyle w:val="Heading1"/>
        <w:spacing w:after="60" w:before="320"/>
      </w:pPr>
      <w:r>
        <w:rPr>
          <w:color w:val="1F3B57"/>
        </w:rPr>
        <w:t xml:space="preserve">Exercise 2 — Recovery (CX): </w:t>
      </w:r>
      <w:r>
        <w:rPr>
          <w:color w:val="1F3B57"/>
        </w:rPr>
        <w:t xml:space="preserve">Service recovery response</w:t>
      </w:r>
    </w:p>
    <w:p>
      <w:pPr>
        <w:spacing w:after="120" w:before="0"/>
      </w:pPr>
      <w:r>
        <w:rPr>
          <w:b/>
          <w:bCs/>
        </w:rPr>
        <w:t xml:space="preserve">Purpose.  </w:t>
      </w:r>
      <w:r>
        <w:t xml:space="preserve">Draft the message the firm sends when something has gone wrong. The craft is in balancing a genuine service apology against the risk of admitting legal liability.</w:t>
      </w:r>
    </w:p>
    <w:p>
      <w:pPr>
        <w:spacing w:after="120" w:before="0"/>
      </w:pPr>
      <w:r>
        <w:rPr>
          <w:b/>
          <w:bCs/>
        </w:rPr>
        <w:t xml:space="preserve">What you'll produce.  </w:t>
      </w:r>
      <w:r>
        <w:t xml:space="preserve">A recovery note to the client, plus the review step’s flag of any wording that could become a legal admission needing partner or professional-indemnity (PI) sign-off.</w:t>
      </w:r>
    </w:p>
    <w:p>
      <w:pPr>
        <w:spacing w:after="40" w:before="60"/>
      </w:pPr>
      <w:r>
        <w:rPr>
          <w:b/>
          <w:bCs/>
        </w:rPr>
        <w:t xml:space="preserve">Steps</w:t>
      </w:r>
    </w:p>
    <w:p>
      <w:pPr>
        <w:pStyle w:val="ListParagraph"/>
        <w:numPr>
          <w:ilvl w:val="0"/>
          <w:numId w:val="4"/>
        </w:numPr>
        <w:spacing w:after="60"/>
      </w:pPr>
      <w:r>
        <w:t xml:space="preserve">Open “Service recovery response (W8)” → Use → Project → your group’s project.</w:t>
      </w:r>
    </w:p>
    <w:p>
      <w:pPr>
        <w:pStyle w:val="ListParagraph"/>
        <w:numPr>
          <w:ilvl w:val="0"/>
          <w:numId w:val="4"/>
        </w:numPr>
        <w:spacing w:after="60"/>
      </w:pPr>
      <w:r>
        <w:t xml:space="preserve">Paste the scenario in the box below into the message field.</w:t>
      </w:r>
    </w:p>
    <w:p>
      <w:pPr>
        <w:pStyle w:val="ListParagraph"/>
        <w:numPr>
          <w:ilvl w:val="0"/>
          <w:numId w:val="4"/>
        </w:numPr>
        <w:spacing w:after="60"/>
      </w:pPr>
      <w:r>
        <w:t xml:space="preserve">Run, and read the draft together with the review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5F8" w:val="clear"/>
            <w:tcMar>
              <w:top w:type="dxa" w:w="120"/>
              <w:left w:type="dxa" w:w="160"/>
              <w:bottom w:type="dxa" w:w="120"/>
              <w:right w:type="dxa" w:w="160"/>
            </w:tcMar>
          </w:tcPr>
          <w:p>
            <w:pPr>
              <w:spacing w:after="60"/>
            </w:pPr>
            <w:r>
              <w:rPr>
                <w:b/>
                <w:bCs/>
                <w:color w:val="1F3B57"/>
                <w:sz w:val="20"/>
                <w:szCs w:val="20"/>
              </w:rPr>
              <w:t xml:space="preserve">Scenario to paste:</w:t>
            </w:r>
          </w:p>
          <w:p>
            <w:pPr>
              <w:spacing w:after="60"/>
            </w:pPr>
            <w:r>
              <w:rPr>
                <w:sz w:val="20"/>
                <w:szCs w:val="20"/>
              </w:rPr>
              <w:t xml:space="preserve">We diarised the landlord’s 14-day consent clock under the Parramatta lease from the wrong start date. The response window has now expired and the landlord’s agent is asserting deemed refusal. Dr Keller heard about it from the agent before she heard from us. Draft the service-recovery response to NexaCare.</w:t>
            </w:r>
          </w:p>
        </w:tc>
      </w:tr>
    </w:tbl>
    <w:p>
      <w:pPr>
        <w:spacing w:after="60" w:before="0"/>
      </w:pPr>
      <w:r>
        <w:t xml:space="preserve"/>
      </w:r>
    </w:p>
    <w:p>
      <w:pPr>
        <w:spacing w:after="120" w:before="60"/>
      </w:pPr>
      <w:r>
        <w:rPr>
          <w:b/>
          <w:bCs/>
        </w:rPr>
        <w:t xml:space="preserve">Discuss.  </w:t>
      </w:r>
      <w:r>
        <w:rPr>
          <w:i/>
          <w:iCs/>
        </w:rPr>
        <w:t xml:space="preserve">Which sentences in the draft could a PI insurer read as an admission of liability? How would you apologise for the client’s experience while protecting the firm’s legal position — and what must go to a partner before this is sent?</w:t>
      </w:r>
    </w:p>
    <w:p>
      <w:pPr>
        <w:pStyle w:val="Heading1"/>
        <w:spacing w:after="60" w:before="320"/>
      </w:pPr>
      <w:r>
        <w:rPr>
          <w:color w:val="1F3B57"/>
        </w:rPr>
        <w:t xml:space="preserve">Exercise 3 — Listening (CX): </w:t>
      </w:r>
      <w:r>
        <w:rPr>
          <w:color w:val="1F3B57"/>
        </w:rPr>
        <w:t xml:space="preserve">Client feedback synthesis</w:t>
      </w:r>
    </w:p>
    <w:p>
      <w:pPr>
        <w:spacing w:after="120" w:before="0"/>
      </w:pPr>
      <w:r>
        <w:rPr>
          <w:b/>
          <w:bCs/>
        </w:rPr>
        <w:t xml:space="preserve">Purpose.  </w:t>
      </w:r>
      <w:r>
        <w:t xml:space="preserve">Turn a set of raw client comments into themes, sentiment and a prioritised action list — the data-driven side of client experience.</w:t>
      </w:r>
    </w:p>
    <w:p>
      <w:pPr>
        <w:spacing w:after="120" w:before="0"/>
      </w:pPr>
      <w:r>
        <w:rPr>
          <w:b/>
          <w:bCs/>
        </w:rPr>
        <w:t xml:space="preserve">What you'll produce.  </w:t>
      </w:r>
      <w:r>
        <w:t xml:space="preserve">A themes table (theme, frequency, sentiment, a representative quote), an overall read (a promoters / passives / detractors split), and specific actions tied to the strongest themes.</w:t>
      </w:r>
    </w:p>
    <w:p>
      <w:pPr>
        <w:spacing w:after="40" w:before="60"/>
      </w:pPr>
      <w:r>
        <w:rPr>
          <w:b/>
          <w:bCs/>
        </w:rPr>
        <w:t xml:space="preserve">Steps</w:t>
      </w:r>
    </w:p>
    <w:p>
      <w:pPr>
        <w:pStyle w:val="ListParagraph"/>
        <w:numPr>
          <w:ilvl w:val="0"/>
          <w:numId w:val="5"/>
        </w:numPr>
        <w:spacing w:after="60"/>
      </w:pPr>
      <w:r>
        <w:t xml:space="preserve">Open “Client feedback synthesis — data-driven CX (W8)” → Use → Project → your group’s project.</w:t>
      </w:r>
    </w:p>
    <w:p>
      <w:pPr>
        <w:pStyle w:val="ListParagraph"/>
        <w:numPr>
          <w:ilvl w:val="0"/>
          <w:numId w:val="5"/>
        </w:numPr>
        <w:spacing w:after="60"/>
      </w:pPr>
      <w:r>
        <w:t xml:space="preserve">Paste the client feedback in the box below into the message field.</w:t>
      </w:r>
    </w:p>
    <w:p>
      <w:pPr>
        <w:pStyle w:val="ListParagraph"/>
        <w:numPr>
          <w:ilvl w:val="0"/>
          <w:numId w:val="5"/>
        </w:numPr>
        <w:spacing w:after="60"/>
      </w:pPr>
      <w:r>
        <w:t xml:space="preserve">Run, and review the themes, the sentiment read and the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5F8" w:val="clear"/>
            <w:tcMar>
              <w:top w:type="dxa" w:w="120"/>
              <w:left w:type="dxa" w:w="160"/>
              <w:bottom w:type="dxa" w:w="120"/>
              <w:right w:type="dxa" w:w="160"/>
            </w:tcMar>
          </w:tcPr>
          <w:p>
            <w:pPr>
              <w:spacing w:after="60"/>
            </w:pPr>
            <w:r>
              <w:rPr>
                <w:b/>
                <w:bCs/>
                <w:color w:val="1F3B57"/>
                <w:sz w:val="20"/>
                <w:szCs w:val="20"/>
              </w:rPr>
              <w:t xml:space="preserve">Client feedback to paste:</w:t>
            </w:r>
          </w:p>
          <w:p>
            <w:pPr>
              <w:spacing w:after="60"/>
            </w:pPr>
            <w:r>
              <w:rPr>
                <w:sz w:val="20"/>
                <w:szCs w:val="20"/>
              </w:rPr>
              <w:t xml:space="preserve">1. Dr Keller (CEO): “When they’re in the room they’re excellent. Getting them into the room is the problem.”</w:t>
            </w:r>
          </w:p>
          <w:p>
            <w:pPr>
              <w:spacing w:after="60"/>
            </w:pPr>
            <w:r>
              <w:rPr>
                <w:sz w:val="20"/>
                <w:szCs w:val="20"/>
              </w:rPr>
              <w:t xml:space="preserve">2. Keller’s EA: “Three days of calls during the EHR crisis week before anyone rang back.”</w:t>
            </w:r>
          </w:p>
          <w:p>
            <w:pPr>
              <w:spacing w:after="60"/>
            </w:pPr>
            <w:r>
              <w:rPr>
                <w:sz w:val="20"/>
                <w:szCs w:val="20"/>
              </w:rPr>
              <w:t xml:space="preserve">3. Jonathan Wu (GC): “The substantive advice on the MediTrax notice was first-rate. Genuinely impressive under pressure.”</w:t>
            </w:r>
          </w:p>
          <w:p>
            <w:pPr>
              <w:spacing w:after="60"/>
            </w:pPr>
            <w:r>
              <w:rPr>
                <w:sz w:val="20"/>
                <w:szCs w:val="20"/>
              </w:rPr>
              <w:t xml:space="preserve">4. Jonathan Wu (GC): “I should not have to email a partner to get a status update a senior associate could have sent.”</w:t>
            </w:r>
          </w:p>
          <w:p>
            <w:pPr>
              <w:spacing w:after="60"/>
            </w:pPr>
            <w:r>
              <w:rPr>
                <w:sz w:val="20"/>
                <w:szCs w:val="20"/>
              </w:rPr>
              <w:t xml:space="preserve">5. Daniel Okoye (CIO): “Answers were right but slow. In an IT cutover, slow and right can equal wrong.”</w:t>
            </w:r>
          </w:p>
          <w:p>
            <w:pPr>
              <w:spacing w:after="60"/>
            </w:pPr>
            <w:r>
              <w:rPr>
                <w:sz w:val="20"/>
                <w:szCs w:val="20"/>
              </w:rPr>
              <w:t xml:space="preserve">6. Elena Rossi (HR): “Lovely people, clearly stretched. You can hear it in how fast they talk on calls.”</w:t>
            </w:r>
          </w:p>
          <w:p>
            <w:pPr>
              <w:spacing w:after="60"/>
            </w:pPr>
            <w:r>
              <w:rPr>
                <w:sz w:val="20"/>
                <w:szCs w:val="20"/>
              </w:rPr>
              <w:t xml:space="preserve">7. Dr Keller (CEO): “I found out about the landlord’s position from the landlord’s agent. That cannot happen again.”</w:t>
            </w:r>
          </w:p>
          <w:p>
            <w:pPr>
              <w:spacing w:after="60"/>
            </w:pPr>
            <w:r>
              <w:rPr>
                <w:sz w:val="20"/>
                <w:szCs w:val="20"/>
              </w:rPr>
              <w:t xml:space="preserve">8. Board chair: “Quality of the written work is not in question. Cadence of communication is.”</w:t>
            </w:r>
          </w:p>
        </w:tc>
      </w:tr>
    </w:tbl>
    <w:p>
      <w:pPr>
        <w:spacing w:after="60" w:before="0"/>
      </w:pPr>
      <w:r>
        <w:t xml:space="preserve"/>
      </w:r>
    </w:p>
    <w:p>
      <w:pPr>
        <w:spacing w:after="120" w:before="60"/>
      </w:pPr>
      <w:r>
        <w:rPr>
          <w:b/>
          <w:bCs/>
        </w:rPr>
        <w:t xml:space="preserve">Discuss.  </w:t>
      </w:r>
      <w:r>
        <w:rPr>
          <w:i/>
          <w:iCs/>
        </w:rPr>
        <w:t xml:space="preserve">What is the dominant theme, and does the strongest single comment change your priorities even if it only appears once? Is any theme based on too small a sample to act on?</w:t>
      </w:r>
    </w:p>
    <w:p>
      <w:pPr>
        <w:pStyle w:val="Heading1"/>
        <w:spacing w:after="60" w:before="320"/>
      </w:pPr>
      <w:r>
        <w:rPr>
          <w:color w:val="1F3B57"/>
        </w:rPr>
        <w:t xml:space="preserve">Exercise 4 — The team side (EX): </w:t>
      </w:r>
      <w:r>
        <w:rPr>
          <w:color w:val="1F3B57"/>
        </w:rPr>
        <w:t xml:space="preserve">Team experience &amp; psychological-safety pulse</w:t>
      </w:r>
    </w:p>
    <w:p>
      <w:pPr>
        <w:spacing w:after="120" w:before="0"/>
      </w:pPr>
      <w:r>
        <w:rPr>
          <w:b/>
          <w:bCs/>
        </w:rPr>
        <w:t xml:space="preserve">Purpose.  </w:t>
      </w:r>
      <w:r>
        <w:t xml:space="preserve">Shift the lens from the client to the team. Read how the deal team is experiencing the compressed timetable, and surface psychological-safety signals.</w:t>
      </w:r>
    </w:p>
    <w:p>
      <w:pPr>
        <w:spacing w:after="120" w:before="0"/>
      </w:pPr>
      <w:r>
        <w:rPr>
          <w:b/>
          <w:bCs/>
        </w:rPr>
        <w:t xml:space="preserve">What you'll produce.  </w:t>
      </w:r>
      <w:r>
        <w:t xml:space="preserve">A pulse read of the team’s experience with practical, humane management actions — kept within a manager’s remit, not a clinical assessment.</w:t>
      </w:r>
    </w:p>
    <w:p>
      <w:pPr>
        <w:spacing w:after="40" w:before="60"/>
      </w:pPr>
      <w:r>
        <w:rPr>
          <w:b/>
          <w:bCs/>
        </w:rPr>
        <w:t xml:space="preserve">Steps</w:t>
      </w:r>
    </w:p>
    <w:p>
      <w:pPr>
        <w:pStyle w:val="ListParagraph"/>
        <w:numPr>
          <w:ilvl w:val="0"/>
          <w:numId w:val="6"/>
        </w:numPr>
        <w:spacing w:after="60"/>
      </w:pPr>
      <w:r>
        <w:t xml:space="preserve">Open “Team experience (EX) &amp; psychological-safety pulse (W8)” → Use → Project → your group’s project.</w:t>
      </w:r>
    </w:p>
    <w:p>
      <w:pPr>
        <w:pStyle w:val="ListParagraph"/>
        <w:numPr>
          <w:ilvl w:val="0"/>
          <w:numId w:val="6"/>
        </w:numPr>
        <w:spacing w:after="60"/>
      </w:pPr>
      <w:r>
        <w:t xml:space="preserve">Run, and read the pulse and the suggested actions.</w:t>
      </w:r>
    </w:p>
    <w:p>
      <w:pPr>
        <w:spacing w:after="120" w:before="40"/>
      </w:pPr>
      <w:r>
        <w:rPr>
          <w:i/>
          <w:iCs/>
          <w:color w:val="606A75"/>
          <w:sz w:val="18"/>
          <w:szCs w:val="18"/>
        </w:rPr>
        <w:t xml:space="preserve">Care note: this exercise is about practical management, not diagnosis. Keep the discussion supportive and non-clinical. If real wellbeing concerns come up in your group, contact UNSW student support rather than treating it as part of the case.</w:t>
      </w:r>
    </w:p>
    <w:p>
      <w:pPr>
        <w:spacing w:after="120" w:before="60"/>
      </w:pPr>
      <w:r>
        <w:rPr>
          <w:b/>
          <w:bCs/>
        </w:rPr>
        <w:t xml:space="preserve">Discuss.  </w:t>
      </w:r>
      <w:r>
        <w:rPr>
          <w:i/>
          <w:iCs/>
        </w:rPr>
        <w:t xml:space="preserve">Which of Mike’s own features actually support employee experience? (For example: the approval gate distributes accountability so no junior carries a risky decision alone; the audit log protects the junior who flagged a problem.)</w:t>
      </w:r>
    </w:p>
    <w:p>
      <w:pPr>
        <w:pStyle w:val="Heading1"/>
        <w:spacing w:after="60" w:before="320"/>
      </w:pPr>
      <w:r>
        <w:rPr>
          <w:color w:val="1F3B57"/>
        </w:rPr>
        <w:t xml:space="preserve">Exercise 5 — Rebalance (EX): </w:t>
      </w:r>
      <w:r>
        <w:rPr>
          <w:color w:val="1F3B57"/>
        </w:rPr>
        <w:t xml:space="preserve">Workload &amp; wellbeing rebalance</w:t>
      </w:r>
    </w:p>
    <w:p>
      <w:pPr>
        <w:spacing w:after="120" w:before="0"/>
      </w:pPr>
      <w:r>
        <w:rPr>
          <w:b/>
          <w:bCs/>
        </w:rPr>
        <w:t xml:space="preserve">Purpose.  </w:t>
      </w:r>
      <w:r>
        <w:t xml:space="preserve">Re-plan the accelerated timetable so the team can hit the deadline at a sustainable pace, rather than by burning people out.</w:t>
      </w:r>
    </w:p>
    <w:p>
      <w:pPr>
        <w:spacing w:after="120" w:before="0"/>
      </w:pPr>
      <w:r>
        <w:rPr>
          <w:b/>
          <w:bCs/>
        </w:rPr>
        <w:t xml:space="preserve">What you'll produce.  </w:t>
      </w:r>
      <w:r>
        <w:t xml:space="preserve">A rebalanced plan that still meets the client’s deadline but redistributes load and protects the team.</w:t>
      </w:r>
    </w:p>
    <w:p>
      <w:pPr>
        <w:spacing w:after="40" w:before="60"/>
      </w:pPr>
      <w:r>
        <w:rPr>
          <w:b/>
          <w:bCs/>
        </w:rPr>
        <w:t xml:space="preserve">Steps</w:t>
      </w:r>
    </w:p>
    <w:p>
      <w:pPr>
        <w:pStyle w:val="ListParagraph"/>
        <w:numPr>
          <w:ilvl w:val="0"/>
          <w:numId w:val="7"/>
        </w:numPr>
        <w:spacing w:after="60"/>
      </w:pPr>
      <w:r>
        <w:t xml:space="preserve">Open “Workload &amp; wellbeing rebalance (W8)” → Use → Project → your group’s project.</w:t>
      </w:r>
    </w:p>
    <w:p>
      <w:pPr>
        <w:pStyle w:val="ListParagraph"/>
        <w:numPr>
          <w:ilvl w:val="0"/>
          <w:numId w:val="7"/>
        </w:numPr>
        <w:spacing w:after="60"/>
      </w:pPr>
      <w:r>
        <w:t xml:space="preserve">Run, and compare the rebalanced plan against how the work is currently distributed.</w:t>
      </w:r>
    </w:p>
    <w:p>
      <w:pPr>
        <w:spacing w:after="120" w:before="60"/>
      </w:pPr>
      <w:r>
        <w:rPr>
          <w:b/>
          <w:bCs/>
        </w:rPr>
        <w:t xml:space="preserve">Discuss.  </w:t>
      </w:r>
      <w:r>
        <w:rPr>
          <w:i/>
          <w:iCs/>
        </w:rPr>
        <w:t xml:space="preserve">Where did serving the client come at the team’s expense in this matter, and how would you redesign that moment so it doesn’t have to?</w:t>
      </w:r>
    </w:p>
    <w:p>
      <w:pPr>
        <w:pStyle w:val="Heading1"/>
        <w:spacing w:after="60" w:before="320"/>
      </w:pPr>
      <w:r>
        <w:rPr>
          <w:color w:val="1F3B57"/>
        </w:rPr>
        <w:t xml:space="preserve">Exercise 6 — Synthesis: </w:t>
      </w:r>
      <w:r>
        <w:rPr>
          <w:color w:val="1F3B57"/>
        </w:rPr>
        <w:t xml:space="preserve">Moments that matter — CX/EX map</w:t>
      </w:r>
    </w:p>
    <w:p>
      <w:pPr>
        <w:spacing w:after="120" w:before="0"/>
      </w:pPr>
      <w:r>
        <w:rPr>
          <w:b/>
          <w:bCs/>
        </w:rPr>
        <w:t xml:space="preserve">Purpose.  </w:t>
      </w:r>
      <w:r>
        <w:t xml:space="preserve">Bring both lenses together. Map the moments that matter for the client and for the team across the matter, and find where they reinforce each other — or conflict.</w:t>
      </w:r>
    </w:p>
    <w:p>
      <w:pPr>
        <w:spacing w:after="120" w:before="0"/>
      </w:pPr>
      <w:r>
        <w:rPr>
          <w:b/>
          <w:bCs/>
        </w:rPr>
        <w:t xml:space="preserve">What you'll produce.  </w:t>
      </w:r>
      <w:r>
        <w:t xml:space="preserve">Two parallel journeys (client and team) with the emotional stake and firm action at each moment, and two or three inflection points where CX and EX pull in different directions.</w:t>
      </w:r>
    </w:p>
    <w:p>
      <w:pPr>
        <w:spacing w:after="40" w:before="60"/>
      </w:pPr>
      <w:r>
        <w:rPr>
          <w:b/>
          <w:bCs/>
        </w:rPr>
        <w:t xml:space="preserve">Steps</w:t>
      </w:r>
    </w:p>
    <w:p>
      <w:pPr>
        <w:pStyle w:val="ListParagraph"/>
        <w:numPr>
          <w:ilvl w:val="0"/>
          <w:numId w:val="8"/>
        </w:numPr>
        <w:spacing w:after="60"/>
      </w:pPr>
      <w:r>
        <w:t xml:space="preserve">Open “Moments that matter — CX/EX map (W8)” → Use → Project → your group’s project.</w:t>
      </w:r>
    </w:p>
    <w:p>
      <w:pPr>
        <w:pStyle w:val="ListParagraph"/>
        <w:numPr>
          <w:ilvl w:val="0"/>
          <w:numId w:val="8"/>
        </w:numPr>
        <w:spacing w:after="60"/>
      </w:pPr>
      <w:r>
        <w:t xml:space="preserve">Run, and identify the inflection points the review step highlights.</w:t>
      </w:r>
    </w:p>
    <w:p>
      <w:pPr>
        <w:spacing w:after="120" w:before="60"/>
      </w:pPr>
      <w:r>
        <w:rPr>
          <w:b/>
          <w:bCs/>
        </w:rPr>
        <w:t xml:space="preserve">Discuss.  </w:t>
      </w:r>
      <w:r>
        <w:rPr>
          <w:i/>
          <w:iCs/>
        </w:rPr>
        <w:t xml:space="preserve">Compressing the timetable pleases the client but strains the team. Pick one such moment and design a firm response that serves both at once — that is the core skill this week.</w:t>
      </w:r>
    </w:p>
    <w:p>
      <w:pPr>
        <w:pStyle w:val="Heading1"/>
        <w:spacing w:after="120" w:before="280"/>
      </w:pPr>
      <w:r>
        <w:rPr>
          <w:color w:val="1F3B57"/>
        </w:rPr>
        <w:t xml:space="preserve">Putting it together — the Week 8 deliverable</w:t>
      </w:r>
    </w:p>
    <w:p>
      <w:pPr>
        <w:spacing w:after="120" w:before="0"/>
      </w:pPr>
      <w:r>
        <w:t xml:space="preserve">Assemble two short outputs from the exercises above:</w:t>
      </w:r>
    </w:p>
    <w:p>
      <w:pPr>
        <w:pStyle w:val="ListParagraph"/>
        <w:numPr>
          <w:ilvl w:val="0"/>
          <w:numId w:val="2"/>
        </w:numPr>
        <w:spacing w:after="60"/>
      </w:pPr>
      <w:r>
        <w:rPr>
          <w:b/>
          <w:bCs/>
        </w:rPr>
        <w:t xml:space="preserve">A one-page “ideal happy path” </w:t>
      </w:r>
      <w:r>
        <w:t xml:space="preserve">for the client across the matter — the sequence of moments handled well, drawn from Exercises 1, 3 and 6.</w:t>
      </w:r>
    </w:p>
    <w:p>
      <w:pPr>
        <w:pStyle w:val="ListParagraph"/>
        <w:numPr>
          <w:ilvl w:val="0"/>
          <w:numId w:val="2"/>
        </w:numPr>
        <w:spacing w:after="60"/>
      </w:pPr>
      <w:r>
        <w:rPr>
          <w:b/>
          <w:bCs/>
        </w:rPr>
        <w:t xml:space="preserve">A short EX note </w:t>
      </w:r>
      <w:r>
        <w:t xml:space="preserve">on how the accelerated timetable was staffed sustainably — drawn from Exercises 4 and 5.</w:t>
      </w:r>
    </w:p>
    <w:p>
      <w:pPr>
        <w:spacing w:after="120" w:before="80"/>
      </w:pPr>
      <w:r>
        <w:t xml:space="preserve">You can export any Mike output as a Word or PDF file using the Export button on the run, and edit it into your final one-pager. </w:t>
      </w:r>
      <w:r>
        <w:rPr>
          <w:b/>
          <w:bCs/>
        </w:rPr>
        <w:t xml:space="preserve">Remember the standing rule: </w:t>
      </w:r>
      <w:r>
        <w:t xml:space="preserve">check every AI-generated statement, and verify any citation yourself before it goes anywhere near a client.</w:t>
      </w:r>
    </w:p>
    <w:p>
      <w:pPr>
        <w:spacing w:before="240"/>
      </w:pPr>
      <w:r>
        <w:rPr>
          <w:i/>
          <w:iCs/>
          <w:color w:val="606A75"/>
          <w:sz w:val="16"/>
          <w:szCs w:val="16"/>
        </w:rPr>
        <w:t xml:space="preserve">Fictional teaching document — UNSW LAWS3850 (Legal Project Management). All names, entities and events are invented. Not legal advice.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F3B57"/>
      </w:r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B57"/>
      <w:sz w:val="26"/>
      <w:szCs w:val="26"/>
    </w:rPr>
  </w:style>
  <w:style w:type="paragraph" w:styleId="Heading2">
    <w:name w:val="Heading 2"/>
    <w:basedOn w:val="Normal"/>
    <w:next w:val="Normal"/>
    <w:qFormat/>
    <w:rPr>
      <w:rFonts w:ascii="Calibri" w:cs="Calibri" w:eastAsia="Calibri" w:hAnsi="Calibri"/>
      <w:b/>
      <w:bCs/>
      <w:color w:val="1F3B57"/>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2026-07-23T10:23:55.625Z</dcterms:created>
  <dcterms:modified xsi:type="dcterms:W3CDTF">2026-07-23T10:23:55.625Z</dcterms:modified>
</cp:coreProperties>
</file>

<file path=docProps/custom.xml><?xml version="1.0" encoding="utf-8"?>
<Properties xmlns="http://schemas.openxmlformats.org/officeDocument/2006/custom-properties" xmlns:vt="http://schemas.openxmlformats.org/officeDocument/2006/docPropsVTypes"/>
</file>