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e841b107b7819c5c0f826f72782df4fb846e74"/>
      <w:r>
        <w:t xml:space="preserve">Instructor Guide — NexaCare/Whitegum on Rose</w:t>
      </w:r>
      <w:bookmarkEnd w:id="20"/>
    </w:p>
    <w:p>
      <w:pPr>
        <w:pStyle w:val="FirstParagraph"/>
      </w:pPr>
      <w:r>
        <w:rPr>
          <w:i/>
        </w:rPr>
        <w:t xml:space="preserve">For research and educational purposes only. Companion to </w:t>
      </w:r>
      <w:r>
        <w:rPr>
          <w:rStyle w:val="VerbatimChar"/>
          <w:i/>
        </w:rPr>
        <w:t xml:space="preserve">prompt-library.md</w:t>
      </w:r>
      <w:r>
        <w:rPr>
          <w:i/>
        </w:rPr>
        <w:t xml:space="preserve"> and the seed package in </w:t>
      </w:r>
      <w:r>
        <w:rPr>
          <w:rStyle w:val="VerbatimChar"/>
          <w:i/>
        </w:rPr>
        <w:t xml:space="preserve">seed/</w:t>
      </w:r>
      <w:r>
        <w:rPr>
          <w:i/>
        </w:rPr>
        <w:t xml:space="preserve">.</w:t>
      </w:r>
    </w:p>
    <w:p>
      <w:pPr>
        <w:pStyle w:val="Heading2"/>
      </w:pPr>
      <w:bookmarkStart w:id="21" w:name="what-this-package-contains"/>
      <w:r>
        <w:t xml:space="preserve">What this package contains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Rose feature exercised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Matter, org context, list items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seed/nexacare_seed.sql</w:t>
            </w:r>
          </w:p>
        </w:tc>
        <w:tc>
          <w:p>
            <w:pPr>
              <w:pStyle w:val="Compact"/>
              <w:jc w:val="left"/>
            </w:pPr>
            <w:r>
              <w:t xml:space="preserve">Projects, workspace context injection, Lists (tasks/facts/deadlines)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playbooks × 6 rules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seed/nexacare_seed.sql</w:t>
            </w:r>
          </w:p>
        </w:tc>
        <w:tc>
          <w:p>
            <w:pPr>
              <w:pStyle w:val="Compact"/>
              <w:jc w:val="left"/>
            </w:pPr>
            <w:r>
              <w:t xml:space="preserve">Playbooks, </w:t>
            </w:r>
            <w:r>
              <w:rPr>
                <w:rStyle w:val="VerbatimChar"/>
              </w:rPr>
              <w:t xml:space="preserve">review_against_playbook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 precedent clauses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seed/clauses_import.csv</w:t>
            </w:r>
            <w:r>
              <w:t xml:space="preserve"> (import via UI so embeddings generate)</w:t>
            </w:r>
          </w:p>
        </w:tc>
        <w:tc>
          <w:p>
            <w:pPr>
              <w:pStyle w:val="Compact"/>
              <w:jc w:val="left"/>
            </w:pPr>
            <w:r>
              <w:t xml:space="preserve">Clause library, semantic </w:t>
            </w:r>
            <w:r>
              <w:rPr>
                <w:rStyle w:val="VerbatimChar"/>
              </w:rPr>
              <w:t xml:space="preserve">search_clauses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agent workflow 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seed/nexacare_seed.sql</w:t>
            </w:r>
          </w:p>
        </w:tc>
        <w:tc>
          <w:p>
            <w:pPr>
              <w:pStyle w:val="Compact"/>
              <w:jc w:val="left"/>
            </w:pPr>
            <w:r>
              <w:t xml:space="preserve">Agent runtime, plan approval gate, role tool allowlists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tabular review column sets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seed/nexacare_seed.sql</w:t>
            </w:r>
          </w:p>
        </w:tc>
        <w:tc>
          <w:p>
            <w:pPr>
              <w:pStyle w:val="Compact"/>
              <w:jc w:val="left"/>
            </w:pPr>
            <w:r>
              <w:t xml:space="preserve">Tabular review v2 (typed columns), tabular 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regulatory watches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seed/nexacare_seed.sql</w:t>
            </w:r>
          </w:p>
        </w:tc>
        <w:tc>
          <w:p>
            <w:pPr>
              <w:pStyle w:val="Compact"/>
              <w:jc w:val="left"/>
            </w:pPr>
            <w:r>
              <w:t xml:space="preserve">Regwatch (official feeds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fictional source documents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</w:t>
            </w:r>
          </w:p>
        </w:tc>
        <w:tc>
          <w:p>
            <w:pPr>
              <w:pStyle w:val="Compact"/>
              <w:jc w:val="left"/>
            </w:pPr>
            <w:r>
              <w:t xml:space="preserve">Library, extraction, diligence exercises</w:t>
            </w:r>
          </w:p>
        </w:tc>
      </w:tr>
    </w:tbl>
    <w:p>
      <w:pPr>
        <w:pStyle w:val="Heading2"/>
      </w:pPr>
      <w:bookmarkStart w:id="22" w:name="the-pedagogical-design"/>
      <w:r>
        <w:t xml:space="preserve">The pedagogical design</w:t>
      </w:r>
      <w:bookmarkEnd w:id="22"/>
    </w:p>
    <w:p>
      <w:pPr>
        <w:pStyle w:val="FirstParagraph"/>
      </w:pPr>
      <w:r>
        <w:t xml:space="preserve">The source documents contain </w:t>
      </w:r>
      <w:r>
        <w:rPr>
          <w:b/>
        </w:rPr>
        <w:t xml:space="preserve">planted deviations</w:t>
      </w:r>
      <w:r>
        <w:t xml:space="preserve"> so that correct AI output is checkable against a known answer key:</w:t>
      </w:r>
    </w:p>
    <w:p>
      <w:pPr>
        <w:pStyle w:val="BodyText"/>
      </w:pPr>
      <w:r>
        <w:rPr>
          <w:b/>
        </w:rPr>
        <w:t xml:space="preserve">MediTrax notice vs MSA extract</w:t>
      </w:r>
      <w:r>
        <w:t xml:space="preserve"> (Aisha’s Week 2 exercise) — five demands, each with a known classification: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Vendor demand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Contract position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in 5 business days</w:t>
            </w:r>
          </w:p>
        </w:tc>
        <w:tc>
          <w:p>
            <w:pPr>
              <w:pStyle w:val="Compact"/>
              <w:jc w:val="left"/>
            </w:pPr>
            <w:r>
              <w:t xml:space="preserve">cl 14.4: vendor must respond within 15 BDs of receiving information; deemed consent</w:t>
            </w:r>
          </w:p>
        </w:tc>
        <w:tc>
          <w:p>
            <w:pPr>
              <w:pStyle w:val="Compact"/>
              <w:jc w:val="left"/>
            </w:pPr>
            <w:r>
              <w:t xml:space="preserve">Overreach — the clause imposes the clock on the </w:t>
            </w:r>
            <w:r>
              <w:rPr>
                <w:i/>
              </w:rPr>
              <w:t xml:space="preserve">vendor</w:t>
            </w:r>
            <w:r>
              <w:t xml:space="preserve">, not the customer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35% interim fee uplift as condition</w:t>
            </w:r>
          </w:p>
        </w:tc>
        <w:tc>
          <w:p>
            <w:pPr>
              <w:pStyle w:val="Compact"/>
              <w:jc w:val="left"/>
            </w:pPr>
            <w:r>
              <w:t xml:space="preserve">cl 14.5: no fee variation by reason only of change of control</w:t>
            </w:r>
          </w:p>
        </w:tc>
        <w:tc>
          <w:p>
            <w:pPr>
              <w:pStyle w:val="Compact"/>
              <w:jc w:val="left"/>
            </w:pPr>
            <w:r>
              <w:t xml:space="preserve">Overreach — direct contradiction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“Approval” of security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cl 22.3: customer provides a </w:t>
            </w:r>
            <w:r>
              <w:rPr>
                <w:i/>
              </w:rPr>
              <w:t xml:space="preserve">summary</w:t>
            </w:r>
            <w:r>
              <w:t xml:space="preserve"> on reasonable request; no vendor approval right</w:t>
            </w:r>
          </w:p>
        </w:tc>
        <w:tc>
          <w:p>
            <w:pPr>
              <w:pStyle w:val="Compact"/>
              <w:jc w:val="left"/>
            </w:pPr>
            <w:r>
              <w:t xml:space="preserve">Overreach — approval right invented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Read-only at completion</w:t>
            </w:r>
          </w:p>
        </w:tc>
        <w:tc>
          <w:p>
            <w:pPr>
              <w:pStyle w:val="Compact"/>
              <w:jc w:val="left"/>
            </w:pPr>
            <w:r>
              <w:t xml:space="preserve">cl 25.1: suspension only for platform security necessity or unremedied non-payment (20 BD cure)</w:t>
            </w:r>
          </w:p>
        </w:tc>
        <w:tc>
          <w:p>
            <w:pPr>
              <w:pStyle w:val="Compact"/>
              <w:jc w:val="left"/>
            </w:pPr>
            <w:r>
              <w:t xml:space="preserve">Overreach — no trigger exists; note cl 25.2 minimisation duty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Staggered bulk extracts</w:t>
            </w:r>
          </w:p>
        </w:tc>
        <w:tc>
          <w:p>
            <w:pPr>
              <w:pStyle w:val="Compact"/>
              <w:jc w:val="left"/>
            </w:pPr>
            <w:r>
              <w:t xml:space="preserve">cl 18.2–18.3: export within 15 BDs; charges only after 2 bulk exports/year</w:t>
            </w:r>
          </w:p>
        </w:tc>
        <w:tc>
          <w:p>
            <w:pPr>
              <w:pStyle w:val="Compact"/>
              <w:jc w:val="left"/>
            </w:pPr>
            <w:r>
              <w:t xml:space="preserve">Partial lever — vendor can charge for volume but cannot dictate schedule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Withholding assistance on privacy grounds</w:t>
            </w:r>
          </w:p>
        </w:tc>
        <w:tc>
          <w:p>
            <w:pPr>
              <w:pStyle w:val="Compact"/>
              <w:jc w:val="left"/>
            </w:pPr>
            <w:r>
              <w:t xml:space="preserve">cl 19.3: assistance withheld only for </w:t>
            </w:r>
            <w:r>
              <w:rPr>
                <w:i/>
              </w:rPr>
              <w:t xml:space="preserve">unremedied material breach by the customer</w:t>
            </w:r>
          </w:p>
        </w:tc>
        <w:tc>
          <w:p>
            <w:pPr>
              <w:pStyle w:val="Compact"/>
              <w:jc w:val="left"/>
            </w:pPr>
            <w:r>
              <w:t xml:space="preserve">Overreach — but cl 14.3 gives a narrow legitimate hook (security/privacy risk), worth class discussion</w:t>
            </w:r>
          </w:p>
        </w:tc>
      </w:tr>
    </w:tbl>
    <w:p>
      <w:pPr>
        <w:pStyle w:val="BodyText"/>
      </w:pPr>
      <w:r>
        <w:rPr>
          <w:b/>
        </w:rPr>
        <w:t xml:space="preserve">Leases</w:t>
      </w:r>
      <w:r>
        <w:t xml:space="preserve"> — Parramatta (NSW) is the benign baseline: reasonableness standard, 14-day clock, holding-company guarantee, statutory-overlay savings clause (cl 11.5 invites the NSW discussion). Toowong (QLD) is the hostile one: absolute discretion, deemed change-of-control capture, $15k fee, market rent review on consent, director personal guarantees (a playbook dealbreaker), make-good reassessment, no timeframe. Discussion: what does the QLD statutory overlay do to cl 13.1 after the 2023 property law reforms commenced in 2025? </w:t>
      </w:r>
      <w:r>
        <w:rPr>
          <w:b/>
        </w:rPr>
        <w:t xml:space="preserve">Deliberately left for students to research and verify</w:t>
      </w:r>
      <w:r>
        <w:t xml:space="preserve"> — the seed content flags it but never asserts the answer.</w:t>
      </w:r>
    </w:p>
    <w:p>
      <w:pPr>
        <w:pStyle w:val="BodyText"/>
      </w:pPr>
      <w:r>
        <w:rPr>
          <w:b/>
        </w:rPr>
        <w:t xml:space="preserve">TSA IT seller draft</w:t>
      </w:r>
      <w:r>
        <w:t xml:space="preserve"> — breaches all six playbook positions (12-month auto-extending term, all-or-nothing termination, cost-plus 20% with 10% step-ups, discretionary exit assistance, 1-month liability cap, data-loss exclusion). A clean playbook-review exercise with a perfect-score answer key of six.</w:t>
      </w:r>
    </w:p>
    <w:p>
      <w:pPr>
        <w:pStyle w:val="BodyText"/>
      </w:pPr>
      <w:r>
        <w:rPr>
          <w:b/>
        </w:rPr>
        <w:t xml:space="preserve">Share sale nuance</w:t>
      </w:r>
      <w:r>
        <w:t xml:space="preserve"> running through everything: the employer and lessee entity does not change. Students should catch that (a) Fair Work transfer-of-business provisions are not triggered by the share sale itself, only by post-completion restructures; (b) lease consent is only needed where the lease </w:t>
      </w:r>
      <w:r>
        <w:rPr>
          <w:i/>
        </w:rPr>
        <w:t xml:space="preserve">deems</w:t>
      </w:r>
      <w:r>
        <w:t xml:space="preserve"> change of control an assignment (both seeded leases do, in different ways); (c) the MediTrax clause expressly captures share transfers.</w:t>
      </w:r>
    </w:p>
    <w:p>
      <w:pPr>
        <w:pStyle w:val="Heading2"/>
      </w:pPr>
      <w:bookmarkStart w:id="23" w:name="X7c326b56b47917ceba826a3499a69dad4ded21f"/>
      <w:r>
        <w:t xml:space="preserve">Suggested week-by-week mapping (aligned to the WBS phases)</w:t>
      </w:r>
      <w:bookmarkEnd w:id="23"/>
    </w:p>
    <w:p>
      <w:pPr>
        <w:pStyle w:val="FirstParagraph"/>
      </w:pPr>
      <w:r>
        <w:rPr>
          <w:b/>
        </w:rPr>
        <w:t xml:space="preserve">Week 1 — Scoping.</w:t>
      </w:r>
      <w:r>
        <w:t xml:space="preserve"> Students explore the seeded project, org context, playbooks and matter list. Exercise: partner pre-brief prompt (James’s prompt 1); discuss how workspace context changes Rose’s answers (ask the same question with and without a project selected).</w:t>
      </w:r>
    </w:p>
    <w:p>
      <w:pPr>
        <w:pStyle w:val="BodyText"/>
      </w:pPr>
      <w:r>
        <w:rPr>
          <w:b/>
        </w:rPr>
        <w:t xml:space="preserve">Week 2 — The EHR crisis (core week).</w:t>
      </w:r>
      <w:r>
        <w:t xml:space="preserve"> The emails scenario. Aisha-track students do the manual clause-mapping prompt, then run the seeded agent workflow and critique the difference. Assessment artefact: the one-pager, with the demands-vs-contract table marked against the answer key above. Teaching moments: the approval gate as supervision; role tool allowlists (why can’t the drafting step search Jade?); estimated vs actual token cost on the run.</w:t>
      </w:r>
    </w:p>
    <w:p>
      <w:pPr>
        <w:pStyle w:val="BodyText"/>
      </w:pPr>
      <w:r>
        <w:rPr>
          <w:b/>
        </w:rPr>
        <w:t xml:space="preserve">Week 3 — Due diligence at scale.</w:t>
      </w:r>
      <w:r>
        <w:t xml:space="preserve"> Tabular reviews over the leases and TSA using the seeded column sets; typed columns and reference documents; tabular ask; the red-flag consolidation workflow. Assessment: red-flag report + verification report with every assertion adjudicated.</w:t>
      </w:r>
    </w:p>
    <w:p>
      <w:pPr>
        <w:pStyle w:val="BodyText"/>
      </w:pPr>
      <w:r>
        <w:rPr>
          <w:b/>
        </w:rPr>
        <w:t xml:space="preserve">Week 4 — Documentation &amp; negotiation.</w:t>
      </w:r>
      <w:r>
        <w:t xml:space="preserve"> Clause library work: adapt the CP clauses, draft the MediTrax interim licence variation, redline the TSA against the playbook. Exports (DOCX/PDF, AGLC4 restyle). Discussion: when is a playbook a crutch?</w:t>
      </w:r>
    </w:p>
    <w:p>
      <w:pPr>
        <w:pStyle w:val="BodyText"/>
      </w:pPr>
      <w:r>
        <w:rPr>
          <w:b/>
        </w:rPr>
        <w:t xml:space="preserve">Week 5 — Completion &amp; governance.</w:t>
      </w:r>
      <w:r>
        <w:t xml:space="preserve"> Lists as CP tracker; audit log review (chain of custody for AI outputs); usage/budget vs fixed-fee milestones; Regwatch triage; the ‘Stop the Line’ memo (Priya’s prompt 6). Capstone discussion: what would you need to see before letting Rose’s output go to a client unreviewed — and is the answer “nothing suffices”?</w:t>
      </w:r>
    </w:p>
    <w:p>
      <w:pPr>
        <w:pStyle w:val="Heading2"/>
      </w:pPr>
      <w:bookmarkStart w:id="24" w:name="X05f465044f14c1a8f6e7ce7e9754a6533c0fd50"/>
      <w:r>
        <w:t xml:space="preserve">Learning objectives this package supports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Prompt discipline</w:t>
      </w:r>
      <w:r>
        <w:t xml:space="preserve"> — task, sources, format, constraints; the library models this in every prompt.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culture</w:t>
      </w:r>
      <w:r>
        <w:t xml:space="preserve"> — the AustLII human-validation loop makes citation checking a deliberate act students perform, not a checkbox. The QLD property law question is seeded specifically so that an unverified model answer is plausibly wrong.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Supervision &amp; governance</w:t>
      </w:r>
      <w:r>
        <w:t xml:space="preserve"> — approval gates, role-scoped tools, audit logs, and cost telemetry map directly onto professional-responsibility discussions (competence, supervision of non-lawyer assistance, costs disclosure).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Legal judgment over extraction</w:t>
      </w:r>
      <w:r>
        <w:t xml:space="preserve"> — the planted-deviation design means the hard marks are for </w:t>
      </w:r>
      <w:r>
        <w:rPr>
          <w:i/>
        </w:rPr>
        <w:t xml:space="preserve">classification and consequence</w:t>
      </w:r>
      <w:r>
        <w:t xml:space="preserve"> (overreach vs lever, RAG rating, SPA treatment), not retrieval.</w:t>
      </w:r>
    </w:p>
    <w:p>
      <w:pPr>
        <w:pStyle w:val="Heading2"/>
      </w:pPr>
      <w:bookmarkStart w:id="25" w:name="setup-marking-and-admin-notes"/>
      <w:r>
        <w:t xml:space="preserve">Setup, marking and admin notes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Setup order matters: run the SQL first, import the clauses CSV via the UI second (embeddings), upload documents third. Per-student vs shared-account trade-offs are covered in </w:t>
      </w:r>
      <w:r>
        <w:rPr>
          <w:rStyle w:val="VerbatimChar"/>
        </w:rPr>
        <w:t xml:space="preserve">seed/README.md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 Jade access is not admin-approved (default), verification runs in human self-validation mode — this is the pedagogically preferable mode.</w:t>
      </w:r>
    </w:p>
    <w:p>
      <w:pPr>
        <w:numPr>
          <w:ilvl w:val="0"/>
          <w:numId w:val="1002"/>
        </w:numPr>
        <w:pStyle w:val="Compact"/>
      </w:pPr>
      <w:r>
        <w:t xml:space="preserve">The seeded scenario dates are September–October 2025 (fixed by the case study). Deadline notifications will not fire for past dates; treat the list as a snapshot of Week 2 state, or update </w:t>
      </w:r>
      <w:r>
        <w:rPr>
          <w:rStyle w:val="VerbatimChar"/>
        </w:rPr>
        <w:t xml:space="preserve">due_at</w:t>
      </w:r>
      <w:r>
        <w:t xml:space="preserve"> values to the current teaching week if you want the 72-hour deadline sweep and notifications to demonstrate live.</w:t>
      </w:r>
    </w:p>
    <w:p>
      <w:pPr>
        <w:numPr>
          <w:ilvl w:val="0"/>
          <w:numId w:val="1002"/>
        </w:numPr>
        <w:pStyle w:val="Compact"/>
      </w:pPr>
      <w:r>
        <w:t xml:space="preserve">Cost visibility: consider setting a small monthly budget per student account so the budget banner and 80% notification behaviour appear during the course.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2026-07-22T05:25:28Z</dcterms:created>
  <dcterms:modified xsi:type="dcterms:W3CDTF">2026-07-22T05:25:28Z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