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Lease Extract — 44 Macquarie Street, Parramatta NSW 2150</w:t>
      </w:r>
    </w:p>
    <w:p>
      <w:r>
        <w:t>Lessor: Harwick Property Nominees Pty Ltd (ACN 092 774 651). Lessee: Whitegum Medical Centres Pty Ltd. Term: 8 years commencing 1 July 2020, expiring 30 June 2028. Option: 1 x 5 years (exercise window 1 July – 31 December 2027). Current annual rent: $412,000 + GST, reviewed annually at CPI. Extract of relevant clauses only.</w:t>
      </w:r>
    </w:p>
    <w:p>
      <w:r>
        <w:rPr>
          <w:i/>
          <w:sz w:val="16"/>
        </w:rPr>
        <w:t>FICTIONAL DOCUMENT — created for legal-technology teaching (UNSW / Rose Australia case study). All entities, people and terms are invented. Not a real agreement. Not legal advice.</w:t>
      </w:r>
    </w:p>
    <w:p>
      <w:pPr>
        <w:pStyle w:val="Heading1"/>
      </w:pPr>
      <w:r>
        <w:t>11. Assignment, subletting and change of control</w:t>
      </w:r>
    </w:p>
    <w:p>
      <w:r>
        <w:t>11.1 The Lessee must not assign, sublet or otherwise part with possession of the Premises without the Lessor's prior written consent, which must not be unreasonably withheld.</w:t>
      </w:r>
    </w:p>
    <w:p>
      <w:r>
        <w:t>11.2 A change in the control of the Lessee (being a change in the persons who control more than 50% of the voting shares in the Lessee) is deemed an assignment requiring consent under clause 11.1, unless the Lessee is a company listed on the ASX.</w:t>
      </w:r>
    </w:p>
    <w:p>
      <w:r>
        <w:t>11.3 The Lessor must deal with an application for consent promptly, and in any event within 14 days of receiving: (a) evidence of the financial standing of the proposed assignee or incoming controller; (b) references; and (c) the Lessee's written undertaking to pay the Lessor's reasonable costs of considering the application.</w:t>
      </w:r>
    </w:p>
    <w:p>
      <w:r>
        <w:t>11.4 The Lessor may require, as a condition of consent, a guarantee of the Lessee's obligations from the ultimate holding company of the incoming controller, in a form reasonably required by the Lessor.</w:t>
      </w:r>
    </w:p>
    <w:p>
      <w:r>
        <w:t>11.5 This clause is subject to any statute that restricts the Lessor's ability to withhold consent.</w:t>
      </w:r>
    </w:p>
    <w:p>
      <w:pPr>
        <w:pStyle w:val="Heading1"/>
      </w:pPr>
      <w:r>
        <w:t>14. Make-good</w:t>
      </w:r>
    </w:p>
    <w:p>
      <w:r>
        <w:t>14.1 On expiry or earlier termination, the Lessee must remove its fixtures and fittings and return the Premises to the condition recorded in the Condition Report dated 24 June 2020, fair wear and tear excepted.</w:t>
      </w:r>
    </w:p>
    <w:p>
      <w:r>
        <w:t>14.2 Nothing in a consent given under clause 11 varies or crystallises the Lessee's obligations under this clause.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