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Lease Extract — 12 Jephson Street, Toowong QLD 4066</w:t>
      </w:r>
    </w:p>
    <w:p>
      <w:r>
        <w:t>Lessor: Corymbia Investments Pty Ltd ATF Corymbia Property Trust. Lessee: Whitegum Medical Centres Pty Ltd. Term: 10 years commencing 1 February 2018, expiring 31 January 2028. No further options. Current annual rent: $368,500 + GST, reviewed annually at the greater of CPI and 3%. Extract of relevant clauses only.</w:t>
      </w:r>
    </w:p>
    <w:p>
      <w:r>
        <w:rPr>
          <w:i/>
          <w:sz w:val="16"/>
        </w:rPr>
        <w:t>FICTIONAL DOCUMENT — created for legal-technology teaching (UNSW / Rose Australia case study). All entities, people and terms are invented. Not a real agreement. Not legal advice.</w:t>
      </w:r>
    </w:p>
    <w:p>
      <w:pPr>
        <w:pStyle w:val="Heading1"/>
      </w:pPr>
      <w:r>
        <w:t>13. Dealings with the lease</w:t>
      </w:r>
    </w:p>
    <w:p>
      <w:r>
        <w:t>13.1 The Lessee must not assign this lease, sublet, grant any licence or concession, mortgage or charge its interest, or permit any change in the effective control of the Lessee, without first obtaining the Lessor's consent, which consent may be given or withheld in the Lessor's absolute discretion.</w:t>
      </w:r>
    </w:p>
    <w:p>
      <w:r>
        <w:t>13.2 Without limiting clause 13.1, the Lessor may, as a condition of any consent: (a) require payment of an administration fee of $15,000; (b) require the rent to be reviewed to current market rent as at the date of consent; (c) require personal guarantees from each director of the proposed assignee or incoming controller; and (d) require an updated make-good schedule reflecting the current condition of the Premises.</w:t>
      </w:r>
    </w:p>
    <w:p>
      <w:r>
        <w:t>13.3 No timeframe applies to the Lessor's consideration of an application under this clause.</w:t>
      </w:r>
    </w:p>
    <w:p>
      <w:r>
        <w:t>13.4 If the Lessee deals with the lease in breach of this clause, the Lessor may re-enter the Premises.</w:t>
      </w:r>
    </w:p>
    <w:p>
      <w:pPr>
        <w:pStyle w:val="Heading1"/>
      </w:pPr>
      <w:r>
        <w:t>16. Essential safety measures and compliance</w:t>
      </w:r>
    </w:p>
    <w:p>
      <w:r>
        <w:t>16.1 The Lessee must maintain all essential safety measures required by law in respect of its use of the Premises and must provide compliance certificates to the Lessor annually.</w:t>
      </w:r>
    </w:p>
    <w:p>
      <w:r>
        <w:t>16.2 The most recent compliance certificate on the Lessor's file is dated 11 April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