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Letter — MediTrax Systems Pty Ltd to Whitegum Medical Centres Pty Ltd</w:t>
      </w:r>
    </w:p>
    <w:p>
      <w:r>
        <w:t>Sent by email — Monday 8 September 2025, 7:52 AM AEST — Ref: MTX-WGM-2025-041</w:t>
      </w:r>
    </w:p>
    <w:p>
      <w:r>
        <w:rPr>
          <w:i/>
          <w:sz w:val="16"/>
        </w:rPr>
        <w:t>FICTIONAL DOCUMENT — created for legal-technology teaching (UNSW / Rose Australia case study). All entities, people and terms are invented. Not a real agreement. Not legal advice.</w:t>
      </w:r>
    </w:p>
    <w:p>
      <w:r>
        <w:t>Attention: Chief Information Officer, NexaCare Health (as proposed acquirer) and Directors, Whitegum Medical Centres Pty Ltd</w:t>
      </w:r>
    </w:p>
    <w:p>
      <w:r>
        <w:t>Dear Sirs/Madams</w:t>
      </w:r>
    </w:p>
    <w:p>
      <w:r>
        <w:t>Re: Proposed acquisition of Whitegum Medical Centres Pty Ltd — change of control under the Master Services Agreement dated 14 March 2019 (MSA)</w:t>
      </w:r>
    </w:p>
    <w:p>
      <w:r>
        <w:t>We refer to media reports and to your letter of 29 August 2025 concerning the proposed acquisition of all of the shares in Whitegum Medical Centres Pty Ltd by NexaCare Health (Transaction). We hereby give notice that the Transaction constitutes a change of control for the purposes of clause 14 of the MSA, and that MediTrax invokes its rights under that clause.</w:t>
      </w:r>
    </w:p>
    <w:p>
      <w:r>
        <w:t>MediTrax requires, within five (5) business days of the date of this letter: (1) provision of NexaCare's complete security and data-migration documentation, for MediTrax's approval, including penetration-test results, ISO 27001 certification, DPIA and third-party risk assessments for every subcontractor who will touch Patient Data; and (2) execution of the enclosed Interim Licence and Fee Variation, which provides for a 35% uplift to the Fees for the transition period to reflect increased support and risk.</w:t>
      </w:r>
    </w:p>
    <w:p>
      <w:r>
        <w:t>If these requirements are not satisfied in full within that period, MediTrax will, with effect from completion of the Transaction: (a) move the patient portal and all API access to read-only; and (b) limit bulk data extracts to a staggered monthly schedule as determined by MediTrax having regard to platform load.</w:t>
      </w:r>
    </w:p>
    <w:p>
      <w:r>
        <w:t>MediTrax also requires written confirmation of NexaCare's DPIA/TPRM posture and its compliance with the Privacy Act 1988 (Cth) and the Australian Privacy Principles throughout the proposed migration. We draw your attention to serious data-mapping errors experienced in a recent migration by another healthcare customer. MediTrax reserves its rights to withhold transition assistance under the MSA if it is not satisfied that privacy risk has been adequately addressed.</w:t>
      </w:r>
    </w:p>
    <w:p>
      <w:r>
        <w:t>This letter is not, and must not be construed as, consent under clause 14 of the MSA. All rights are reserved.</w:t>
      </w:r>
    </w:p>
    <w:p>
      <w:r>
        <w:t>Yours faithfully</w:t>
      </w:r>
    </w:p>
    <w:p>
      <w:r>
        <w:t>R. Calloway</w:t>
        <w:br/>
        <w:t>General Counsel &amp; Company Secretary</w:t>
        <w:br/>
        <w:t>MediTrax Systems Pty Ltd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