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Transitional Services Agreement — Schedule 1 (IT Services) — Seller's First Draft</w:t>
      </w:r>
    </w:p>
    <w:p>
      <w:r>
        <w:t>Provider: Whitegum Group Services Pty Ltd (Seller group entity). Recipient: Whitegum Medical Centres Pty Ltd (post-completion, a NexaCare group company). Draft circulated by seller's solicitors 5 September 2025 — for negotiation.</w:t>
      </w:r>
    </w:p>
    <w:p>
      <w:r>
        <w:rPr>
          <w:i/>
          <w:sz w:val="16"/>
        </w:rPr>
        <w:t>FICTIONAL DOCUMENT — created for legal-technology teaching (UNSW / Rose Australia case study). All entities, people and terms are invented. Not a real agreement. Not legal advice.</w:t>
      </w:r>
    </w:p>
    <w:p>
      <w:pPr>
        <w:pStyle w:val="Heading1"/>
      </w:pPr>
      <w:r>
        <w:t>1. Services</w:t>
      </w:r>
    </w:p>
    <w:p>
      <w:r>
        <w:t>1.1 The Provider will provide the IT services described in Annexure A (hosting of practice-management systems, service desk, network management, and administration of the MediTrax platform integrations) substantially in the manner provided in the 12 months before Completion.</w:t>
      </w:r>
    </w:p>
    <w:p>
      <w:r>
        <w:t>1.2 The Provider makes no warranty as to the performance, availability or fitness of the legacy IT environment, which the Recipient acknowledges is scheduled for end-of-life decommissioning.</w:t>
      </w:r>
    </w:p>
    <w:p>
      <w:pPr>
        <w:pStyle w:val="Heading1"/>
      </w:pPr>
      <w:r>
        <w:t>2. Term</w:t>
      </w:r>
    </w:p>
    <w:p>
      <w:r>
        <w:t>2.1 The Services commence on Completion and continue for an initial term of 12 months.</w:t>
      </w:r>
    </w:p>
    <w:p>
      <w:r>
        <w:t>2.2 The term automatically extends for successive 3-month periods unless either party gives 90 days' written notice of non-renewal.</w:t>
      </w:r>
    </w:p>
    <w:p>
      <w:r>
        <w:t>2.3 The Recipient may not terminate individual Services separately; a termination notice applies to this Schedule as a whole.</w:t>
      </w:r>
    </w:p>
    <w:p>
      <w:pPr>
        <w:pStyle w:val="Heading1"/>
      </w:pPr>
      <w:r>
        <w:t>3. Charges</w:t>
      </w:r>
    </w:p>
    <w:p>
      <w:r>
        <w:t>3.1 The Recipient must pay the Provider the monthly charge in Annexure B, being the Provider's allocated cost plus a margin of 20%.</w:t>
      </w:r>
    </w:p>
    <w:p>
      <w:r>
        <w:t>3.2 The monthly charge increases by 10% at the start of each 3-month extension period.</w:t>
      </w:r>
    </w:p>
    <w:p>
      <w:r>
        <w:t>3.3 Charges are payable monthly in advance, without set-off.</w:t>
      </w:r>
    </w:p>
    <w:p>
      <w:pPr>
        <w:pStyle w:val="Heading1"/>
      </w:pPr>
      <w:r>
        <w:t>4. Exit assistance</w:t>
      </w:r>
    </w:p>
    <w:p>
      <w:r>
        <w:t>4.1 On request, the Provider may provide reasonable assistance to migrate the Services, at its then-current time-and-materials rates.</w:t>
      </w:r>
    </w:p>
    <w:p>
      <w:r>
        <w:t>4.2 The Provider is not obliged to provide exit assistance where its personnel are required for its own operations.</w:t>
      </w:r>
    </w:p>
    <w:p>
      <w:r>
        <w:t>4.3 All obligations of the Provider under this Schedule end on expiry or termination.</w:t>
      </w:r>
    </w:p>
    <w:p>
      <w:pPr>
        <w:pStyle w:val="Heading1"/>
      </w:pPr>
      <w:r>
        <w:t>5. Liability</w:t>
      </w:r>
    </w:p>
    <w:p>
      <w:r>
        <w:t>5.1 The Provider's aggregate liability under this Schedule is capped at one (1) month's Charges.</w:t>
      </w:r>
    </w:p>
    <w:p>
      <w:r>
        <w:t>5.2 The Provider has no liability for loss or corruption of data, however caused.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