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a340a972bd12e2e5b8fba1364ee6b2deb6a0ab"/>
      <w:r>
        <w:t xml:space="preserve">LAWS3850 — Teaching Guide for Rose: the NexaCare / Whitegum case study</w:t>
      </w:r>
      <w:bookmarkEnd w:id="20"/>
    </w:p>
    <w:p>
      <w:pPr>
        <w:pStyle w:val="FirstParagraph"/>
      </w:pPr>
      <w:r>
        <w:rPr>
          <w:i/>
        </w:rPr>
        <w:t xml:space="preserve">Master instructor guide. Research and educational use only; nothing Rose produces is legal advice, and every citation must be human-verified before it is relied on. Companion documents:</w:t>
      </w:r>
      <w:r>
        <w:rPr>
          <w:i/>
        </w:rPr>
        <w:t xml:space="preserve"> </w:t>
      </w:r>
      <w:r>
        <w:rPr>
          <w:rStyle w:val="VerbatimChar"/>
          <w:i/>
        </w:rPr>
        <w:t xml:space="preserve">content-suggestions-by-week.md</w:t>
      </w:r>
      <w:r>
        <w:rPr>
          <w:i/>
        </w:rPr>
        <w:t xml:space="preserve"> </w:t>
      </w:r>
      <w:r>
        <w:rPr>
          <w:i/>
        </w:rPr>
        <w:t xml:space="preserve">(rationale),</w:t>
      </w:r>
      <w:r>
        <w:rPr>
          <w:i/>
        </w:rPr>
        <w:t xml:space="preserve"> </w:t>
      </w:r>
      <w:r>
        <w:rPr>
          <w:rStyle w:val="VerbatimChar"/>
          <w:i/>
        </w:rPr>
        <w:t xml:space="preserve">teaching-guide.md</w:t>
      </w:r>
      <w:r>
        <w:rPr>
          <w:i/>
        </w:rPr>
        <w:t xml:space="preserve"> </w:t>
      </w:r>
      <w:r>
        <w:rPr>
          <w:i/>
        </w:rPr>
        <w:t xml:space="preserve">(answer-key design notes),</w:t>
      </w:r>
      <w:r>
        <w:rPr>
          <w:i/>
        </w:rPr>
        <w:t xml:space="preserve"> </w:t>
      </w:r>
      <w:r>
        <w:rPr>
          <w:rStyle w:val="VerbatimChar"/>
          <w:i/>
        </w:rPr>
        <w:t xml:space="preserve">prompt-library.md</w:t>
      </w:r>
      <w:r>
        <w:rPr>
          <w:i/>
        </w:rPr>
        <w:t xml:space="preserve"> </w:t>
      </w:r>
      <w:r>
        <w:rPr>
          <w:i/>
        </w:rPr>
        <w:t xml:space="preserve">(student-facing prompts), and the</w:t>
      </w:r>
      <w:r>
        <w:rPr>
          <w:i/>
        </w:rPr>
        <w:t xml:space="preserve"> </w:t>
      </w:r>
      <w:r>
        <w:rPr>
          <w:rStyle w:val="VerbatimChar"/>
          <w:i/>
        </w:rPr>
        <w:t xml:space="preserve">seed/</w:t>
      </w:r>
      <w:r>
        <w:rPr>
          <w:i/>
        </w:rPr>
        <w:t xml:space="preserve"> </w:t>
      </w:r>
      <w:r>
        <w:rPr>
          <w:i/>
        </w:rPr>
        <w:t xml:space="preserve">folder (re-runnable SQL + CSVs).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is"/>
      <w:r>
        <w:t xml:space="preserve">1. What this is</w:t>
      </w:r>
      <w:bookmarkEnd w:id="21"/>
    </w:p>
    <w:p>
      <w:pPr>
        <w:pStyle w:val="FirstParagraph"/>
      </w:pPr>
      <w:r>
        <w:t xml:space="preserve">Kendry &amp; Slate (a fictional Australian M&amp;A firm) acts for NexaCare Health on its acquisition of Whitegum Medical Centres (18 medical centres, NSW &amp; QLD; share acquisition; ~350 staff; 16 leases; 6 TSAs; an end-of-life EHR platform). The matter is pre-loaded into Rose so students work a realistic legal-project-management scenario inside a real legal-AI tool, rather than reading about one.</w:t>
      </w:r>
    </w:p>
    <w:p>
      <w:pPr>
        <w:pStyle w:val="BodyText"/>
      </w:pPr>
      <w:r>
        <w:t xml:space="preserve">The tool is deliberately used two ways at once: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 the means</w:t>
      </w:r>
      <w:r>
        <w:t xml:space="preserve"> </w:t>
      </w:r>
      <w:r>
        <w:t xml:space="preserve">— students run scoping, diligence, drafting, review and verification tasks to</w:t>
      </w:r>
      <w:r>
        <w:t xml:space="preserve"> </w:t>
      </w:r>
      <w:r>
        <w:rPr>
          <w:i/>
        </w:rPr>
        <w:t xml:space="preserve">do</w:t>
      </w:r>
      <w:r>
        <w:t xml:space="preserve"> </w:t>
      </w:r>
      <w:r>
        <w:t xml:space="preserve">the LPM activity for each week.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 the object of study</w:t>
      </w:r>
      <w:r>
        <w:t xml:space="preserve"> </w:t>
      </w:r>
      <w:r>
        <w:t xml:space="preserve">— Rose’s own controls (approval gates, role-scoped tools, citation-verification, audit log, cost tracking) are specimens for the Week-4 and Week-8 discussions on GenAI in legal practice.</w:t>
      </w:r>
    </w:p>
    <w:p>
      <w:pPr>
        <w:pStyle w:val="Heading2"/>
      </w:pPr>
      <w:bookmarkStart w:id="22" w:name="X1910d3ad9e81a1fc3ffd44bed8a78caf69e1fe6"/>
      <w:r>
        <w:t xml:space="preserve">2. What is installed (all instructor-owned, shared to the class project as</w:t>
      </w:r>
      <w:r>
        <w:t xml:space="preserve"> </w:t>
      </w:r>
      <w:r>
        <w:rPr>
          <w:i/>
        </w:rPr>
        <w:t xml:space="preserve">editor</w:t>
      </w:r>
      <w:r>
        <w:t xml:space="preserve">)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+ workspace context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NexaCare — Whitegum Acquisition</w:t>
            </w:r>
            <w:r>
              <w:t xml:space="preserve">”</w:t>
            </w:r>
            <w:r>
              <w:t xml:space="preserve"> </w:t>
            </w:r>
            <w:r>
              <w:t xml:space="preserve">with K&amp;S house conventions injected into every chat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Matter list (tasks / facts / deadlines)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Live tracker; deadlines drive notifications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 documents (Library + project + KB-indexed)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MediTrax MSA extract &amp; notice, two leases, TSA IT draft — with planted deviations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Substantive playbooks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EHR change-of-control, lease consent, TSA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LPM workflows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Scope, estimate, comms, process, ideation, journey, right-sourcing, ethics, happy-path, change, group pack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CX/EX workflows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CX audit, service recovery, feedback synthesis, EX pulse, workload rebalance, moments-that-matter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Deal workflows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EHR one-pager, lease consent pack, DD red-flag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Tabular templates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Lease review, TSA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Governance / risk / CX-EX playbooks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GenAI-in-NSW-practice, right-sourcing risk &amp; quality, CX/EX standards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Clause library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12 precedent clauses + 8 LPM/CX-EX templates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Regwatch watches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Health privacy, workforce, competition, financial, AI/privacy/profession</w:t>
            </w:r>
          </w:p>
        </w:tc>
      </w:tr>
    </w:tbl>
    <w:p>
      <w:pPr>
        <w:pStyle w:val="BodyText"/>
      </w:pPr>
      <w:r>
        <w:rPr>
          <w:b/>
        </w:rPr>
        <w:t xml:space="preserve">A note on the calendar.</w:t>
      </w:r>
      <w:r>
        <w:t xml:space="preserve"> </w:t>
      </w:r>
      <w:r>
        <w:t xml:space="preserve">The matter tracker has been rolled onto a</w:t>
      </w:r>
      <w:r>
        <w:t xml:space="preserve"> </w:t>
      </w:r>
      <w:r>
        <w:rPr>
          <w:b/>
        </w:rPr>
        <w:t xml:space="preserve">live teaching calendar</w:t>
      </w:r>
      <w:r>
        <w:t xml:space="preserve">: the in-narrative</w:t>
      </w:r>
      <w:r>
        <w:t xml:space="preserve"> </w:t>
      </w:r>
      <w:r>
        <w:t xml:space="preserve">“</w:t>
      </w:r>
      <w:r>
        <w:t xml:space="preserve">crisis Monday</w:t>
      </w:r>
      <w:r>
        <w:t xml:space="preserve">”</w:t>
      </w:r>
      <w:r>
        <w:t xml:space="preserve"> </w:t>
      </w:r>
      <w:r>
        <w:t xml:space="preserve">is set to</w:t>
      </w:r>
      <w:r>
        <w:t xml:space="preserve"> </w:t>
      </w:r>
      <w:r>
        <w:rPr>
          <w:b/>
        </w:rPr>
        <w:t xml:space="preserve">Monday 20 July 2026</w:t>
      </w:r>
      <w:r>
        <w:t xml:space="preserve">, so the MediTrax five-business-day deadline falls on</w:t>
      </w:r>
      <w:r>
        <w:t xml:space="preserve"> </w:t>
      </w:r>
      <w:r>
        <w:rPr>
          <w:b/>
        </w:rPr>
        <w:t xml:space="preserve">Monday 27 July 2026</w:t>
      </w:r>
      <w:r>
        <w:t xml:space="preserve"> </w:t>
      </w:r>
      <w:r>
        <w:t xml:space="preserve">and the app’s deadline sweep will raise notifications as it approaches. Weekday relationships are preserved. The</w:t>
      </w:r>
      <w:r>
        <w:t xml:space="preserve"> </w:t>
      </w:r>
      <w:r>
        <w:rPr>
          <w:b/>
        </w:rPr>
        <w:t xml:space="preserve">source documents keep their original in-narrative dates</w:t>
      </w:r>
      <w:r>
        <w:t xml:space="preserve"> </w:t>
      </w:r>
      <w:r>
        <w:t xml:space="preserve">(the letters and emails are the record</w:t>
      </w:r>
      <w:r>
        <w:t xml:space="preserve"> </w:t>
      </w:r>
      <w:r>
        <w:t xml:space="preserve">“</w:t>
      </w:r>
      <w:r>
        <w:t xml:space="preserve">as sent</w:t>
      </w:r>
      <w:r>
        <w:t xml:space="preserve">”</w:t>
      </w:r>
      <w:r>
        <w:t xml:space="preserve">); read 8 September in the documents as the same in-narrative crisis day the tracker now dates to 20 July. To re-anchor for a later teaching block, re-run the date-shift in</w:t>
      </w:r>
      <w:r>
        <w:t xml:space="preserve"> </w:t>
      </w:r>
      <w:r>
        <w:rPr>
          <w:rStyle w:val="VerbatimChar"/>
        </w:rPr>
        <w:t xml:space="preserve">seed/</w:t>
      </w:r>
      <w:r>
        <w:t xml:space="preserve"> </w:t>
      </w:r>
      <w:r>
        <w:t xml:space="preserve">with a new target Monday.</w:t>
      </w:r>
    </w:p>
    <w:p>
      <w:pPr>
        <w:pStyle w:val="Heading2"/>
      </w:pPr>
      <w:bookmarkStart w:id="23" w:name="how-to-run-an-activity-the-standard-loop"/>
      <w:r>
        <w:t xml:space="preserve">3. How to run an activity (the standard loop)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Open the</w:t>
      </w:r>
      <w:r>
        <w:t xml:space="preserve"> </w:t>
      </w:r>
      <w:r>
        <w:rPr>
          <w:b/>
        </w:rPr>
        <w:t xml:space="preserve">Workflows</w:t>
      </w:r>
      <w:r>
        <w:t xml:space="preserve"> </w:t>
      </w:r>
      <w:r>
        <w:t xml:space="preserve">page and pick the workflow for the week (they are prefixed W1–W8 or tagged</w:t>
      </w:r>
      <w:r>
        <w:t xml:space="preserve"> </w:t>
      </w:r>
      <w:r>
        <w:rPr>
          <w:i/>
        </w:rPr>
        <w:t xml:space="preserve">Client &amp; Employee Experience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Attach the relevant matter documents (the picker lists the Library) and click</w:t>
      </w:r>
      <w:r>
        <w:t xml:space="preserve"> </w:t>
      </w:r>
      <w:r>
        <w:rPr>
          <w:b/>
        </w:rPr>
        <w:t xml:space="preserve">Run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run appears under</w:t>
      </w:r>
      <w:r>
        <w:t xml:space="preserve"> </w:t>
      </w:r>
      <w:r>
        <w:rPr>
          <w:b/>
        </w:rPr>
        <w:t xml:space="preserve">Agents</w:t>
      </w:r>
      <w:r>
        <w:t xml:space="preserve"> </w:t>
      </w:r>
      <w:r>
        <w:t xml:space="preserve">as</w:t>
      </w:r>
      <w:r>
        <w:t xml:space="preserve"> </w:t>
      </w:r>
      <w:r>
        <w:rPr>
          <w:i/>
        </w:rPr>
        <w:t xml:space="preserve">awaiting approval</w:t>
      </w:r>
      <w:r>
        <w:t xml:space="preserve">.</w:t>
      </w:r>
      <w:r>
        <w:t xml:space="preserve"> </w:t>
      </w:r>
      <w:r>
        <w:rPr>
          <w:b/>
        </w:rPr>
        <w:t xml:space="preserve">Review and edit the plan before approving</w:t>
      </w:r>
      <w:r>
        <w:t xml:space="preserve"> </w:t>
      </w:r>
      <w:r>
        <w:t xml:space="preserve">— this is the supervision moment: are the steps role-appropriate? Is a drafting step doing research it should not? Would you let a junior run with these instructions?</w:t>
      </w:r>
    </w:p>
    <w:p>
      <w:pPr>
        <w:numPr>
          <w:ilvl w:val="0"/>
          <w:numId w:val="1002"/>
        </w:numPr>
        <w:pStyle w:val="Compact"/>
      </w:pPr>
      <w:r>
        <w:t xml:space="preserve">Approve; independent steps run in parallel; read the step outputs and the review step.</w:t>
      </w:r>
    </w:p>
    <w:p>
      <w:pPr>
        <w:numPr>
          <w:ilvl w:val="0"/>
          <w:numId w:val="1002"/>
        </w:numPr>
        <w:pStyle w:val="Compact"/>
      </w:pPr>
      <w:r>
        <w:t xml:space="preserve">For anything with legal propositions, run</w:t>
      </w:r>
      <w:r>
        <w:t xml:space="preserve"> </w:t>
      </w:r>
      <w:r>
        <w:rPr>
          <w:b/>
        </w:rPr>
        <w:t xml:space="preserve">Verify</w:t>
      </w:r>
      <w:r>
        <w:t xml:space="preserve"> </w:t>
      </w:r>
      <w:r>
        <w:t xml:space="preserve">and adjudicate each assertion yourself via the AustLII/Jade search links.</w:t>
      </w:r>
    </w:p>
    <w:p>
      <w:pPr>
        <w:pStyle w:val="FirstParagraph"/>
      </w:pPr>
      <w:r>
        <w:t xml:space="preserve">Emphasise throughout: the point is the student’s</w:t>
      </w:r>
      <w:r>
        <w:t xml:space="preserve"> </w:t>
      </w:r>
      <w:r>
        <w:rPr>
          <w:b/>
        </w:rPr>
        <w:t xml:space="preserve">judgment over the output</w:t>
      </w:r>
      <w:r>
        <w:t xml:space="preserve">, not the output itself.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week-by-week"/>
      <w:r>
        <w:t xml:space="preserve">4. Week-by-week</w:t>
      </w:r>
      <w:bookmarkEnd w:id="24"/>
    </w:p>
    <w:p>
      <w:pPr>
        <w:pStyle w:val="Heading3"/>
      </w:pPr>
      <w:bookmarkStart w:id="25" w:name="week-1-scoping-estimating"/>
      <w:r>
        <w:t xml:space="preserve">Week 1 — Scoping &amp; estimating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LPM focus:</w:t>
      </w:r>
      <w:r>
        <w:t xml:space="preserve"> </w:t>
      </w:r>
      <w:r>
        <w:t xml:space="preserve">scoping, WBS/gantt, estimating and cognitive biases, value pricing.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rPr>
          <w:i/>
        </w:rPr>
        <w:t xml:space="preserve">Scope a matter from a client brief (W1)</w:t>
      </w:r>
      <w:r>
        <w:t xml:space="preserve"> </w:t>
      </w:r>
      <w:r>
        <w:t xml:space="preserve">→ compare Rose’s WBS against the provided</w:t>
      </w:r>
      <w:r>
        <w:t xml:space="preserve"> </w:t>
      </w:r>
      <w:r>
        <w:rPr>
          <w:rStyle w:val="VerbatimChar"/>
        </w:rPr>
        <w:t xml:space="preserve">NexaCare_MSA_WBS.xlsx</w:t>
      </w:r>
      <w:r>
        <w:t xml:space="preserve">; then</w:t>
      </w:r>
      <w:r>
        <w:t xml:space="preserve"> </w:t>
      </w:r>
      <w:r>
        <w:rPr>
          <w:i/>
        </w:rPr>
        <w:t xml:space="preserve">Estimate &amp; cognitive-bias register (W1)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Objective:</w:t>
      </w:r>
      <w:r>
        <w:t xml:space="preserve"> </w:t>
      </w:r>
      <w:r>
        <w:t xml:space="preserve">students can turn a brief into a defensible scope, assumptions and fixed-fee milestones, and can name the biases distorting their estimates.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Facilitate:</w:t>
      </w:r>
      <w:r>
        <w:t xml:space="preserve"> </w:t>
      </w:r>
      <w:r>
        <w:t xml:space="preserve">“</w:t>
      </w:r>
      <w:r>
        <w:t xml:space="preserve">What did Rose over-scope or miss?</w:t>
      </w:r>
      <w:r>
        <w:t xml:space="preserve">”</w:t>
      </w:r>
      <w:r>
        <w:t xml:space="preserve"> </w:t>
      </w:r>
      <w:r>
        <w:t xml:space="preserve">“</w:t>
      </w:r>
      <w:r>
        <w:t xml:space="preserve">Which estimate is most exposed to the planning fallacy?</w:t>
      </w:r>
      <w:r>
        <w:t xml:space="preserve">”</w:t>
      </w:r>
      <w:r>
        <w:t xml:space="preserve"> </w:t>
      </w:r>
      <w:r>
        <w:t xml:space="preserve">Show the</w:t>
      </w:r>
      <w:r>
        <w:t xml:space="preserve"> </w:t>
      </w:r>
      <w:r>
        <w:rPr>
          <w:b/>
        </w:rPr>
        <w:t xml:space="preserve">cost badge / usage page</w:t>
      </w:r>
      <w:r>
        <w:t xml:space="preserve"> </w:t>
      </w:r>
      <w:r>
        <w:t xml:space="preserve">— real AUD per task — and connect to the Victorian LSB value-pricing reading.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Answer-key cue:</w:t>
      </w:r>
      <w:r>
        <w:t xml:space="preserve"> </w:t>
      </w:r>
      <w:r>
        <w:t xml:space="preserve">a good scope must surface the five workstreams (EHR/data migration, landlord consents, TSAs, employment transfer, privacy) and tie the 10% holdback to completion.</w:t>
      </w:r>
    </w:p>
    <w:p>
      <w:pPr>
        <w:pStyle w:val="Heading3"/>
      </w:pPr>
      <w:bookmarkStart w:id="26" w:name="week-2-teams-leadership-communication"/>
      <w:r>
        <w:t xml:space="preserve">Week 2 — Teams, leadership &amp; communication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LPM focus:</w:t>
      </w:r>
      <w:r>
        <w:t xml:space="preserve"> </w:t>
      </w:r>
      <w:r>
        <w:t xml:space="preserve">stakeholder management, psychological safety, delegation under pressure.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t xml:space="preserve">the seeded</w:t>
      </w:r>
      <w:r>
        <w:t xml:space="preserve"> </w:t>
      </w:r>
      <w:r>
        <w:rPr>
          <w:i/>
        </w:rPr>
        <w:t xml:space="preserve">EHR vendor notice — contract vs demands (W2)</w:t>
      </w:r>
      <w:r>
        <w:t xml:space="preserve"> </w:t>
      </w:r>
      <w:r>
        <w:t xml:space="preserve">crisis workflow (delegation under pressure); then</w:t>
      </w:r>
      <w:r>
        <w:t xml:space="preserve"> </w:t>
      </w:r>
      <w:r>
        <w:rPr>
          <w:i/>
        </w:rPr>
        <w:t xml:space="preserve">Stakeholder update — persona-tuned (W2)</w:t>
      </w:r>
      <w:r>
        <w:t xml:space="preserve"> </w:t>
      </w:r>
      <w:r>
        <w:t xml:space="preserve">to see one message rewritten for Keller, Wu and Okoye.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Objective:</w:t>
      </w:r>
      <w:r>
        <w:t xml:space="preserve"> </w:t>
      </w:r>
      <w:r>
        <w:t xml:space="preserve">students adapt communication to stakeholder style and honour</w:t>
      </w:r>
      <w:r>
        <w:t xml:space="preserve"> </w:t>
      </w:r>
      <w:r>
        <w:t xml:space="preserve">“</w:t>
      </w:r>
      <w:r>
        <w:t xml:space="preserve">Stop the Line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Facilitate:</w:t>
      </w:r>
      <w:r>
        <w:t xml:space="preserve"> </w:t>
      </w:r>
      <w:r>
        <w:t xml:space="preserve">contrast the three persona versions — what changed and why? Use the</w:t>
      </w:r>
      <w:r>
        <w:t xml:space="preserve"> </w:t>
      </w:r>
      <w:r>
        <w:rPr>
          <w:b/>
        </w:rPr>
        <w:t xml:space="preserve">plan-approval gate</w:t>
      </w:r>
      <w:r>
        <w:t xml:space="preserve"> </w:t>
      </w:r>
      <w:r>
        <w:t xml:space="preserve">as the delegation/supervision artefact. The</w:t>
      </w:r>
      <w:r>
        <w:t xml:space="preserve"> </w:t>
      </w:r>
      <w:r>
        <w:rPr>
          <w:i/>
        </w:rPr>
        <w:t xml:space="preserve">Stop the Line</w:t>
      </w:r>
      <w:r>
        <w:t xml:space="preserve"> </w:t>
      </w:r>
      <w:r>
        <w:t xml:space="preserve">clause template models the escalation norm.</w:t>
      </w:r>
    </w:p>
    <w:p>
      <w:pPr>
        <w:pStyle w:val="Heading3"/>
      </w:pPr>
      <w:bookmarkStart w:id="27" w:name="X7560c15f82085f854eff2496f08b83ffa1aac57"/>
      <w:r>
        <w:t xml:space="preserve">Week 3 — Process optimisation &amp; design thinking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LPM focus:</w:t>
      </w:r>
      <w:r>
        <w:t xml:space="preserve"> </w:t>
      </w:r>
      <w:r>
        <w:t xml:space="preserve">process design, Lean/waste, design thinking.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rPr>
          <w:i/>
        </w:rPr>
        <w:t xml:space="preserve">Map and diagnose a process — SIPOC + waste (W3)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NexaCare_MSA process.pdf</w:t>
      </w:r>
      <w:r>
        <w:t xml:space="preserve">; then</w:t>
      </w:r>
      <w:r>
        <w:t xml:space="preserve"> </w:t>
      </w:r>
      <w:r>
        <w:rPr>
          <w:i/>
        </w:rPr>
        <w:t xml:space="preserve">Design-thinking ideation (W3)</w:t>
      </w:r>
      <w:r>
        <w:t xml:space="preserve"> </w:t>
      </w:r>
      <w:r>
        <w:t xml:space="preserve">on the top pain point.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Objective:</w:t>
      </w:r>
      <w:r>
        <w:t xml:space="preserve"> </w:t>
      </w:r>
      <w:r>
        <w:t xml:space="preserve">students can map a process, find waste, and move from pain point to prioritised solution.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Facilitate:</w:t>
      </w:r>
      <w:r>
        <w:t xml:space="preserve"> </w:t>
      </w:r>
      <w:r>
        <w:t xml:space="preserve">does Rose’s SIPOC match the real handoffs in the WBS? Which</w:t>
      </w:r>
      <w:r>
        <w:t xml:space="preserve"> </w:t>
      </w:r>
      <w:r>
        <w:t xml:space="preserve">“</w:t>
      </w:r>
      <w:r>
        <w:t xml:space="preserve">Quick Win</w:t>
      </w:r>
      <w:r>
        <w:t xml:space="preserve">”</w:t>
      </w:r>
      <w:r>
        <w:t xml:space="preserve"> </w:t>
      </w:r>
      <w:r>
        <w:t xml:space="preserve">would you actually run? The continuous-improvement retro clause supports the debrief milestone.</w:t>
      </w:r>
    </w:p>
    <w:p>
      <w:pPr>
        <w:pStyle w:val="Heading3"/>
      </w:pPr>
      <w:bookmarkStart w:id="28" w:name="week-4-data-ai-legal-technology"/>
      <w:r>
        <w:t xml:space="preserve">Week 4 — Data, AI &amp; legal technology</w:t>
      </w:r>
      <w:bookmarkEnd w:id="2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LPM focus:</w:t>
      </w:r>
      <w:r>
        <w:t xml:space="preserve"> </w:t>
      </w:r>
      <w:r>
        <w:t xml:space="preserve">personas &amp; journeys, legal-tech procurement,</w:t>
      </w:r>
      <w:r>
        <w:t xml:space="preserve"> </w:t>
      </w:r>
      <w:r>
        <w:rPr>
          <w:b/>
        </w:rPr>
        <w:t xml:space="preserve">generative-AI governance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rPr>
          <w:i/>
        </w:rPr>
        <w:t xml:space="preserve">User-journey map for a stakeholder (W4)</w:t>
      </w:r>
      <w:r>
        <w:t xml:space="preserve"> </w:t>
      </w:r>
      <w:r>
        <w:t xml:space="preserve">(name a persona); build a</w:t>
      </w:r>
      <w:r>
        <w:t xml:space="preserve"> </w:t>
      </w:r>
      <w:r>
        <w:rPr>
          <w:i/>
        </w:rPr>
        <w:t xml:space="preserve">Plan on a page</w:t>
      </w:r>
      <w:r>
        <w:t xml:space="preserve"> </w:t>
      </w:r>
      <w:r>
        <w:t xml:space="preserve">for a quick win (clause template); then the governance activity below.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Governance activity (the distinctive one):</w:t>
      </w:r>
      <w:r>
        <w:t xml:space="preserve"> </w:t>
      </w:r>
      <w:r>
        <w:t xml:space="preserve">have students run any prior Rose output through</w:t>
      </w:r>
      <w:r>
        <w:t xml:space="preserve"> </w:t>
      </w:r>
      <w:r>
        <w:rPr>
          <w:b/>
        </w:rPr>
        <w:t xml:space="preserve">review against the</w:t>
      </w:r>
      <w:r>
        <w:rPr>
          <w:b/>
        </w:rPr>
        <w:t xml:space="preserve"> </w:t>
      </w:r>
      <w:r>
        <w:rPr>
          <w:i/>
          <w:b/>
        </w:rPr>
        <w:t xml:space="preserve">GenAI in NSW legal practice</w:t>
      </w:r>
      <w:r>
        <w:rPr>
          <w:b/>
        </w:rPr>
        <w:t xml:space="preserve"> </w:t>
      </w:r>
      <w:r>
        <w:rPr>
          <w:b/>
        </w:rPr>
        <w:t xml:space="preserve">playbook</w:t>
      </w:r>
      <w:r>
        <w:t xml:space="preserve">. The playbook encodes</w:t>
      </w:r>
      <w:r>
        <w:t xml:space="preserve"> </w:t>
      </w:r>
      <w:r>
        <w:rPr>
          <w:b/>
        </w:rPr>
        <w:t xml:space="preserve">SC Gen 23</w:t>
      </w:r>
      <w:r>
        <w:t xml:space="preserve"> </w:t>
      </w:r>
      <w:r>
        <w:t xml:space="preserve">(NSW Supreme Court, commenced 3 Feb 2025) and the</w:t>
      </w:r>
      <w:r>
        <w:t xml:space="preserve"> </w:t>
      </w:r>
      <w:r>
        <w:rPr>
          <w:b/>
        </w:rPr>
        <w:t xml:space="preserve">joint AI Statement / Solicitor’s Guide</w:t>
      </w:r>
      <w:r>
        <w:t xml:space="preserve"> </w:t>
      </w:r>
      <w:r>
        <w:t xml:space="preserve">(6 Dec 2024). Key teaching point: SC Gen 23 requires that</w:t>
      </w:r>
      <w:r>
        <w:t xml:space="preserve"> </w:t>
      </w:r>
      <w:r>
        <w:rPr>
          <w:b/>
        </w:rPr>
        <w:t xml:space="preserve">every citation be verified and that the verification not be done by GenAI</w:t>
      </w:r>
      <w:r>
        <w:t xml:space="preserve"> </w:t>
      </w:r>
      <w:r>
        <w:t xml:space="preserve">— which is exactly why Rose routes verification to a human via the Verify page. Show the</w:t>
      </w:r>
      <w:r>
        <w:t xml:space="preserve"> </w:t>
      </w:r>
      <w:r>
        <w:rPr>
          <w:b/>
        </w:rPr>
        <w:t xml:space="preserve">audit log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cost tracking</w:t>
      </w:r>
      <w:r>
        <w:t xml:space="preserve"> </w:t>
      </w:r>
      <w:r>
        <w:t xml:space="preserve">as the governance evidence trail.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Objective:</w:t>
      </w:r>
      <w:r>
        <w:t xml:space="preserve"> </w:t>
      </w:r>
      <w:r>
        <w:t xml:space="preserve">students can state the NSW rules, and can point to the specific tool controls that satisfy (or fail) them.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Debate:</w:t>
      </w:r>
      <w:r>
        <w:t xml:space="preserve"> </w:t>
      </w:r>
      <w:r>
        <w:rPr>
          <w:i/>
        </w:rPr>
        <w:t xml:space="preserve">should generative AI be allowed in delivering legal services?</w:t>
      </w:r>
      <w:r>
        <w:t xml:space="preserve"> </w:t>
      </w:r>
      <w:r>
        <w:t xml:space="preserve">— now grounded in a tool they have used and its actual guardrails.</w:t>
      </w:r>
    </w:p>
    <w:p>
      <w:pPr>
        <w:pStyle w:val="Heading3"/>
      </w:pPr>
      <w:bookmarkStart w:id="29" w:name="Xd19662ffb27c9ac091d408a276cd0453bc346b2"/>
      <w:r>
        <w:t xml:space="preserve">Week 7 — Demand management, right-sourcing &amp; risk</w:t>
      </w:r>
      <w:bookmarkEnd w:id="2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LPM focus:</w:t>
      </w:r>
      <w:r>
        <w:t xml:space="preserve"> </w:t>
      </w:r>
      <w:r>
        <w:t xml:space="preserve">disaggregation, ALSPs, commoditisation, risk &amp; quality management.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rPr>
          <w:i/>
        </w:rPr>
        <w:t xml:space="preserve">Right-sourcing analysis (W7)</w:t>
      </w:r>
      <w:r>
        <w:t xml:space="preserve"> </w:t>
      </w:r>
      <w:r>
        <w:t xml:space="preserve">→ produces the disaggregation register; reviewed automatically against the</w:t>
      </w:r>
      <w:r>
        <w:t xml:space="preserve"> </w:t>
      </w:r>
      <w:r>
        <w:rPr>
          <w:i/>
        </w:rPr>
        <w:t xml:space="preserve">Right-sourcing risk &amp; quality gates</w:t>
      </w:r>
      <w:r>
        <w:t xml:space="preserve"> </w:t>
      </w:r>
      <w:r>
        <w:t xml:space="preserve">playbook. Pair with a</w:t>
      </w:r>
      <w:r>
        <w:t xml:space="preserve"> </w:t>
      </w:r>
      <w:r>
        <w:rPr>
          <w:i/>
        </w:rPr>
        <w:t xml:space="preserve">TSA review</w:t>
      </w:r>
      <w:r>
        <w:t xml:space="preserve"> </w:t>
      </w:r>
      <w:r>
        <w:t xml:space="preserve">tabular run.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Objective:</w:t>
      </w:r>
      <w:r>
        <w:t xml:space="preserve"> </w:t>
      </w:r>
      <w:r>
        <w:t xml:space="preserve">students can decide keep/delegate/commoditise/outsource/automate for each task and defend it on risk, complexity and cost.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Facilitate:</w:t>
      </w:r>
      <w:r>
        <w:t xml:space="preserve"> </w:t>
      </w:r>
      <w:r>
        <w:t xml:space="preserve">which tasks are safe to outsource, and which fail a quality gate? Connect to the billable-hour debate.</w:t>
      </w:r>
    </w:p>
    <w:p>
      <w:pPr>
        <w:pStyle w:val="Heading3"/>
      </w:pPr>
      <w:bookmarkStart w:id="30" w:name="week-8-professional-ethics-cx-ex"/>
      <w:r>
        <w:t xml:space="preserve">Week 8 — Professional ethics; CX &amp; EX</w:t>
      </w:r>
      <w:bookmarkEnd w:id="30"/>
    </w:p>
    <w:p>
      <w:pPr>
        <w:pStyle w:val="FirstParagraph"/>
      </w:pPr>
      <w:r>
        <w:rPr>
          <w:b/>
        </w:rPr>
        <w:t xml:space="preserve">Rebuilt July 2026 — see</w:t>
      </w:r>
      <w:r>
        <w:rPr>
          <w:b/>
        </w:rPr>
        <w:t xml:space="preserve"> </w:t>
      </w:r>
      <w:r>
        <w:rPr>
          <w:rStyle w:val="VerbatimChar"/>
          <w:b/>
        </w:rPr>
        <w:t xml:space="preserve">WEEK8_v2_RUNSHEET.md</w:t>
      </w:r>
      <w:r>
        <w:rPr>
          <w:b/>
        </w:rPr>
        <w:t xml:space="preserve"> </w:t>
      </w:r>
      <w:r>
        <w:rPr>
          <w:b/>
        </w:rPr>
        <w:t xml:space="preserve">for the full session plan.</w:t>
      </w:r>
      <w:r>
        <w:t xml:space="preserve"> </w:t>
      </w:r>
      <w:r>
        <w:t xml:space="preserve">Twelve workflows now, not eight, with prompts carrying the actual frameworks</w:t>
      </w:r>
      <w:r>
        <w:t xml:space="preserve"> </w:t>
      </w:r>
      <w:r>
        <w:t xml:space="preserve">(ASCR rr 4/7/9/17/19/37, LPUL ss 3/172/173, the OLSC complaint drivers, the CX</w:t>
      </w:r>
      <w:r>
        <w:t xml:space="preserve"> </w:t>
      </w:r>
      <w:r>
        <w:t xml:space="preserve">lifecycle, NPS, Green on culture, Legg on ethical fading and practical wisdom).</w:t>
      </w:r>
      <w:r>
        <w:t xml:space="preserve"> </w:t>
      </w:r>
      <w:r>
        <w:t xml:space="preserve">Evidence comes from the K&amp;S practice-management MCP rather than invention, and</w:t>
      </w:r>
      <w:r>
        <w:t xml:space="preserve"> </w:t>
      </w:r>
      <w:r>
        <w:t xml:space="preserve">the exercises now span tabular review, Deep-verify, the knowledge base,</w:t>
      </w:r>
      <w:r>
        <w:t xml:space="preserve"> </w:t>
      </w:r>
      <w:r>
        <w:t xml:space="preserve">playbooks, clauses, lists and export. Seed:</w:t>
      </w:r>
      <w:r>
        <w:t xml:space="preserve"> </w:t>
      </w:r>
      <w:r>
        <w:rPr>
          <w:rStyle w:val="VerbatimChar"/>
        </w:rPr>
        <w:t xml:space="preserve">seed/week8_v2.sql</w:t>
      </w:r>
      <w:r>
        <w:t xml:space="preserve">; Library</w:t>
      </w:r>
      <w:r>
        <w:t xml:space="preserve"> </w:t>
      </w:r>
      <w:r>
        <w:t xml:space="preserve">content:</w:t>
      </w:r>
      <w:r>
        <w:t xml:space="preserve"> </w:t>
      </w:r>
      <w:r>
        <w:rPr>
          <w:rStyle w:val="VerbatimChar"/>
        </w:rPr>
        <w:t xml:space="preserve">week8-library/docx/</w:t>
      </w:r>
      <w:r>
        <w:t xml:space="preserve">.</w:t>
      </w:r>
    </w:p>
    <w:p>
      <w:pPr>
        <w:pStyle w:val="Heading3"/>
      </w:pPr>
      <w:bookmarkStart w:id="31" w:name="week-9-transformation-change-management"/>
      <w:r>
        <w:t xml:space="preserve">Week 9 — Transformation &amp; change management</w:t>
      </w:r>
      <w:bookmarkEnd w:id="31"/>
    </w:p>
    <w:p>
      <w:pPr>
        <w:pStyle w:val="FirstParagraph"/>
      </w:pPr>
      <w:r>
        <w:rPr>
          <w:b/>
        </w:rPr>
        <w:t xml:space="preserve">Rebuilt July 2026 — see</w:t>
      </w:r>
      <w:r>
        <w:rPr>
          <w:b/>
        </w:rPr>
        <w:t xml:space="preserve"> </w:t>
      </w:r>
      <w:r>
        <w:rPr>
          <w:rStyle w:val="VerbatimChar"/>
          <w:b/>
        </w:rPr>
        <w:t xml:space="preserve">WEEK9_RUNSHEET.md</w:t>
      </w:r>
      <w:r>
        <w:rPr>
          <w:b/>
        </w:rPr>
        <w:t xml:space="preserve"> </w:t>
      </w:r>
      <w:r>
        <w:rPr>
          <w:b/>
        </w:rPr>
        <w:t xml:space="preserve">for the full session plan.</w:t>
      </w:r>
      <w:r>
        <w:t xml:space="preserve"> </w:t>
      </w:r>
      <w:r>
        <w:t xml:space="preserve">Ten workflows replace the single</w:t>
      </w:r>
      <w:r>
        <w:t xml:space="preserve"> </w:t>
      </w:r>
      <w:r>
        <w:rPr>
          <w:i/>
        </w:rPr>
        <w:t xml:space="preserve">Change plan — Kotter 8-step (W9)</w:t>
      </w:r>
      <w:r>
        <w:t xml:space="preserve"> </w:t>
      </w:r>
      <w:r>
        <w:t xml:space="preserve">stub, which</w:t>
      </w:r>
      <w:r>
        <w:t xml:space="preserve"> </w:t>
      </w:r>
      <w:r>
        <w:t xml:space="preserve">the seed removes. The scenario is implementing the Week-8 client happy path on</w:t>
      </w:r>
      <w:r>
        <w:t xml:space="preserve"> </w:t>
      </w:r>
      <w:r>
        <w:t xml:space="preserve">the NexaCare matter as a 90-day pilot.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LPM focus:</w:t>
      </w:r>
      <w:r>
        <w:t xml:space="preserve"> </w:t>
      </w:r>
      <w:r>
        <w:t xml:space="preserve">Kotter’s eight</w:t>
      </w:r>
      <w:r>
        <w:t xml:space="preserve"> </w:t>
      </w:r>
      <w:r>
        <w:rPr>
          <w:i/>
        </w:rPr>
        <w:t xml:space="preserve">errors</w:t>
      </w:r>
      <w:r>
        <w:t xml:space="preserve">, D×V×F&gt;R, Rogers’ diffusion curve,</w:t>
      </w:r>
      <w:r>
        <w:t xml:space="preserve"> </w:t>
      </w:r>
      <w:r>
        <w:t xml:space="preserve">Vroom’s expectancy theory, Prosci ADKAR and change impact assessment, and</w:t>
      </w:r>
      <w:r>
        <w:t xml:space="preserve"> </w:t>
      </w:r>
      <w:r>
        <w:t xml:space="preserve">Rogers &amp; Bell on why professional-services change behaves differently.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t xml:space="preserve">urgency from the data → coalition and diffusion map → vision</w:t>
      </w:r>
      <w:r>
        <w:t xml:space="preserve"> </w:t>
      </w:r>
      <w:r>
        <w:t xml:space="preserve">→ communication pack →</w:t>
      </w:r>
      <w:r>
        <w:t xml:space="preserve"> </w:t>
      </w:r>
      <w:r>
        <w:rPr>
          <w:b/>
        </w:rPr>
        <w:t xml:space="preserve">change impact assessment (tabular, 10 typed</w:t>
      </w:r>
      <w:r>
        <w:rPr>
          <w:b/>
        </w:rPr>
        <w:t xml:space="preserve"> </w:t>
      </w:r>
      <w:r>
        <w:rPr>
          <w:b/>
        </w:rPr>
        <w:t xml:space="preserve">columns, one row per persona)</w:t>
      </w:r>
      <w:r>
        <w:t xml:space="preserve"> </w:t>
      </w:r>
      <w:r>
        <w:t xml:space="preserve">→ resistance and loss map → expectancy</w:t>
      </w:r>
      <w:r>
        <w:t xml:space="preserve"> </w:t>
      </w:r>
      <w:r>
        <w:t xml:space="preserve">design → 90-day quick wins →</w:t>
      </w:r>
      <w:r>
        <w:t xml:space="preserve"> </w:t>
      </w:r>
      <w:r>
        <w:rPr>
          <w:b/>
        </w:rPr>
        <w:t xml:space="preserve">Kotter readiness review</w:t>
      </w:r>
      <w:r>
        <w:t xml:space="preserve"> </w:t>
      </w:r>
      <w:r>
        <w:t xml:space="preserve">(hard-marks the</w:t>
      </w:r>
      <w:r>
        <w:t xml:space="preserve"> </w:t>
      </w:r>
      <w:r>
        <w:t xml:space="preserve">group’s own plan) → change pack (export).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Evidence:</w:t>
      </w:r>
      <w:r>
        <w:t xml:space="preserve"> </w:t>
      </w:r>
      <w:r>
        <w:t xml:space="preserve">the K&amp;S database, queried by the students. NexaCare has 49</w:t>
      </w:r>
      <w:r>
        <w:t xml:space="preserve"> </w:t>
      </w:r>
      <w:r>
        <w:t xml:space="preserve">tasks, none complete, all overdue, 650 estimated hours against 27 recorded,</w:t>
      </w:r>
      <w:r>
        <w:t xml:space="preserve"> </w:t>
      </w:r>
      <w:r>
        <w:t xml:space="preserve">and a firm-wide ledger with zero contemporaneous entries. They are not told</w:t>
      </w:r>
      <w:r>
        <w:t xml:space="preserve"> </w:t>
      </w:r>
      <w:r>
        <w:t xml:space="preserve">this — workflow 1 makes them find it.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Objective:</w:t>
      </w:r>
      <w:r>
        <w:t xml:space="preserve"> </w:t>
      </w:r>
      <w:r>
        <w:t xml:space="preserve">students can build a change approach that answers</w:t>
      </w:r>
      <w:r>
        <w:t xml:space="preserve"> </w:t>
      </w:r>
      <w:r>
        <w:rPr>
          <w:i/>
        </w:rPr>
        <w:t xml:space="preserve">why would</w:t>
      </w:r>
      <w:r>
        <w:rPr>
          <w:i/>
        </w:rPr>
        <w:t xml:space="preserve"> </w:t>
      </w:r>
      <w:r>
        <w:rPr>
          <w:i/>
        </w:rPr>
        <w:t xml:space="preserve">this person actually do it</w:t>
      </w:r>
      <w:r>
        <w:t xml:space="preserve">, evidenced from the firm’s own data, and can</w:t>
      </w:r>
      <w:r>
        <w:t xml:space="preserve"> </w:t>
      </w:r>
      <w:r>
        <w:t xml:space="preserve">hard-mark their own plan against the eight errors.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Facilitate:</w:t>
      </w:r>
      <w:r>
        <w:t xml:space="preserve"> </w:t>
      </w:r>
      <w:r>
        <w:t xml:space="preserve">why would James Bentley do this? Not should — would.</w:t>
      </w:r>
    </w:p>
    <w:p>
      <w:pPr>
        <w:numPr>
          <w:ilvl w:val="0"/>
          <w:numId w:val="1008"/>
        </w:numPr>
        <w:pStyle w:val="Compact"/>
      </w:pPr>
      <w:r>
        <w:t xml:space="preserve">Seed:</w:t>
      </w:r>
      <w:r>
        <w:t xml:space="preserve"> </w:t>
      </w:r>
      <w:r>
        <w:rPr>
          <w:rStyle w:val="VerbatimChar"/>
        </w:rPr>
        <w:t xml:space="preserve">seed/week9.sql</w:t>
      </w:r>
      <w:r>
        <w:t xml:space="preserve">; Library content:</w:t>
      </w:r>
      <w:r>
        <w:t xml:space="preserve"> </w:t>
      </w:r>
      <w:r>
        <w:rPr>
          <w:rStyle w:val="VerbatimChar"/>
        </w:rPr>
        <w:t xml:space="preserve">week9-library/docx/</w:t>
      </w:r>
      <w:r>
        <w:t xml:space="preserve"> </w:t>
      </w:r>
      <w:r>
        <w:t xml:space="preserve">plus the seven</w:t>
      </w:r>
      <w:r>
        <w:t xml:space="preserve"> </w:t>
      </w:r>
      <w:r>
        <w:t xml:space="preserve">persona documents in</w:t>
      </w:r>
      <w:r>
        <w:t xml:space="preserve"> </w:t>
      </w:r>
      <w:r>
        <w:rPr>
          <w:rStyle w:val="VerbatimChar"/>
        </w:rPr>
        <w:t xml:space="preserve">week9-library/docx/personas/</w:t>
      </w:r>
      <w:r>
        <w:t xml:space="preserve">.</w:t>
      </w:r>
    </w:p>
    <w:p>
      <w:pPr>
        <w:pStyle w:val="Heading3"/>
      </w:pPr>
      <w:bookmarkStart w:id="32" w:name="week-10-group-assessment"/>
      <w:r>
        <w:t xml:space="preserve">Week 10 — Group assessment</w:t>
      </w:r>
      <w:bookmarkEnd w:id="32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in Rose:</w:t>
      </w:r>
      <w:r>
        <w:t xml:space="preserve"> </w:t>
      </w:r>
      <w:r>
        <w:rPr>
          <w:i/>
        </w:rPr>
        <w:t xml:space="preserve">Group-assessment deliverable builder</w:t>
      </w:r>
      <w:r>
        <w:t xml:space="preserve"> </w:t>
      </w:r>
      <w:r>
        <w:t xml:space="preserve">assembles a group’s analysis into a presentation-ready, export-ready pack (DOCX/PDF).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4e3e4b95c52794a4d1588748082321053d29d6b"/>
      <w:r>
        <w:t xml:space="preserve">5. Week-8 deep dive — Client Experience (CX) &amp; Employee Experience (EX)</w:t>
      </w:r>
      <w:bookmarkEnd w:id="33"/>
    </w:p>
    <w:p>
      <w:pPr>
        <w:pStyle w:val="FirstParagraph"/>
      </w:pPr>
      <w:r>
        <w:rPr>
          <w:b/>
        </w:rPr>
        <w:t xml:space="preserve">Superseded July 2026.</w:t>
      </w:r>
      <w:r>
        <w:t xml:space="preserve"> </w:t>
      </w:r>
      <w:r>
        <w:t xml:space="preserve">The Week-8 material was rebuilt: twelve workflows, a</w:t>
      </w:r>
      <w:r>
        <w:t xml:space="preserve"> </w:t>
      </w:r>
      <w:r>
        <w:t xml:space="preserve">responsible-AI playbook, five clauses, and a Library set covering the CX/EX and</w:t>
      </w:r>
      <w:r>
        <w:t xml:space="preserve"> </w:t>
      </w:r>
      <w:r>
        <w:t xml:space="preserve">ethics references, an NPS verbatim set, the K&amp;S values/EVP artefacts and eight</w:t>
      </w:r>
      <w:r>
        <w:t xml:space="preserve"> </w:t>
      </w:r>
      <w:r>
        <w:t xml:space="preserve">ethics scenarios.</w:t>
      </w:r>
    </w:p>
    <w:p>
      <w:pPr>
        <w:pStyle w:val="BodyText"/>
      </w:pPr>
      <w:r>
        <w:t xml:space="preserve">The session plan, setup steps, facilitation prompts and assessment artefacts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  <w:b/>
        </w:rPr>
        <w:t xml:space="preserve">WEEK8_v2_RUNSHEET.md</w:t>
      </w:r>
      <w:r>
        <w:t xml:space="preserve">. One open item is flagged there: six of the</w:t>
      </w:r>
      <w:r>
        <w:t xml:space="preserve"> </w:t>
      </w:r>
      <w:r>
        <w:t xml:space="preserve">twelve workflows use the K&amp;S practice-management MCP connector, which is</w:t>
      </w:r>
      <w:r>
        <w:t xml:space="preserve"> </w:t>
      </w:r>
      <w:r>
        <w:t xml:space="preserve">registered per user and is not reachable by students now that Settings is</w:t>
      </w:r>
      <w:r>
        <w:t xml:space="preserve"> </w:t>
      </w:r>
      <w:r>
        <w:t xml:space="preserve">admin-only.</w:t>
      </w:r>
    </w:p>
    <w:p>
      <w:pPr>
        <w:pStyle w:val="Heading2"/>
      </w:pPr>
      <w:bookmarkStart w:id="34" w:name="cross-cutting-teaching-hooks"/>
      <w:r>
        <w:t xml:space="preserve">6. Cross-cutting teaching hooks</w:t>
      </w:r>
      <w:bookmarkEnd w:id="34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Verification culture.</w:t>
      </w:r>
      <w:r>
        <w:t xml:space="preserve"> </w:t>
      </w:r>
      <w:r>
        <w:t xml:space="preserve">The seed deliberately never asserts contested law (NSW/QLD lessor-consent statutory overlays; Fair Work transfer-of-business; NDB citations). Students must verify — and the planted QLD property-law question is designed so an unverified model answer is plausibly wrong.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Supervision &amp; governance.</w:t>
      </w:r>
      <w:r>
        <w:t xml:space="preserve"> </w:t>
      </w:r>
      <w:r>
        <w:t xml:space="preserve">Approval gates, role-scoped tools, the audit log, RBAC/ethical walls and per-query cost telemetry map directly onto professional-responsibility discussion (competence, supervision, costs disclosure).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Answer keys.</w:t>
      </w:r>
      <w:r>
        <w:t xml:space="preserve"> </w:t>
      </w:r>
      <w:r>
        <w:t xml:space="preserve">The planted-deviation answer keys (the five MediTrax overreaches; the benign-NSW vs hostile-QLD leases; the six TSA breaches) are set out in</w:t>
      </w:r>
      <w:r>
        <w:t xml:space="preserve"> </w:t>
      </w:r>
      <w:r>
        <w:rPr>
          <w:rStyle w:val="VerbatimChar"/>
        </w:rPr>
        <w:t xml:space="preserve">teaching-guide.md</w:t>
      </w:r>
      <w:r>
        <w:t xml:space="preserve"> </w:t>
      </w:r>
      <w:r>
        <w:t xml:space="preserve">— use them to mark the substantive weeks objectively.</w:t>
      </w:r>
    </w:p>
    <w:p>
      <w:pPr>
        <w:pStyle w:val="Heading2"/>
      </w:pPr>
      <w:bookmarkStart w:id="35" w:name="setup-logistics-the-two-optional-extras"/>
      <w:r>
        <w:t xml:space="preserve">7. Setup, logistics &amp; the two optional extras</w:t>
      </w:r>
      <w:bookmarkEnd w:id="35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Live now:</w:t>
      </w:r>
      <w:r>
        <w:t xml:space="preserve"> </w:t>
      </w:r>
      <w:r>
        <w:t xml:space="preserve">the MediTrax deadline (Mon 27 Jul 2026) will trigger the app’s deadline notification within a day, so notifications are demonstrable during class.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Optional — weekly scheduled status report:</w:t>
      </w:r>
      <w:r>
        <w:t xml:space="preserve"> </w:t>
      </w:r>
      <w:r>
        <w:t xml:space="preserve">now that dates are live, a recurring</w:t>
      </w:r>
      <w:r>
        <w:t xml:space="preserve"> </w:t>
      </w:r>
      <w:r>
        <w:t xml:space="preserve">“</w:t>
      </w:r>
      <w:r>
        <w:t xml:space="preserve">matter status report</w:t>
      </w:r>
      <w:r>
        <w:t xml:space="preserve">”</w:t>
      </w:r>
      <w:r>
        <w:t xml:space="preserve"> </w:t>
      </w:r>
      <w:r>
        <w:t xml:space="preserve">can be scheduled (RAG health, CP tracker, deadlines, spend vs milestones). Ask and it can be set up in minutes.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Optional — live dashboard artefact:</w:t>
      </w:r>
      <w:r>
        <w:t xml:space="preserve"> </w:t>
      </w:r>
      <w:r>
        <w:t xml:space="preserve">a re-openable matter dashboard (deadlines, list items, spend) for the Week-4 metrics discussion. Available on request.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Regwatch caveat:</w:t>
      </w:r>
      <w:r>
        <w:t xml:space="preserve"> </w:t>
      </w:r>
      <w:r>
        <w:t xml:space="preserve">the AI-guidance watch uses the closest official government feeds (OAIC, Federal Register of Legislation); SC Gen 23 and Law Society protocol updates are a manual-tracking item because those bodies are not government-RSS sources (consistent with the no-scrape rule).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Per-cohort reset:</w:t>
      </w:r>
      <w:r>
        <w:t xml:space="preserve"> </w:t>
      </w:r>
      <w:r>
        <w:t xml:space="preserve">the hybrid model shares one instructor-owned project with students as editors; students create their own runs and tabular reviews inside it. To re-anchor dates for a later block, re-run the date-shift with a new target Monday.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2026-07-30T11:20:54Z</dcterms:created>
  <dcterms:modified xsi:type="dcterms:W3CDTF">2026-07-30T11:20:54Z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