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47837a19f76ce90957c263b682e485c92562f6"/>
      <w:r>
        <w:t xml:space="preserve">Change in law firms — Week 9 reference note</w:t>
      </w:r>
      <w:bookmarkEnd w:id="20"/>
    </w:p>
    <w:p>
      <w:pPr>
        <w:pStyle w:val="FirstParagraph"/>
      </w:pPr>
      <w:r>
        <w:t xml:space="preserve">Why legal change management is not general change management with different</w:t>
      </w:r>
      <w:r>
        <w:t xml:space="preserve"> </w:t>
      </w:r>
      <w:r>
        <w:t xml:space="preserve">nouns. Drawn primarily from Rogers and Bell’s interview study of change</w:t>
      </w:r>
      <w:r>
        <w:t xml:space="preserve"> </w:t>
      </w:r>
      <w:r>
        <w:t xml:space="preserve">managers working in law, together with the structural features of partnership</w:t>
      </w:r>
      <w:r>
        <w:t xml:space="preserve"> </w:t>
      </w:r>
      <w:r>
        <w:t xml:space="preserve">practice.</w:t>
      </w:r>
    </w:p>
    <w:p>
      <w:pPr>
        <w:pStyle w:val="BodyText"/>
      </w:pPr>
      <w:r>
        <w:t xml:space="preserve">Index this document to the knowledge base.</w:t>
      </w:r>
    </w:p>
    <w:p>
      <w:pPr>
        <w:pStyle w:val="Heading2"/>
      </w:pPr>
      <w:bookmarkStart w:id="21" w:name="the-professional-services-problem"/>
      <w:r>
        <w:t xml:space="preserve">The professional-services problem</w:t>
      </w:r>
      <w:bookmarkEnd w:id="21"/>
    </w:p>
    <w:p>
      <w:pPr>
        <w:pStyle w:val="FirstParagraph"/>
      </w:pPr>
      <w:r>
        <w:t xml:space="preserve">Generic change models assume a hierarchy in which a decision, once made, is</w:t>
      </w:r>
      <w:r>
        <w:t xml:space="preserve"> </w:t>
      </w:r>
      <w:r>
        <w:t xml:space="preserve">implemented. A partnership is not that. The people who must change are also</w:t>
      </w:r>
      <w:r>
        <w:t xml:space="preserve"> </w:t>
      </w:r>
      <w:r>
        <w:t xml:space="preserve">the owners, the revenue producers and, in many cases, the individuals with the</w:t>
      </w:r>
      <w:r>
        <w:t xml:space="preserve"> </w:t>
      </w:r>
      <w:r>
        <w:t xml:space="preserve">authority to ignore the decision without consequence.</w:t>
      </w:r>
    </w:p>
    <w:p>
      <w:pPr>
        <w:pStyle w:val="BodyText"/>
      </w:pPr>
      <w:r>
        <w:t xml:space="preserve">Rogers and Bell’s change managers report the practical consequences.</w:t>
      </w:r>
    </w:p>
    <w:p>
      <w:pPr>
        <w:pStyle w:val="BodyText"/>
      </w:pPr>
      <w:r>
        <w:rPr>
          <w:b/>
        </w:rPr>
        <w:t xml:space="preserve">Lawyers require evidence.</w:t>
      </w:r>
      <w:r>
        <w:t xml:space="preserve"> </w:t>
      </w:r>
      <w:r>
        <w:t xml:space="preserve">Participants describe lawyers’ habitual</w:t>
      </w:r>
      <w:r>
        <w:t xml:space="preserve"> </w:t>
      </w:r>
      <w:r>
        <w:t xml:space="preserve">rationality and scepticism as the defining feature of the audience — that data</w:t>
      </w:r>
      <w:r>
        <w:t xml:space="preserve"> </w:t>
      </w:r>
      <w:r>
        <w:t xml:space="preserve">was needed, and that assertion does not move them. This cuts both ways. It</w:t>
      </w:r>
      <w:r>
        <w:t xml:space="preserve"> </w:t>
      </w:r>
      <w:r>
        <w:t xml:space="preserve">makes launch rhetoric useless, and it makes a well-evidenced case unusually</w:t>
      </w:r>
      <w:r>
        <w:t xml:space="preserve"> </w:t>
      </w:r>
      <w:r>
        <w:t xml:space="preserve">durable, because a convinced sceptic is the most credible advocate available:</w:t>
      </w:r>
      <w:r>
        <w:t xml:space="preserve"> </w:t>
      </w:r>
      <w:r>
        <w:t xml:space="preserve">everyone knows they were hard to convince.</w:t>
      </w:r>
    </w:p>
    <w:p>
      <w:pPr>
        <w:pStyle w:val="BodyText"/>
      </w:pPr>
      <w:r>
        <w:rPr>
          <w:b/>
        </w:rPr>
        <w:t xml:space="preserve">Autonomy is the operating assumption.</w:t>
      </w:r>
      <w:r>
        <w:t xml:space="preserve"> </w:t>
      </w:r>
      <w:r>
        <w:t xml:space="preserve">Professional autonomy is not a</w:t>
      </w:r>
      <w:r>
        <w:t xml:space="preserve"> </w:t>
      </w:r>
      <w:r>
        <w:t xml:space="preserve">cultural quirk; it is close to the definition of the role. Change presented as</w:t>
      </w:r>
      <w:r>
        <w:t xml:space="preserve"> </w:t>
      </w:r>
      <w:r>
        <w:t xml:space="preserve">a constraint on judgement will be resisted on grounds the profession considers</w:t>
      </w:r>
      <w:r>
        <w:t xml:space="preserve"> </w:t>
      </w:r>
      <w:r>
        <w:t xml:space="preserve">legitimate — and often correctly so.</w:t>
      </w:r>
    </w:p>
    <w:p>
      <w:pPr>
        <w:pStyle w:val="BodyText"/>
      </w:pPr>
      <w:r>
        <w:rPr>
          <w:b/>
        </w:rPr>
        <w:t xml:space="preserve">Time is the binding constraint.</w:t>
      </w:r>
      <w:r>
        <w:t xml:space="preserve"> </w:t>
      </w:r>
      <w:r>
        <w:t xml:space="preserve">Change work is unbillable. Every hour spent</w:t>
      </w:r>
      <w:r>
        <w:t xml:space="preserve"> </w:t>
      </w:r>
      <w:r>
        <w:t xml:space="preserve">on it is an hour that does not count towards the measure the person is assessed</w:t>
      </w:r>
      <w:r>
        <w:t xml:space="preserve"> </w:t>
      </w:r>
      <w:r>
        <w:t xml:space="preserve">on. This is not reluctance; it is arithmetic.</w:t>
      </w:r>
    </w:p>
    <w:p>
      <w:pPr>
        <w:pStyle w:val="BodyText"/>
      </w:pPr>
      <w:r>
        <w:rPr>
          <w:b/>
        </w:rPr>
        <w:t xml:space="preserve">Change managers occupy an ambiguous position.</w:t>
      </w:r>
      <w:r>
        <w:t xml:space="preserve"> </w:t>
      </w:r>
      <w:r>
        <w:t xml:space="preserve">They usually lack positional</w:t>
      </w:r>
      <w:r>
        <w:t xml:space="preserve"> </w:t>
      </w:r>
      <w:r>
        <w:t xml:space="preserve">power over the people they must influence, and are often classed as</w:t>
      </w:r>
      <w:r>
        <w:t xml:space="preserve"> </w:t>
      </w:r>
      <w:r>
        <w:t xml:space="preserve">“</w:t>
      </w:r>
      <w:r>
        <w:t xml:space="preserve">business</w:t>
      </w:r>
      <w:r>
        <w:t xml:space="preserve"> </w:t>
      </w:r>
      <w:r>
        <w:t xml:space="preserve">services</w:t>
      </w:r>
      <w:r>
        <w:t xml:space="preserve">”</w:t>
      </w:r>
      <w:r>
        <w:t xml:space="preserve"> </w:t>
      </w:r>
      <w:r>
        <w:t xml:space="preserve">rather than fee earners. Their effectiveness depends on borrowed</w:t>
      </w:r>
      <w:r>
        <w:t xml:space="preserve"> </w:t>
      </w:r>
      <w:r>
        <w:t xml:space="preserve">credibility, which is why the guiding coalition must contain lawyers and be led</w:t>
      </w:r>
      <w:r>
        <w:t xml:space="preserve"> </w:t>
      </w:r>
      <w:r>
        <w:t xml:space="preserve">by one.</w:t>
      </w:r>
    </w:p>
    <w:p>
      <w:pPr>
        <w:pStyle w:val="Heading2"/>
      </w:pPr>
      <w:bookmarkStart w:id="22" w:name="the-structural-barriers-named"/>
      <w:r>
        <w:t xml:space="preserve">The structural barriers, named</w:t>
      </w:r>
      <w:bookmarkEnd w:id="22"/>
    </w:p>
    <w:p>
      <w:pPr>
        <w:pStyle w:val="FirstParagraph"/>
      </w:pPr>
      <w:r>
        <w:t xml:space="preserve">Any change plan for a law firm should state which of these it is up against</w:t>
      </w:r>
      <w:r>
        <w:t xml:space="preserve"> </w:t>
      </w:r>
      <w:r>
        <w:t xml:space="preserve">and what it does about each. A plan that does not is relying on goodwill to</w:t>
      </w:r>
      <w:r>
        <w:t xml:space="preserve"> </w:t>
      </w:r>
      <w:r>
        <w:t xml:space="preserve">defeat an incentive system, which is a bet that has a known outcome.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Barrier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 to a change plan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Billable-hour targets</w:t>
            </w:r>
          </w:p>
        </w:tc>
        <w:tc>
          <w:p>
            <w:pPr>
              <w:pStyle w:val="Compact"/>
              <w:jc w:val="left"/>
            </w:pPr>
            <w:r>
              <w:t xml:space="preserve">Time spent changing is time not counted</w:t>
            </w:r>
          </w:p>
        </w:tc>
        <w:tc>
          <w:p>
            <w:pPr>
              <w:pStyle w:val="Compact"/>
              <w:jc w:val="left"/>
            </w:pPr>
            <w:r>
              <w:t xml:space="preserve">The pilot slips, permanently, and nobody refuses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Realisation and write-offs</w:t>
            </w:r>
          </w:p>
        </w:tc>
        <w:tc>
          <w:p>
            <w:pPr>
              <w:pStyle w:val="Compact"/>
              <w:jc w:val="left"/>
            </w:pPr>
            <w:r>
              <w:t xml:space="preserve">Efficiency can reduce recorded revenue on fixed-scope work</w:t>
            </w:r>
          </w:p>
        </w:tc>
        <w:tc>
          <w:p>
            <w:pPr>
              <w:pStyle w:val="Compact"/>
              <w:jc w:val="left"/>
            </w:pPr>
            <w:r>
              <w:t xml:space="preserve">The people best placed to improve delivery are penalised for doing 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Annual profit distribution</w:t>
            </w:r>
          </w:p>
        </w:tc>
        <w:tc>
          <w:p>
            <w:pPr>
              <w:pStyle w:val="Compact"/>
              <w:jc w:val="left"/>
            </w:pPr>
            <w:r>
              <w:t xml:space="preserve">The horizon for investment is one financial year</w:t>
            </w:r>
          </w:p>
        </w:tc>
        <w:tc>
          <w:p>
            <w:pPr>
              <w:pStyle w:val="Compact"/>
              <w:jc w:val="left"/>
            </w:pPr>
            <w:r>
              <w:t xml:space="preserve">Multi-year change competes against this year’s distribution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Lateral hiring and mobility</w:t>
            </w:r>
          </w:p>
        </w:tc>
        <w:tc>
          <w:p>
            <w:pPr>
              <w:pStyle w:val="Compact"/>
              <w:jc w:val="left"/>
            </w:pPr>
            <w:r>
              <w:t xml:space="preserve">Individual reputation is portable; firm process is not</w:t>
            </w:r>
          </w:p>
        </w:tc>
        <w:tc>
          <w:p>
            <w:pPr>
              <w:pStyle w:val="Compact"/>
              <w:jc w:val="left"/>
            </w:pPr>
            <w:r>
              <w:t xml:space="preserve">Investment in firm-specific ways of working has an uncertain payback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Precedent as a value</w:t>
            </w:r>
          </w:p>
        </w:tc>
        <w:tc>
          <w:p>
            <w:pPr>
              <w:pStyle w:val="Compact"/>
              <w:jc w:val="left"/>
            </w:pPr>
            <w:r>
              <w:t xml:space="preserve">Doing it the way it has always been done is a professional virtue in one domain, and gets applied to another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Innovation</w:t>
            </w:r>
            <w:r>
              <w:t xml:space="preserve">”</w:t>
            </w:r>
            <w:r>
              <w:t xml:space="preserve"> </w:t>
            </w:r>
            <w:r>
              <w:t xml:space="preserve">reads as</w:t>
            </w:r>
            <w:r>
              <w:t xml:space="preserve"> </w:t>
            </w:r>
            <w:r>
              <w:t xml:space="preserve">“</w:t>
            </w:r>
            <w:r>
              <w:t xml:space="preserve">untested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conservatism</w:t>
            </w:r>
          </w:p>
        </w:tc>
        <w:tc>
          <w:p>
            <w:pPr>
              <w:pStyle w:val="Compact"/>
              <w:jc w:val="left"/>
            </w:pPr>
            <w:r>
              <w:t xml:space="preserve">Clients ask about change, then buy on relationship and price</w:t>
            </w:r>
          </w:p>
        </w:tc>
        <w:tc>
          <w:p>
            <w:pPr>
              <w:pStyle w:val="Compact"/>
              <w:jc w:val="left"/>
            </w:pPr>
            <w:r>
              <w:t xml:space="preserve">Change is deprioritised at the exact moment it is most defensible</w:t>
            </w:r>
          </w:p>
        </w:tc>
      </w:tr>
    </w:tbl>
    <w:p>
      <w:pPr>
        <w:pStyle w:val="BodyText"/>
      </w:pPr>
      <w:r>
        <w:t xml:space="preserve">None of these are irrational. Each exists because it solved a real problem.</w:t>
      </w:r>
      <w:r>
        <w:t xml:space="preserve"> </w:t>
      </w:r>
      <w:r>
        <w:t xml:space="preserve">That is what makes them hard.</w:t>
      </w:r>
    </w:p>
    <w:p>
      <w:pPr>
        <w:pStyle w:val="Heading2"/>
      </w:pPr>
      <w:bookmarkStart w:id="23" w:name="what-the-change-managers-say-works"/>
      <w:r>
        <w:t xml:space="preserve">What the change managers say works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Start where the pain already is.</w:t>
      </w:r>
      <w:r>
        <w:t xml:space="preserve"> </w:t>
      </w:r>
      <w:r>
        <w:t xml:space="preserve">Adoption in the group that is currently</w:t>
      </w:r>
      <w:r>
        <w:t xml:space="preserve"> </w:t>
      </w:r>
      <w:r>
        <w:t xml:space="preserve">suffering is far cheaper than adoption in the group that is comfortable.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Make the first step small and reversible.</w:t>
      </w:r>
      <w:r>
        <w:t xml:space="preserve"> </w:t>
      </w:r>
      <w:r>
        <w:t xml:space="preserve">Sceptics will accept an</w:t>
      </w:r>
      <w:r>
        <w:t xml:space="preserve"> </w:t>
      </w:r>
      <w:r>
        <w:t xml:space="preserve">experiment they can stop; they will not accept a commitment.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Show, do not tell.</w:t>
      </w:r>
      <w:r>
        <w:t xml:space="preserve"> </w:t>
      </w:r>
      <w:r>
        <w:t xml:space="preserve">Evidence from a peer matter beats any presentation.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Get a lawyer to say it.</w:t>
      </w:r>
      <w:r>
        <w:t xml:space="preserve"> </w:t>
      </w:r>
      <w:r>
        <w:t xml:space="preserve">The same words from a fee earner and from a</w:t>
      </w:r>
      <w:r>
        <w:t xml:space="preserve"> </w:t>
      </w:r>
      <w:r>
        <w:t xml:space="preserve">business-services manager do not land the same way, and pretending otherwise</w:t>
      </w:r>
      <w:r>
        <w:t xml:space="preserve"> </w:t>
      </w:r>
      <w:r>
        <w:t xml:space="preserve">wastes the message.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 not fight the incentive system in public and lose.</w:t>
      </w:r>
      <w:r>
        <w:t xml:space="preserve"> </w:t>
      </w:r>
      <w:r>
        <w:t xml:space="preserve">Either get the</w:t>
      </w:r>
      <w:r>
        <w:t xml:space="preserve"> </w:t>
      </w:r>
      <w:r>
        <w:t xml:space="preserve">measure changed, or scope the change so it does not require people to act</w:t>
      </w:r>
      <w:r>
        <w:t xml:space="preserve"> </w:t>
      </w:r>
      <w:r>
        <w:t xml:space="preserve">against their own assessment. Both are legitimate. Ignoring the conflict is</w:t>
      </w:r>
      <w:r>
        <w:t xml:space="preserve"> </w:t>
      </w:r>
      <w:r>
        <w:t xml:space="preserve">not.</w:t>
      </w:r>
    </w:p>
    <w:p>
      <w:pPr>
        <w:pStyle w:val="Heading2"/>
      </w:pPr>
      <w:bookmarkStart w:id="24" w:name="X2e5dc94a819660d23a806dbb1d48fae20968f7f"/>
      <w:r>
        <w:t xml:space="preserve">What this means for the NexaCare exercise</w:t>
      </w:r>
      <w:bookmarkEnd w:id="24"/>
    </w:p>
    <w:p>
      <w:pPr>
        <w:pStyle w:val="FirstParagraph"/>
      </w:pPr>
      <w:r>
        <w:t xml:space="preserve">The change you are proposing this week — implementing the client</w:t>
      </w:r>
      <w:r>
        <w:t xml:space="preserve"> </w:t>
      </w:r>
      <w:r>
        <w:t xml:space="preserve">“</w:t>
      </w:r>
      <w:r>
        <w:t xml:space="preserve">happy path</w:t>
      </w:r>
      <w:r>
        <w:t xml:space="preserve">”</w:t>
      </w:r>
      <w:r>
        <w:t xml:space="preserve"> </w:t>
      </w:r>
      <w:r>
        <w:t xml:space="preserve">designed in Week 8 — asks fee earners to record time contemporaneously, to</w:t>
      </w:r>
      <w:r>
        <w:t xml:space="preserve"> </w:t>
      </w:r>
      <w:r>
        <w:t xml:space="preserve">update task status, and to follow a defined sequence of client touchpoints.</w:t>
      </w:r>
    </w:p>
    <w:p>
      <w:pPr>
        <w:pStyle w:val="BodyText"/>
      </w:pPr>
      <w:r>
        <w:t xml:space="preserve">Every one of those asks is small. Collectively they change what a lawyer’s</w:t>
      </w:r>
      <w:r>
        <w:t xml:space="preserve"> </w:t>
      </w:r>
      <w:r>
        <w:t xml:space="preserve">Tuesday looks like, they make individual performance visible in a way it</w:t>
      </w:r>
      <w:r>
        <w:t xml:space="preserve"> </w:t>
      </w:r>
      <w:r>
        <w:t xml:space="preserve">currently is not, and they cost time that is not billable. Treat the size of</w:t>
      </w:r>
      <w:r>
        <w:t xml:space="preserve"> </w:t>
      </w:r>
      <w:r>
        <w:t xml:space="preserve">the ask as</w:t>
      </w:r>
      <w:r>
        <w:t xml:space="preserve"> </w:t>
      </w:r>
      <w:r>
        <w:rPr>
          <w:i/>
        </w:rPr>
        <w:t xml:space="preserve">behavioural</w:t>
      </w:r>
      <w:r>
        <w:t xml:space="preserve">, not technical. The system change is trivial; the</w:t>
      </w:r>
      <w:r>
        <w:t xml:space="preserve"> </w:t>
      </w:r>
      <w:r>
        <w:t xml:space="preserve">behaviour change is not.</w:t>
      </w:r>
    </w:p>
    <w:p>
      <w:pPr>
        <w:pStyle w:val="BodyText"/>
      </w:pPr>
      <w:r>
        <w:t xml:space="preserve">The evidence that the current state is failing is already in the K&amp;S database.</w:t>
      </w:r>
      <w:r>
        <w:t xml:space="preserve"> </w:t>
      </w:r>
      <w:r>
        <w:t xml:space="preserve">Find it before you argue about 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2026-07-30T11:17:01Z</dcterms:created>
  <dcterms:modified xsi:type="dcterms:W3CDTF">2026-07-30T11:17:01Z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