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b4a49898eb0b82558a2a5b088349347f66b1c9"/>
      <w:r>
        <w:t xml:space="preserve">The Week-9 change brief — implementing the NexaCare happy path</w:t>
      </w:r>
      <w:bookmarkEnd w:id="20"/>
    </w:p>
    <w:p>
      <w:pPr>
        <w:pStyle w:val="FirstParagraph"/>
      </w:pPr>
      <w:r>
        <w:t xml:space="preserve">The scenario for this week’s group exercise. Read it before you start; it is</w:t>
      </w:r>
      <w:r>
        <w:t xml:space="preserve"> </w:t>
      </w:r>
      <w:r>
        <w:t xml:space="preserve">what your change plan is a plan</w:t>
      </w:r>
      <w:r>
        <w:t xml:space="preserve"> </w:t>
      </w:r>
      <w:r>
        <w:rPr>
          <w:i/>
        </w:rPr>
        <w:t xml:space="preserve">for</w:t>
      </w:r>
      <w:r>
        <w:t xml:space="preserve">.</w:t>
      </w:r>
    </w:p>
    <w:p>
      <w:pPr>
        <w:pStyle w:val="Heading2"/>
      </w:pPr>
      <w:bookmarkStart w:id="21" w:name="the-proposal"/>
      <w:r>
        <w:t xml:space="preserve">The proposal</w:t>
      </w:r>
      <w:bookmarkEnd w:id="21"/>
    </w:p>
    <w:p>
      <w:pPr>
        <w:pStyle w:val="FirstParagraph"/>
      </w:pPr>
      <w:r>
        <w:t xml:space="preserve">In Week 8 your group designed the client</w:t>
      </w:r>
      <w:r>
        <w:t xml:space="preserve"> </w:t>
      </w:r>
      <w:r>
        <w:t xml:space="preserve">“</w:t>
      </w:r>
      <w:r>
        <w:t xml:space="preserve">happy path</w:t>
      </w:r>
      <w:r>
        <w:t xml:space="preserve">”</w:t>
      </w:r>
      <w:r>
        <w:t xml:space="preserve"> </w:t>
      </w:r>
      <w:r>
        <w:t xml:space="preserve">for the NexaCare</w:t>
      </w:r>
      <w:r>
        <w:t xml:space="preserve"> </w:t>
      </w:r>
      <w:r>
        <w:t xml:space="preserve">engagement — the sequence of touchpoints, from first conference through to</w:t>
      </w:r>
      <w:r>
        <w:t xml:space="preserve"> </w:t>
      </w:r>
      <w:r>
        <w:t xml:space="preserve">after-matter review, that the client should experience.</w:t>
      </w:r>
    </w:p>
    <w:p>
      <w:pPr>
        <w:pStyle w:val="BodyText"/>
      </w:pPr>
      <w:r>
        <w:t xml:space="preserve">Kendry &amp; Slate’s managing partner has now agreed to implement it on the</w:t>
      </w:r>
      <w:r>
        <w:t xml:space="preserve"> </w:t>
      </w:r>
      <w:r>
        <w:t xml:space="preserve">NexaCare/Whitegum matter as a pilot, with a view to rolling it out across the</w:t>
      </w:r>
      <w:r>
        <w:t xml:space="preserve"> </w:t>
      </w:r>
      <w:r>
        <w:t xml:space="preserve">firm’s corporate matters if it works.</w:t>
      </w:r>
    </w:p>
    <w:p>
      <w:pPr>
        <w:pStyle w:val="BodyText"/>
      </w:pPr>
      <w:r>
        <w:t xml:space="preserve">Implementation requires four behavioural changes from the matter team: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Contemporaneous time recording</w:t>
      </w:r>
      <w:r>
        <w:t xml:space="preserve"> </w:t>
      </w:r>
      <w:r>
        <w:t xml:space="preserve">— time entered on the day it is worked,</w:t>
      </w:r>
      <w:r>
        <w:t xml:space="preserve"> </w:t>
      </w:r>
      <w:r>
        <w:t xml:space="preserve">rather than reconstructed later.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Task status maintained in the system</w:t>
      </w:r>
      <w:r>
        <w:t xml:space="preserve"> </w:t>
      </w:r>
      <w:r>
        <w:t xml:space="preserve">— the matter plan is the single</w:t>
      </w:r>
      <w:r>
        <w:t xml:space="preserve"> </w:t>
      </w:r>
      <w:r>
        <w:t xml:space="preserve">source of truth for progress, replacing personal spreadsheets and verbal</w:t>
      </w:r>
      <w:r>
        <w:t xml:space="preserve"> </w:t>
      </w:r>
      <w:r>
        <w:t xml:space="preserve">chasing.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Defined client touchpoints</w:t>
      </w:r>
      <w:r>
        <w:t xml:space="preserve"> </w:t>
      </w:r>
      <w:r>
        <w:t xml:space="preserve">— scheduled matter updates at agreed</w:t>
      </w:r>
      <w:r>
        <w:t xml:space="preserve"> </w:t>
      </w:r>
      <w:r>
        <w:t xml:space="preserve">intervals, in addition to whatever ad hoc contact happens.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visible matter plan</w:t>
      </w:r>
      <w:r>
        <w:t xml:space="preserve"> </w:t>
      </w:r>
      <w:r>
        <w:t xml:space="preserve">— everyone on the matter, including the</w:t>
      </w:r>
      <w:r>
        <w:t xml:space="preserve"> </w:t>
      </w:r>
      <w:r>
        <w:t xml:space="preserve">paralegal and the juniors, can see the full plan and their part in it.</w:t>
      </w:r>
    </w:p>
    <w:p>
      <w:pPr>
        <w:pStyle w:val="FirstParagraph"/>
      </w:pPr>
      <w:r>
        <w:t xml:space="preserve">No new software is required. Every one of these is possible in the system</w:t>
      </w:r>
      <w:r>
        <w:t xml:space="preserve"> </w:t>
      </w:r>
      <w:r>
        <w:t xml:space="preserve">today.</w:t>
      </w:r>
    </w:p>
    <w:p>
      <w:pPr>
        <w:pStyle w:val="Heading2"/>
      </w:pPr>
      <w:bookmarkStart w:id="22" w:name="the-constraints-you-are-working-within"/>
      <w:r>
        <w:t xml:space="preserve">The constraints you are working within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90 days.</w:t>
      </w:r>
      <w:r>
        <w:t xml:space="preserve"> </w:t>
      </w:r>
      <w:r>
        <w:t xml:space="preserve">The pilot must show something by the end of the quarter,</w:t>
      </w:r>
      <w:r>
        <w:t xml:space="preserve"> </w:t>
      </w:r>
      <w:r>
        <w:t xml:space="preserve">because that is when the partnership next reviews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change to billable targets</w:t>
      </w:r>
      <w:r>
        <w:t xml:space="preserve"> </w:t>
      </w:r>
      <w:r>
        <w:t xml:space="preserve">— unless your plan makes the case for one</w:t>
      </w:r>
      <w:r>
        <w:t xml:space="preserve"> </w:t>
      </w:r>
      <w:r>
        <w:t xml:space="preserve">and identifies who has the authority to grant it. Priya Iyer sits on the</w:t>
      </w:r>
      <w:r>
        <w:t xml:space="preserve"> </w:t>
      </w:r>
      <w:r>
        <w:t xml:space="preserve">remuneration committee.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client cannot be given work.</w:t>
      </w:r>
      <w:r>
        <w:t xml:space="preserve"> </w:t>
      </w:r>
      <w:r>
        <w:t xml:space="preserve">Anything requiring NexaCare to adopt</w:t>
      </w:r>
      <w:r>
        <w:t xml:space="preserve"> </w:t>
      </w:r>
      <w:r>
        <w:t xml:space="preserve">something must be identified and justified separately.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matter is live.</w:t>
      </w:r>
      <w:r>
        <w:t xml:space="preserve"> </w:t>
      </w:r>
      <w:r>
        <w:t xml:space="preserve">This is not a greenfield rollout; the acquisition</w:t>
      </w:r>
      <w:r>
        <w:t xml:space="preserve"> </w:t>
      </w:r>
      <w:r>
        <w:t xml:space="preserve">timetable does not pause for the change programme.</w:t>
      </w:r>
    </w:p>
    <w:p>
      <w:pPr>
        <w:pStyle w:val="Heading2"/>
      </w:pPr>
      <w:bookmarkStart w:id="23" w:name="what-you-are-asked-to-produce"/>
      <w:r>
        <w:t xml:space="preserve">What you are asked to produce</w:t>
      </w:r>
      <w:bookmarkEnd w:id="23"/>
    </w:p>
    <w:p>
      <w:pPr>
        <w:pStyle w:val="FirstParagraph"/>
      </w:pPr>
      <w:r>
        <w:t xml:space="preserve">A change management approach that would give this pilot a genuine chance of</w:t>
      </w:r>
      <w:r>
        <w:t xml:space="preserve"> </w:t>
      </w:r>
      <w:r>
        <w:t xml:space="preserve">working. The Week-9 workflows in Rose take you through it in sequence: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produces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Change urgency — the evidence</w:t>
            </w:r>
          </w:p>
        </w:tc>
        <w:tc>
          <w:p>
            <w:pPr>
              <w:pStyle w:val="Compact"/>
              <w:jc w:val="left"/>
            </w:pPr>
            <w:r>
              <w:t xml:space="preserve">The case for change, from the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Guiding coalition &amp; diffusion map</w:t>
            </w:r>
          </w:p>
        </w:tc>
        <w:tc>
          <w:p>
            <w:pPr>
              <w:pStyle w:val="Compact"/>
              <w:jc w:val="left"/>
            </w:pPr>
            <w:r>
              <w:t xml:space="preserve">Who leads and who you start with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Change vision on a page</w:t>
            </w:r>
          </w:p>
        </w:tc>
        <w:tc>
          <w:p>
            <w:pPr>
              <w:pStyle w:val="Compact"/>
              <w:jc w:val="left"/>
            </w:pPr>
            <w:r>
              <w:t xml:space="preserve">The five-minute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Communicate the vision — audience pack</w:t>
            </w:r>
          </w:p>
        </w:tc>
        <w:tc>
          <w:p>
            <w:pPr>
              <w:pStyle w:val="Compact"/>
              <w:jc w:val="left"/>
            </w:pPr>
            <w:r>
              <w:t xml:space="preserve">Message, messenger, channel, 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Change impact assessment (tabular)</w:t>
            </w:r>
          </w:p>
        </w:tc>
        <w:tc>
          <w:p>
            <w:pPr>
              <w:pStyle w:val="Compact"/>
              <w:jc w:val="left"/>
            </w:pPr>
            <w:r>
              <w:t xml:space="preserve">Per-persona impact grid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Resistance &amp; loss map</w:t>
            </w:r>
          </w:p>
        </w:tc>
        <w:tc>
          <w:p>
            <w:pPr>
              <w:pStyle w:val="Compact"/>
              <w:jc w:val="left"/>
            </w:pPr>
            <w:r>
              <w:t xml:space="preserve">What people lose, and your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Expectancy Theory motivation design</w:t>
            </w:r>
          </w:p>
        </w:tc>
        <w:tc>
          <w:p>
            <w:pPr>
              <w:pStyle w:val="Compact"/>
              <w:jc w:val="left"/>
            </w:pPr>
            <w:r>
              <w:t xml:space="preserve">Why anyone would actually do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Quick wins — 90 day plan</w:t>
            </w:r>
          </w:p>
        </w:tc>
        <w:tc>
          <w:p>
            <w:pPr>
              <w:pStyle w:val="Compact"/>
              <w:jc w:val="left"/>
            </w:pPr>
            <w:r>
              <w:t xml:space="preserve">Three engineered wins with baselines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Kotter readiness review</w:t>
            </w:r>
          </w:p>
        </w:tc>
        <w:tc>
          <w:p>
            <w:pPr>
              <w:pStyle w:val="Compact"/>
              <w:jc w:val="left"/>
            </w:pPr>
            <w:r>
              <w:t xml:space="preserve">Your own plan, hard-marked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Week 9 change pack</w:t>
            </w:r>
          </w:p>
        </w:tc>
        <w:tc>
          <w:p>
            <w:pPr>
              <w:pStyle w:val="Compact"/>
              <w:jc w:val="left"/>
            </w:pPr>
            <w:r>
              <w:t xml:space="preserve">The assembled, exported deliverable</w:t>
            </w:r>
          </w:p>
        </w:tc>
      </w:tr>
    </w:tbl>
    <w:p>
      <w:pPr>
        <w:pStyle w:val="BodyText"/>
      </w:pPr>
      <w:r>
        <w:t xml:space="preserve">The seven personas in the Library are the rows for workflow 5. Each is a</w:t>
      </w:r>
      <w:r>
        <w:t xml:space="preserve"> </w:t>
      </w:r>
      <w:r>
        <w:t xml:space="preserve">separate document so the tabular review can treat them as separate subjects.</w:t>
      </w:r>
    </w:p>
    <w:p>
      <w:pPr>
        <w:pStyle w:val="Heading2"/>
      </w:pPr>
      <w:bookmarkStart w:id="24" w:name="the-question-the-whole-week-turns-on"/>
      <w:r>
        <w:t xml:space="preserve">The question the whole week turns on</w:t>
      </w:r>
      <w:bookmarkEnd w:id="24"/>
    </w:p>
    <w:p>
      <w:pPr>
        <w:pStyle w:val="FirstParagraph"/>
      </w:pPr>
      <w:r>
        <w:t xml:space="preserve">Every one of the four changes above is individually trivial. Together they</w:t>
      </w:r>
      <w:r>
        <w:t xml:space="preserve"> </w:t>
      </w:r>
      <w:r>
        <w:t xml:space="preserve">change what a lawyer’s Tuesday looks like, they make individual working</w:t>
      </w:r>
      <w:r>
        <w:t xml:space="preserve"> </w:t>
      </w:r>
      <w:r>
        <w:t xml:space="preserve">patterns visible to the firm for the first time, and they cost time that is</w:t>
      </w:r>
      <w:r>
        <w:t xml:space="preserve"> </w:t>
      </w:r>
      <w:r>
        <w:t xml:space="preserve">not billable.</w:t>
      </w:r>
    </w:p>
    <w:p>
      <w:pPr>
        <w:pStyle w:val="BodyText"/>
      </w:pPr>
      <w:r>
        <w:t xml:space="preserve">So:</w:t>
      </w:r>
      <w:r>
        <w:t xml:space="preserve"> </w:t>
      </w:r>
      <w:r>
        <w:rPr>
          <w:b/>
        </w:rPr>
        <w:t xml:space="preserve">why would James Bentley do this?</w:t>
      </w:r>
    </w:p>
    <w:p>
      <w:pPr>
        <w:pStyle w:val="BodyText"/>
      </w:pPr>
      <w:r>
        <w:t xml:space="preserve">Not why should he. Why would he. A plan that can only answer the first</w:t>
      </w:r>
      <w:r>
        <w:t xml:space="preserve"> </w:t>
      </w:r>
      <w:r>
        <w:t xml:space="preserve">question is the plan Kotter is writing about.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