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24a7aa01956b40ced57a4f83a7fd08f21dde1b"/>
      <w:r>
        <w:t xml:space="preserve">Persona — James Bentley, Relationship Partner (NexaCare)</w:t>
      </w:r>
      <w:bookmarkEnd w:id="20"/>
    </w:p>
    <w:p>
      <w:pPr>
        <w:pStyle w:val="FirstParagraph"/>
      </w:pPr>
      <w:r>
        <w:rPr>
          <w:b/>
        </w:rPr>
        <w:t xml:space="preserve">Role:</w:t>
      </w:r>
      <w:r>
        <w:t xml:space="preserve"> </w:t>
      </w:r>
      <w:r>
        <w:t xml:space="preserve">Partner. Owns the NexaCare relationship; has acted for their General</w:t>
      </w:r>
      <w:r>
        <w:t xml:space="preserve"> </w:t>
      </w:r>
      <w:r>
        <w:t xml:space="preserve">Counsel personally since before she moved in-house. Charge-out $850/hr.</w:t>
      </w:r>
    </w:p>
    <w:p>
      <w:pPr>
        <w:pStyle w:val="BodyText"/>
      </w:pPr>
      <w:r>
        <w:rPr>
          <w:b/>
        </w:rPr>
        <w:t xml:space="preserve">Part in the change:</w:t>
      </w:r>
      <w:r>
        <w:t xml:space="preserve"> </w:t>
      </w:r>
      <w:r>
        <w:t xml:space="preserve">Sponsor by default. Nothing on this matter happens</w:t>
      </w:r>
      <w:r>
        <w:t xml:space="preserve"> </w:t>
      </w:r>
      <w:r>
        <w:t xml:space="preserve">against his stated preference, and nothing happens quickly without his</w:t>
      </w:r>
      <w:r>
        <w:t xml:space="preserve"> </w:t>
      </w:r>
      <w:r>
        <w:t xml:space="preserve">visible support.</w:t>
      </w:r>
    </w:p>
    <w:p>
      <w:pPr>
        <w:pStyle w:val="Heading2"/>
      </w:pPr>
      <w:bookmarkStart w:id="21" w:name="how-he-works-today"/>
      <w:r>
        <w:t xml:space="preserve">How he works today</w:t>
      </w:r>
      <w:bookmarkEnd w:id="21"/>
    </w:p>
    <w:p>
      <w:pPr>
        <w:pStyle w:val="FirstParagraph"/>
      </w:pPr>
      <w:r>
        <w:t xml:space="preserve">Reconstructs time in blocks at the end of the week, or at the end of the</w:t>
      </w:r>
      <w:r>
        <w:t xml:space="preserve"> </w:t>
      </w:r>
      <w:r>
        <w:t xml:space="preserve">month, from his calendar and sent items. Considers this normal and does not</w:t>
      </w:r>
      <w:r>
        <w:t xml:space="preserve"> </w:t>
      </w:r>
      <w:r>
        <w:t xml:space="preserve">regard it as a problem —</w:t>
      </w:r>
      <w:r>
        <w:t xml:space="preserve"> </w:t>
      </w:r>
      <w:r>
        <w:t xml:space="preserve">“</w:t>
      </w:r>
      <w:r>
        <w:t xml:space="preserve">the number comes out right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Runs the client relationship through direct calls. Matter updates go out when</w:t>
      </w:r>
      <w:r>
        <w:t xml:space="preserve"> </w:t>
      </w:r>
      <w:r>
        <w:t xml:space="preserve">he happens to speak to the GC, which is often, so from where he sits the</w:t>
      </w:r>
      <w:r>
        <w:t xml:space="preserve"> </w:t>
      </w:r>
      <w:r>
        <w:t xml:space="preserve">client is well served. Task status in the practice-management system is</w:t>
      </w:r>
      <w:r>
        <w:t xml:space="preserve"> </w:t>
      </w:r>
      <w:r>
        <w:t xml:space="preserve">something the team maintains; he has opened it three times.</w:t>
      </w:r>
    </w:p>
    <w:p>
      <w:pPr>
        <w:pStyle w:val="BodyText"/>
      </w:pPr>
      <w:r>
        <w:t xml:space="preserve">Delegates freely and trusts his team. Reviews drafts closely, process not at</w:t>
      </w:r>
      <w:r>
        <w:t xml:space="preserve"> </w:t>
      </w:r>
      <w:r>
        <w:t xml:space="preserve">all.</w:t>
      </w:r>
    </w:p>
    <w:p>
      <w:pPr>
        <w:pStyle w:val="Heading2"/>
      </w:pPr>
      <w:bookmarkStart w:id="22" w:name="what-he-says"/>
      <w:r>
        <w:t xml:space="preserve">What he says</w:t>
      </w:r>
      <w:bookmarkEnd w:id="22"/>
    </w:p>
    <w:p>
      <w:pPr>
        <w:pStyle w:val="BlockText"/>
      </w:pPr>
      <w:r>
        <w:t xml:space="preserve">“</w:t>
      </w:r>
      <w:r>
        <w:t xml:space="preserve">The client has never once complained about how we communicate. Show me the</w:t>
      </w:r>
      <w:r>
        <w:t xml:space="preserve"> </w:t>
      </w:r>
      <w:r>
        <w:t xml:space="preserve">complaint.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I’m not going to have my associates filling in forms while a deal is live.</w:t>
      </w:r>
      <w:r>
        <w:t xml:space="preserve"> </w:t>
      </w:r>
      <w:r>
        <w:t xml:space="preserve">We can tidy the record afterwards.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If it makes us faster, fine. But I’m not signing up to something that makes</w:t>
      </w:r>
      <w:r>
        <w:t xml:space="preserve"> </w:t>
      </w:r>
      <w:r>
        <w:t xml:space="preserve">me look like I’m being audited by my own firm.</w:t>
      </w:r>
      <w:r>
        <w:t xml:space="preserve">”</w:t>
      </w:r>
    </w:p>
    <w:p>
      <w:pPr>
        <w:pStyle w:val="Heading2"/>
      </w:pPr>
      <w:bookmarkStart w:id="23" w:name="what-matters-for-the-assessment"/>
      <w:r>
        <w:t xml:space="preserve">What matters for the assessment</w:t>
      </w:r>
      <w:bookmarkEnd w:id="23"/>
    </w:p>
    <w:p>
      <w:pPr>
        <w:pStyle w:val="FirstParagraph"/>
      </w:pPr>
      <w:r>
        <w:t xml:space="preserve">His resistance, if it comes, will not be to the tool. It will be to</w:t>
      </w:r>
      <w:r>
        <w:t xml:space="preserve"> </w:t>
      </w:r>
      <w:r>
        <w:t xml:space="preserve">visibility — a contemporaneous record makes his own working patterns legible</w:t>
      </w:r>
      <w:r>
        <w:t xml:space="preserve"> </w:t>
      </w:r>
      <w:r>
        <w:t xml:space="preserve">to the firm in a way they currently are not, and he is the person with the</w:t>
      </w:r>
      <w:r>
        <w:t xml:space="preserve"> </w:t>
      </w:r>
      <w:r>
        <w:t xml:space="preserve">most autonomy to lose.</w:t>
      </w:r>
    </w:p>
    <w:p>
      <w:pPr>
        <w:pStyle w:val="BodyText"/>
      </w:pPr>
      <w:r>
        <w:t xml:space="preserve">He is also the single highest-value convert available: a partner saying this</w:t>
      </w:r>
      <w:r>
        <w:t xml:space="preserve"> </w:t>
      </w:r>
      <w:r>
        <w:t xml:space="preserve">worked carries more weight with the other partners than any amount of</w:t>
      </w:r>
      <w:r>
        <w:t xml:space="preserve"> </w:t>
      </w:r>
      <w:r>
        <w:t xml:space="preserve">business-services advocacy.</w:t>
      </w:r>
    </w:p>
    <w:p>
      <w:pPr>
        <w:pStyle w:val="BodyText"/>
      </w:pPr>
      <w:r>
        <w:rPr>
          <w:b/>
        </w:rPr>
        <w:t xml:space="preserve">Check before you assess him.</w:t>
      </w:r>
      <w:r>
        <w:t xml:space="preserve"> </w:t>
      </w:r>
      <w:r>
        <w:t xml:space="preserve">Look at what the ledger says about how his</w:t>
      </w:r>
      <w:r>
        <w:t xml:space="preserve"> </w:t>
      </w:r>
      <w:r>
        <w:t xml:space="preserve">NexaCare time was recorded, and how much of it there is against what was</w:t>
      </w:r>
      <w:r>
        <w:t xml:space="preserve"> </w:t>
      </w:r>
      <w:r>
        <w:t xml:space="preserve">planned. Do not take his account of his own practice at face value, and do not</w:t>
      </w:r>
      <w:r>
        <w:t xml:space="preserve"> </w:t>
      </w:r>
      <w:r>
        <w:t xml:space="preserve">take the data at face value either — ask what a low figure could mean other</w:t>
      </w:r>
      <w:r>
        <w:t xml:space="preserve"> </w:t>
      </w:r>
      <w:r>
        <w:t xml:space="preserve">than the obvious.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2026-07-30T11:17:01Z</dcterms:created>
  <dcterms:modified xsi:type="dcterms:W3CDTF">2026-07-30T11:17:01Z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