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f59f8bf60fe6c0786c4392c02af3c3f581c4c0"/>
      <w:r>
        <w:t xml:space="preserve">Persona — Priya Iyer, Partner (not on NexaCare)</w:t>
      </w:r>
      <w:bookmarkEnd w:id="20"/>
    </w:p>
    <w:p>
      <w:pPr>
        <w:pStyle w:val="FirstParagraph"/>
      </w:pPr>
      <w:r>
        <w:rPr>
          <w:b/>
        </w:rPr>
        <w:t xml:space="preserve">Role:</w:t>
      </w:r>
      <w:r>
        <w:t xml:space="preserve"> </w:t>
      </w:r>
      <w:r>
        <w:t xml:space="preserve">Partner. Runs her own matters and her own team. Charge-out $850/hr.</w:t>
      </w:r>
      <w:r>
        <w:t xml:space="preserve"> </w:t>
      </w:r>
      <w:r>
        <w:t xml:space="preserve">Has no involvement in NexaCare and no obligation to care about it.</w:t>
      </w:r>
    </w:p>
    <w:p>
      <w:pPr>
        <w:pStyle w:val="BodyText"/>
      </w:pPr>
      <w:r>
        <w:rPr>
          <w:b/>
        </w:rPr>
        <w:t xml:space="preserve">Part in the change:</w:t>
      </w:r>
      <w:r>
        <w:t xml:space="preserve"> </w:t>
      </w:r>
      <w:r>
        <w:t xml:space="preserve">The audience. NexaCare is the pilot; she is who the</w:t>
      </w:r>
      <w:r>
        <w:t xml:space="preserve"> </w:t>
      </w:r>
      <w:r>
        <w:t xml:space="preserve">pilot is</w:t>
      </w:r>
      <w:r>
        <w:t xml:space="preserve"> </w:t>
      </w:r>
      <w:r>
        <w:rPr>
          <w:i/>
        </w:rPr>
        <w:t xml:space="preserve">for</w:t>
      </w:r>
      <w:r>
        <w:t xml:space="preserve">. A change that works on one matter and does not travel to her</w:t>
      </w:r>
      <w:r>
        <w:t xml:space="preserve"> </w:t>
      </w:r>
      <w:r>
        <w:t xml:space="preserve">practice is a project, not a transformation.</w:t>
      </w:r>
    </w:p>
    <w:p>
      <w:pPr>
        <w:pStyle w:val="Heading2"/>
      </w:pPr>
      <w:bookmarkStart w:id="21" w:name="how-she-works-today"/>
      <w:r>
        <w:t xml:space="preserve">How she works today</w:t>
      </w:r>
      <w:bookmarkEnd w:id="21"/>
    </w:p>
    <w:p>
      <w:pPr>
        <w:pStyle w:val="FirstParagraph"/>
      </w:pPr>
      <w:r>
        <w:t xml:space="preserve">Her matters run well by her own account and by the client’s. She has her own</w:t>
      </w:r>
      <w:r>
        <w:t xml:space="preserve"> </w:t>
      </w:r>
      <w:r>
        <w:t xml:space="preserve">way of doing things, developed over fifteen years, and she is measurably</w:t>
      </w:r>
      <w:r>
        <w:t xml:space="preserve"> </w:t>
      </w:r>
      <w:r>
        <w:t xml:space="preserve">successful with it.</w:t>
      </w:r>
    </w:p>
    <w:p>
      <w:pPr>
        <w:pStyle w:val="BodyText"/>
      </w:pPr>
      <w:r>
        <w:t xml:space="preserve">She sits on the remuneration committee.</w:t>
      </w:r>
    </w:p>
    <w:p>
      <w:pPr>
        <w:pStyle w:val="Heading2"/>
      </w:pPr>
      <w:bookmarkStart w:id="22" w:name="what-she-says"/>
      <w:r>
        <w:t xml:space="preserve">What she says</w:t>
      </w:r>
      <w:bookmarkEnd w:id="22"/>
    </w:p>
    <w:p>
      <w:pPr>
        <w:pStyle w:val="BlockText"/>
      </w:pPr>
      <w:r>
        <w:t xml:space="preserve">“</w:t>
      </w:r>
      <w:r>
        <w:t xml:space="preserve">Great. Show me it worked, on numbers I recognise, and I’ll think about it.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Every few years someone rolls out a system. I’ve stopped learning them</w:t>
      </w:r>
      <w:r>
        <w:t xml:space="preserve"> </w:t>
      </w:r>
      <w:r>
        <w:t xml:space="preserve">until I see who’s still using it in a year.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You want my team’s time for this. What comes off their targets?</w:t>
      </w:r>
      <w:r>
        <w:t xml:space="preserve">”</w:t>
      </w:r>
    </w:p>
    <w:p>
      <w:pPr>
        <w:pStyle w:val="Heading2"/>
      </w:pPr>
      <w:bookmarkStart w:id="23" w:name="what-matters-for-the-assessment"/>
      <w:r>
        <w:t xml:space="preserve">What matters for the assessment</w:t>
      </w:r>
      <w:bookmarkEnd w:id="23"/>
    </w:p>
    <w:p>
      <w:pPr>
        <w:pStyle w:val="FirstParagraph"/>
      </w:pPr>
      <w:r>
        <w:t xml:space="preserve">She is the early majority in Rogers’ terms, and she is behaving exactly as the</w:t>
      </w:r>
      <w:r>
        <w:t xml:space="preserve"> </w:t>
      </w:r>
      <w:r>
        <w:t xml:space="preserve">model predicts: she will not move on a launch, and she will move on evidence</w:t>
      </w:r>
      <w:r>
        <w:t xml:space="preserve"> </w:t>
      </w:r>
      <w:r>
        <w:t xml:space="preserve">from a peer. Note that she is asking for evidence, not refusing — treating her</w:t>
      </w:r>
      <w:r>
        <w:t xml:space="preserve"> </w:t>
      </w:r>
      <w:r>
        <w:t xml:space="preserve">as a blocker is the standard error.</w:t>
      </w:r>
    </w:p>
    <w:p>
      <w:pPr>
        <w:pStyle w:val="BodyText"/>
      </w:pPr>
      <w:r>
        <w:t xml:space="preserve">Her third question is the one most plans cannot answer, and she is on the</w:t>
      </w:r>
      <w:r>
        <w:t xml:space="preserve"> </w:t>
      </w:r>
      <w:r>
        <w:t xml:space="preserve">committee that could answer it. That makes her simultaneously the hardest</w:t>
      </w:r>
      <w:r>
        <w:t xml:space="preserve"> </w:t>
      </w:r>
      <w:r>
        <w:t xml:space="preserve">person to convince and the only one who can remove the structural barrier.</w:t>
      </w:r>
      <w:r>
        <w:t xml:space="preserve"> </w:t>
      </w:r>
      <w:r>
        <w:t xml:space="preserve">Recruiting her is therefore worth more than recruiting three enthusiasts.</w:t>
      </w:r>
    </w:p>
    <w:p>
      <w:pPr>
        <w:pStyle w:val="BodyText"/>
      </w:pPr>
      <w:r>
        <w:t xml:space="preserve">Her second quote is a precise description of Kotter’s error 7. She has watched</w:t>
      </w:r>
      <w:r>
        <w:t xml:space="preserve"> </w:t>
      </w:r>
      <w:r>
        <w:t xml:space="preserve">victory be declared before, and she is pricing that history into her response.</w:t>
      </w:r>
    </w:p>
    <w:p>
      <w:pPr>
        <w:pStyle w:val="BodyText"/>
      </w:pPr>
      <w:r>
        <w:rPr>
          <w:b/>
        </w:rPr>
        <w:t xml:space="preserve">Check before you assess her.</w:t>
      </w:r>
      <w:r>
        <w:t xml:space="preserve"> </w:t>
      </w:r>
      <w:r>
        <w:t xml:space="preserve">Look at whether the practice-management data</w:t>
      </w:r>
      <w:r>
        <w:t xml:space="preserve"> </w:t>
      </w:r>
      <w:r>
        <w:t xml:space="preserve">would let you make a like-for-like comparison between her matters and</w:t>
      </w:r>
      <w:r>
        <w:t xml:space="preserve"> </w:t>
      </w:r>
      <w:r>
        <w:t xml:space="preserve">NexaCare. If it would not, that is a finding about the measurement plan, not</w:t>
      </w:r>
      <w:r>
        <w:t xml:space="preserve"> </w:t>
      </w:r>
      <w:r>
        <w:t xml:space="preserve">about her.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2026-07-30T11:17:01Z</dcterms:created>
  <dcterms:modified xsi:type="dcterms:W3CDTF">2026-07-30T11:17:01Z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