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sona-general-counsel-nexacare-client"/>
      <w:r>
        <w:t xml:space="preserve">Persona — General Counsel, NexaCare (client)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In-house General Counsel at NexaCare. Instructs Kendry &amp; Slate on</w:t>
      </w:r>
      <w:r>
        <w:t xml:space="preserve"> </w:t>
      </w:r>
      <w:r>
        <w:t xml:space="preserve">the Whitegum acquisition. Long personal relationship with James Bentley.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Affected but not consulted, which is the point. Most</w:t>
      </w:r>
      <w:r>
        <w:t xml:space="preserve"> </w:t>
      </w:r>
      <w:r>
        <w:t xml:space="preserve">internal change plans treat the client as a beneficiary rather than a</w:t>
      </w:r>
      <w:r>
        <w:t xml:space="preserve"> </w:t>
      </w:r>
      <w:r>
        <w:t xml:space="preserve">stakeholder, and then discover the client had a view.</w:t>
      </w:r>
    </w:p>
    <w:p>
      <w:pPr>
        <w:pStyle w:val="Heading2"/>
      </w:pPr>
      <w:bookmarkStart w:id="21" w:name="how-she-works-today"/>
      <w:r>
        <w:t xml:space="preserve">How she works today</w:t>
      </w:r>
      <w:bookmarkEnd w:id="21"/>
    </w:p>
    <w:p>
      <w:pPr>
        <w:pStyle w:val="FirstParagraph"/>
      </w:pPr>
      <w:r>
        <w:t xml:space="preserve">Calls James when she wants to know something. Gets an answer immediately,</w:t>
      </w:r>
      <w:r>
        <w:t xml:space="preserve"> </w:t>
      </w:r>
      <w:r>
        <w:t xml:space="preserve">which is why she has never asked for a status report.</w:t>
      </w:r>
    </w:p>
    <w:p>
      <w:pPr>
        <w:pStyle w:val="BodyText"/>
      </w:pPr>
      <w:r>
        <w:t xml:space="preserve">Reports to a board that asks her for cost certainty. She cannot currently</w:t>
      </w:r>
      <w:r>
        <w:t xml:space="preserve"> </w:t>
      </w:r>
      <w:r>
        <w:t xml:space="preserve">answer</w:t>
      </w:r>
      <w:r>
        <w:t xml:space="preserve"> </w:t>
      </w:r>
      <w:r>
        <w:t xml:space="preserve">“</w:t>
      </w:r>
      <w:r>
        <w:t xml:space="preserve">how much has been incurred to date</w:t>
      </w:r>
      <w:r>
        <w:t xml:space="preserve">”</w:t>
      </w:r>
      <w:r>
        <w:t xml:space="preserve"> </w:t>
      </w:r>
      <w:r>
        <w:t xml:space="preserve">without asking, and asking feels</w:t>
      </w:r>
      <w:r>
        <w:t xml:space="preserve"> </w:t>
      </w:r>
      <w:r>
        <w:t xml:space="preserve">like checking up on a firm she trusts.</w:t>
      </w:r>
    </w:p>
    <w:p>
      <w:pPr>
        <w:pStyle w:val="BodyText"/>
      </w:pPr>
      <w:r>
        <w:t xml:space="preserve">Is under her own cost pressure. Has been asked internally why external legal</w:t>
      </w:r>
      <w:r>
        <w:t xml:space="preserve"> </w:t>
      </w:r>
      <w:r>
        <w:t xml:space="preserve">spend is not forecastable.</w:t>
      </w:r>
    </w:p>
    <w:p>
      <w:pPr>
        <w:pStyle w:val="Heading2"/>
      </w:pPr>
      <w:bookmarkStart w:id="22" w:name="what-she-says"/>
      <w:r>
        <w:t xml:space="preserve">What she says</w:t>
      </w:r>
      <w:bookmarkEnd w:id="22"/>
    </w:p>
    <w:p>
      <w:pPr>
        <w:pStyle w:val="BlockText"/>
      </w:pPr>
      <w:r>
        <w:t xml:space="preserve">“</w:t>
      </w:r>
      <w:r>
        <w:t xml:space="preserve">I don’t want a portal. I want James to pick up the phone.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What I actually need is to be able to tell my board a number before they</w:t>
      </w:r>
      <w:r>
        <w:t xml:space="preserve"> </w:t>
      </w:r>
      <w:r>
        <w:t xml:space="preserve">ask me for it.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If you’re changing how you work, don’t make it my project.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The first and second quotes are not in conflict, but they are frequently read</w:t>
      </w:r>
      <w:r>
        <w:t xml:space="preserve"> </w:t>
      </w:r>
      <w:r>
        <w:t xml:space="preserve">as if they were. She is rejecting a channel, not the information. A plan that</w:t>
      </w:r>
      <w:r>
        <w:t xml:space="preserve"> </w:t>
      </w:r>
      <w:r>
        <w:t xml:space="preserve">hears</w:t>
      </w:r>
      <w:r>
        <w:t xml:space="preserve"> </w:t>
      </w:r>
      <w:r>
        <w:t xml:space="preserve">“</w:t>
      </w:r>
      <w:r>
        <w:t xml:space="preserve">no portal</w:t>
      </w:r>
      <w:r>
        <w:t xml:space="preserve">”</w:t>
      </w:r>
      <w:r>
        <w:t xml:space="preserve"> </w:t>
      </w:r>
      <w:r>
        <w:t xml:space="preserve">and stops has confused the medium with the need.</w:t>
      </w:r>
    </w:p>
    <w:p>
      <w:pPr>
        <w:pStyle w:val="BodyText"/>
      </w:pPr>
      <w:r>
        <w:t xml:space="preserve">The third is a live risk in any change: the effort of the transition being</w:t>
      </w:r>
      <w:r>
        <w:t xml:space="preserve"> </w:t>
      </w:r>
      <w:r>
        <w:t xml:space="preserve">pushed onto the client under the language of collaboration. If your plan</w:t>
      </w:r>
      <w:r>
        <w:t xml:space="preserve"> </w:t>
      </w:r>
      <w:r>
        <w:t xml:space="preserve">requires her to adopt anything, say so explicitly and price it.</w:t>
      </w:r>
    </w:p>
    <w:p>
      <w:pPr>
        <w:pStyle w:val="BodyText"/>
      </w:pPr>
      <w:r>
        <w:t xml:space="preserve">There is also a scope question worth surfacing. Contemporaneous time recording</w:t>
      </w:r>
      <w:r>
        <w:t xml:space="preserve"> </w:t>
      </w:r>
      <w:r>
        <w:t xml:space="preserve">makes cost visible earlier, and earlier visibility of cost is not</w:t>
      </w:r>
      <w:r>
        <w:t xml:space="preserve"> </w:t>
      </w:r>
      <w:r>
        <w:t xml:space="preserve">unambiguously good news for a firm — it is a genuine trade-off between the</w:t>
      </w:r>
      <w:r>
        <w:t xml:space="preserve"> </w:t>
      </w:r>
      <w:r>
        <w:t xml:space="preserve">client’s interest and the firm’s, and pretending otherwise is the kind of</w:t>
      </w:r>
      <w:r>
        <w:t xml:space="preserve"> </w:t>
      </w:r>
      <w:r>
        <w:t xml:space="preserve">claim a sceptical reader will find.</w:t>
      </w:r>
    </w:p>
    <w:p>
      <w:pPr>
        <w:pStyle w:val="BodyText"/>
      </w:pPr>
      <w:r>
        <w:rPr>
          <w:b/>
        </w:rPr>
        <w:t xml:space="preserve">Check before you assess her.</w:t>
      </w:r>
      <w:r>
        <w:t xml:space="preserve"> </w:t>
      </w:r>
      <w:r>
        <w:t xml:space="preserve">Look at what the matter record would let the</w:t>
      </w:r>
      <w:r>
        <w:t xml:space="preserve"> </w:t>
      </w:r>
      <w:r>
        <w:t xml:space="preserve">firm tell her today about incurred cost and progress, and how current that</w:t>
      </w:r>
      <w:r>
        <w:t xml:space="preserve"> </w:t>
      </w:r>
      <w:r>
        <w:t xml:space="preserve">answer would be.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