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ca9e67aaa53cf06e17717a7b484ad7450c037a8"/>
      <w:r>
        <w:t xml:space="preserve">Persona — Practice Manager (business services)</w:t>
      </w:r>
      <w:bookmarkEnd w:id="20"/>
    </w:p>
    <w:p>
      <w:pPr>
        <w:pStyle w:val="FirstParagraph"/>
      </w:pPr>
      <w:r>
        <w:rPr>
          <w:b/>
        </w:rPr>
        <w:t xml:space="preserve">Role:</w:t>
      </w:r>
      <w:r>
        <w:t xml:space="preserve"> </w:t>
      </w:r>
      <w:r>
        <w:t xml:space="preserve">Practice manager. Not a fee earner. Owns the practice-management</w:t>
      </w:r>
      <w:r>
        <w:t xml:space="preserve"> </w:t>
      </w:r>
      <w:r>
        <w:t xml:space="preserve">system, the reporting pack and, by default, this change.</w:t>
      </w:r>
    </w:p>
    <w:p>
      <w:pPr>
        <w:pStyle w:val="BodyText"/>
      </w:pPr>
      <w:r>
        <w:rPr>
          <w:b/>
        </w:rPr>
        <w:t xml:space="preserve">Part in the change:</w:t>
      </w:r>
      <w:r>
        <w:t xml:space="preserve"> </w:t>
      </w:r>
      <w:r>
        <w:t xml:space="preserve">The change manager, in Rogers and Bell’s sense — the</w:t>
      </w:r>
      <w:r>
        <w:t xml:space="preserve"> </w:t>
      </w:r>
      <w:r>
        <w:t xml:space="preserve">person responsible for the outcome and possessing no authority over anyone who</w:t>
      </w:r>
      <w:r>
        <w:t xml:space="preserve"> </w:t>
      </w:r>
      <w:r>
        <w:t xml:space="preserve">must produce it.</w:t>
      </w:r>
    </w:p>
    <w:p>
      <w:pPr>
        <w:pStyle w:val="Heading2"/>
      </w:pPr>
      <w:bookmarkStart w:id="21" w:name="how-they-work-today"/>
      <w:r>
        <w:t xml:space="preserve">How they work today</w:t>
      </w:r>
      <w:bookmarkEnd w:id="21"/>
    </w:p>
    <w:p>
      <w:pPr>
        <w:pStyle w:val="FirstParagraph"/>
      </w:pPr>
      <w:r>
        <w:t xml:space="preserve">Produces the monthly matter report from data they know to be reconstructed</w:t>
      </w:r>
      <w:r>
        <w:t xml:space="preserve"> </w:t>
      </w:r>
      <w:r>
        <w:t xml:space="preserve">after the fact, and presents it to a partnership that treats it as accurate.</w:t>
      </w:r>
      <w:r>
        <w:t xml:space="preserve"> </w:t>
      </w:r>
      <w:r>
        <w:t xml:space="preserve">Has raised this twice.</w:t>
      </w:r>
    </w:p>
    <w:p>
      <w:pPr>
        <w:pStyle w:val="BodyText"/>
      </w:pPr>
      <w:r>
        <w:t xml:space="preserve">Chases compliance by email. Has learned which partners respond and which do</w:t>
      </w:r>
      <w:r>
        <w:t xml:space="preserve"> </w:t>
      </w:r>
      <w:r>
        <w:t xml:space="preserve">not, and has adjusted the reporting accordingly, which means the report now</w:t>
      </w:r>
      <w:r>
        <w:t xml:space="preserve"> </w:t>
      </w:r>
      <w:r>
        <w:t xml:space="preserve">quietly reflects the politics rather than the practice.</w:t>
      </w:r>
    </w:p>
    <w:p>
      <w:pPr>
        <w:pStyle w:val="BodyText"/>
      </w:pPr>
      <w:r>
        <w:t xml:space="preserve">Is classed as an overhead in the firm’s own accounts.</w:t>
      </w:r>
    </w:p>
    <w:p>
      <w:pPr>
        <w:pStyle w:val="Heading2"/>
      </w:pPr>
      <w:bookmarkStart w:id="22" w:name="what-they-say"/>
      <w:r>
        <w:t xml:space="preserve">What they say</w:t>
      </w:r>
      <w:bookmarkEnd w:id="22"/>
    </w:p>
    <w:p>
      <w:pPr>
        <w:pStyle w:val="BlockText"/>
      </w:pPr>
      <w:r>
        <w:t xml:space="preserve">“</w:t>
      </w:r>
      <w:r>
        <w:t xml:space="preserve">I can tell you what the system says. I can’t tell you it’s true.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I’ve done the training. Twice. People turn up, and then the matter gets</w:t>
      </w:r>
      <w:r>
        <w:t xml:space="preserve"> </w:t>
      </w:r>
      <w:r>
        <w:t xml:space="preserve">busy.</w:t>
      </w:r>
      <w:r>
        <w:t xml:space="preserve">”</w:t>
      </w:r>
    </w:p>
    <w:p>
      <w:pPr>
        <w:pStyle w:val="BlockText"/>
      </w:pPr>
      <w:r>
        <w:t xml:space="preserve">“</w:t>
      </w:r>
      <w:r>
        <w:t xml:space="preserve">When I ask, it’s an administrative request. When a partner asks, it’s a</w:t>
      </w:r>
      <w:r>
        <w:t xml:space="preserve"> </w:t>
      </w:r>
      <w:r>
        <w:t xml:space="preserve">priority. Same request.</w:t>
      </w:r>
      <w:r>
        <w:t xml:space="preserve">”</w:t>
      </w:r>
    </w:p>
    <w:p>
      <w:pPr>
        <w:pStyle w:val="Heading2"/>
      </w:pPr>
      <w:bookmarkStart w:id="23" w:name="what-matters-for-the-assessment"/>
      <w:r>
        <w:t xml:space="preserve">What matters for the assessment</w:t>
      </w:r>
      <w:bookmarkEnd w:id="23"/>
    </w:p>
    <w:p>
      <w:pPr>
        <w:pStyle w:val="FirstParagraph"/>
      </w:pPr>
      <w:r>
        <w:t xml:space="preserve">The third quote is the structural finding from the reading, stated by the</w:t>
      </w:r>
      <w:r>
        <w:t xml:space="preserve"> </w:t>
      </w:r>
      <w:r>
        <w:t xml:space="preserve">person experiencing it: credibility here is borrowed, not held. Any plan that</w:t>
      </w:r>
      <w:r>
        <w:t xml:space="preserve"> </w:t>
      </w:r>
      <w:r>
        <w:t xml:space="preserve">leaves this person as the visible owner of the change is relying on a source</w:t>
      </w:r>
      <w:r>
        <w:t xml:space="preserve"> </w:t>
      </w:r>
      <w:r>
        <w:t xml:space="preserve">the target audience does not weight — which is a trust problem, not an effort</w:t>
      </w:r>
      <w:r>
        <w:t xml:space="preserve"> </w:t>
      </w:r>
      <w:r>
        <w:t xml:space="preserve">problem.</w:t>
      </w:r>
    </w:p>
    <w:p>
      <w:pPr>
        <w:pStyle w:val="BodyText"/>
      </w:pPr>
      <w:r>
        <w:t xml:space="preserve">The second quote should stop you reusing training as the intervention. Two</w:t>
      </w:r>
      <w:r>
        <w:t xml:space="preserve"> </w:t>
      </w:r>
      <w:r>
        <w:t xml:space="preserve">rounds have already failed; a third with better slides is not a plan, it is a</w:t>
      </w:r>
      <w:r>
        <w:t xml:space="preserve"> </w:t>
      </w:r>
      <w:r>
        <w:t xml:space="preserve">repetition. Ask which ADKAR element is actually missing, because it is</w:t>
      </w:r>
      <w:r>
        <w:t xml:space="preserve"> </w:t>
      </w:r>
      <w:r>
        <w:t xml:space="preserve">evidently not Knowledge.</w:t>
      </w:r>
    </w:p>
    <w:p>
      <w:pPr>
        <w:pStyle w:val="BodyText"/>
      </w:pPr>
      <w:r>
        <w:t xml:space="preserve">They are also your best-informed ally on current state, and the person who</w:t>
      </w:r>
      <w:r>
        <w:t xml:space="preserve"> </w:t>
      </w:r>
      <w:r>
        <w:t xml:space="preserve">will still be here when the enthusiasm has moved on — which is the anchoring</w:t>
      </w:r>
      <w:r>
        <w:t xml:space="preserve"> </w:t>
      </w:r>
      <w:r>
        <w:t xml:space="preserve">question in Kotter’s eighth error.</w:t>
      </w:r>
    </w:p>
    <w:p>
      <w:pPr>
        <w:pStyle w:val="BodyText"/>
      </w:pPr>
      <w:r>
        <w:rPr>
          <w:b/>
        </w:rPr>
        <w:t xml:space="preserve">Check before you assess them.</w:t>
      </w:r>
      <w:r>
        <w:t xml:space="preserve"> </w:t>
      </w:r>
      <w:r>
        <w:t xml:space="preserve">Look at the composition of the time ledger</w:t>
      </w:r>
      <w:r>
        <w:t xml:space="preserve"> </w:t>
      </w:r>
      <w:r>
        <w:t xml:space="preserve">by source. What proportion of the firm’s recorded time was entered as it</w:t>
      </w:r>
      <w:r>
        <w:t xml:space="preserve"> </w:t>
      </w:r>
      <w:r>
        <w:t xml:space="preserve">happened, and what proportion was reconstructed or adjusted later? That single</w:t>
      </w:r>
      <w:r>
        <w:t xml:space="preserve"> </w:t>
      </w:r>
      <w:r>
        <w:t xml:space="preserve">ratio is the strongest available statement of whether the current process is</w:t>
      </w:r>
      <w:r>
        <w:t xml:space="preserve"> </w:t>
      </w:r>
      <w:r>
        <w:t xml:space="preserve">working.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2026-07-30T11:17:02Z</dcterms:created>
  <dcterms:modified xsi:type="dcterms:W3CDTF">2026-07-30T11:17:02Z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