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f922b6475deda79fdf6add4cf81576c1679699"/>
      <w:r>
        <w:t xml:space="preserve">Kendry &amp; Slate — client feedback, NPS verbatims (W8)</w:t>
      </w:r>
      <w:bookmarkEnd w:id="20"/>
    </w:p>
    <w:p>
      <w:pPr>
        <w:pStyle w:val="FirstParagraph"/>
      </w:pPr>
      <w:r>
        <w:t xml:space="preserve">Feedback collected across seven matters in the six months to June 2026.</w:t>
      </w:r>
      <w:r>
        <w:t xml:space="preserve"> </w:t>
      </w:r>
      <w:r>
        <w:t xml:space="preserve">Question asked: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likely are you to retain and recommend Kendry &amp; Slate?</w:t>
      </w:r>
      <w:r>
        <w:rPr>
          <w:i/>
        </w:rPr>
        <w:t xml:space="preserve">”</w:t>
      </w:r>
      <w:r>
        <w:t xml:space="preserve"> </w:t>
      </w:r>
      <w:r>
        <w:t xml:space="preserve">(0–10), followed by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What is the main reason for your score?</w:t>
      </w:r>
      <w:r>
        <w:rPr>
          <w:i/>
        </w:rPr>
        <w:t xml:space="preserve">”</w:t>
      </w:r>
    </w:p>
    <w:p>
      <w:pPr>
        <w:pStyle w:val="BodyText"/>
      </w:pPr>
      <w:r>
        <w:t xml:space="preserve">Teaching set for LAWS3850 Week 8. Fictional.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Client contact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Matter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Verbatim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Dr Alexandra Keller</w:t>
            </w:r>
          </w:p>
        </w:tc>
        <w:tc>
          <w:p>
            <w:pPr>
              <w:pStyle w:val="Compact"/>
              <w:jc w:val="left"/>
            </w:pPr>
            <w:r>
              <w:t xml:space="preserve">CEO, NexaCare Health</w:t>
            </w:r>
          </w:p>
        </w:tc>
        <w:tc>
          <w:p>
            <w:pPr>
              <w:pStyle w:val="Compact"/>
              <w:jc w:val="left"/>
            </w:pPr>
            <w:r>
              <w:t xml:space="preserve">M&amp;A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legal work is excellent and I have never doubted that. What I cannot get is a straight answer about where we are without asking for it. I should not have to chase my own transaction.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Jonathan Wu</w:t>
            </w:r>
          </w:p>
        </w:tc>
        <w:tc>
          <w:p>
            <w:pPr>
              <w:pStyle w:val="Compact"/>
              <w:jc w:val="left"/>
            </w:pPr>
            <w:r>
              <w:t xml:space="preserve">General Counsel, NexaCare Health</w:t>
            </w:r>
          </w:p>
        </w:tc>
        <w:tc>
          <w:p>
            <w:pPr>
              <w:pStyle w:val="Compact"/>
              <w:jc w:val="left"/>
            </w:pPr>
            <w:r>
              <w:t xml:space="preserve">M&amp;A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Technically strong. But I found out about a three-week slip in a status meeting, not from the team. I had already told my board the original date.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Daniel Okoye</w:t>
            </w:r>
          </w:p>
        </w:tc>
        <w:tc>
          <w:p>
            <w:pPr>
              <w:pStyle w:val="Compact"/>
              <w:jc w:val="left"/>
            </w:pPr>
            <w:r>
              <w:t xml:space="preserve">CIO, NexaCare Health</w:t>
            </w:r>
          </w:p>
        </w:tc>
        <w:tc>
          <w:p>
            <w:pPr>
              <w:pStyle w:val="Compact"/>
              <w:jc w:val="left"/>
            </w:pPr>
            <w:r>
              <w:t xml:space="preserve">M&amp;A / TSA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Nobody on the legal side seemed to understand that if the TSA lapses before migration completes, clinical systems stop. I raised it three times and got a contract answer to an operational question.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Isabel Moreno</w:t>
            </w:r>
          </w:p>
        </w:tc>
        <w:tc>
          <w:p>
            <w:pPr>
              <w:pStyle w:val="Compact"/>
              <w:jc w:val="left"/>
            </w:pPr>
            <w:r>
              <w:t xml:space="preserve">Head of Corporate Development</w:t>
            </w:r>
          </w:p>
        </w:tc>
        <w:tc>
          <w:p>
            <w:pPr>
              <w:pStyle w:val="Compact"/>
              <w:jc w:val="left"/>
            </w:pPr>
            <w:r>
              <w:t xml:space="preserve">M&amp;A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David is outstanding. He tells me what he does not know, which almost nobody does. When he says a date, it happens.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p>
            <w:pPr>
              <w:pStyle w:val="Compact"/>
              <w:jc w:val="left"/>
            </w:pPr>
            <w:r>
              <w:t xml:space="preserve">CFO, Meridian Property Group</w:t>
            </w:r>
          </w:p>
        </w:tc>
        <w:tc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final bill was 40% above the estimate. Every individual charge was probably justified. That is not the point — I budgeted on the number they gave me.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Sarah Lindqvist</w:t>
            </w:r>
          </w:p>
        </w:tc>
        <w:tc>
          <w:p>
            <w:pPr>
              <w:pStyle w:val="Compact"/>
              <w:jc w:val="left"/>
            </w:pPr>
            <w:r>
              <w:t xml:space="preserve">GC, Global Logistics Ltd</w:t>
            </w:r>
          </w:p>
        </w:tc>
        <w:tc>
          <w:p>
            <w:pPr>
              <w:pStyle w:val="Compact"/>
              <w:jc w:val="left"/>
            </w:pPr>
            <w:r>
              <w:t xml:space="preserve">Cross-border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 outcome, and they worked hard for it. The junior who did most of the work seemed permanently stretched. I felt slightly guilty about it, which is an odd way to feel about a supplier.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Anthony Nakamura</w:t>
            </w:r>
          </w:p>
        </w:tc>
        <w:tc>
          <w:p>
            <w:pPr>
              <w:pStyle w:val="Compact"/>
              <w:jc w:val="left"/>
            </w:pPr>
            <w:r>
              <w:t xml:space="preserve">Company Secretary, Australian Mining Corp</w:t>
            </w:r>
          </w:p>
        </w:tc>
        <w:tc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Four different lawyers asked me for the same corporate structure chart over six weeks. Do they not talk to each other? It is my time being wasted.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Priya Raghavan</w:t>
            </w:r>
          </w:p>
        </w:tc>
        <w:tc>
          <w:p>
            <w:pPr>
              <w:pStyle w:val="Compact"/>
              <w:jc w:val="left"/>
            </w:pPr>
            <w:r>
              <w:t xml:space="preserve">Director, TechFlow Solutions</w:t>
            </w:r>
          </w:p>
        </w:tc>
        <w:tc>
          <w:p>
            <w:pPr>
              <w:pStyle w:val="Compact"/>
              <w:jc w:val="left"/>
            </w:pPr>
            <w:r>
              <w:t xml:space="preserve">Employment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Quick and commercial. Would use again. Onboarding was painful — the engagement letter took eleven days and four rounds.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p>
            <w:pPr>
              <w:pStyle w:val="Compact"/>
              <w:jc w:val="left"/>
            </w:pPr>
            <w:r>
              <w:t xml:space="preserve">CFO, Meridian Property Group</w:t>
            </w:r>
          </w:p>
        </w:tc>
        <w:tc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Second matter. Better than the first, and they clearly listened. Still had to ask twice for a costs update.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Dr Alexandra Keller</w:t>
            </w:r>
          </w:p>
        </w:tc>
        <w:tc>
          <w:p>
            <w:pPr>
              <w:pStyle w:val="Compact"/>
              <w:jc w:val="left"/>
            </w:pPr>
            <w:r>
              <w:t xml:space="preserve">CEO, NexaCare Health</w:t>
            </w:r>
          </w:p>
        </w:tc>
        <w:tc>
          <w:p>
            <w:pPr>
              <w:pStyle w:val="Compact"/>
              <w:jc w:val="left"/>
            </w:pPr>
            <w:r>
              <w:t xml:space="preserve">Advisory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James personally called me the day the ACCC issue emerged, before I had seen it anywhere. That is exactly what I pay for.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Helena Vos</w:t>
            </w:r>
          </w:p>
        </w:tc>
        <w:tc>
          <w:p>
            <w:pPr>
              <w:pStyle w:val="Compact"/>
              <w:jc w:val="left"/>
            </w:pPr>
            <w:r>
              <w:t xml:space="preserve">GC, Harbourside Developments</w:t>
            </w:r>
          </w:p>
        </w:tc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were told the matter was on track for a month. It was not on track for a month. I do not know whether that was incompetence or something worse, and I am not inclined to find out.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Tomas Egeland</w:t>
            </w:r>
          </w:p>
        </w:tc>
        <w:tc>
          <w:p>
            <w:pPr>
              <w:pStyle w:val="Compact"/>
              <w:jc w:val="left"/>
            </w:pPr>
            <w:r>
              <w:t xml:space="preserve">CEO, Harbourside Developments</w:t>
            </w:r>
          </w:p>
        </w:tc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Fixed it in the end. The recovery was handled well — better than the original problem was handled.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Sarah Lindqvist</w:t>
            </w:r>
          </w:p>
        </w:tc>
        <w:tc>
          <w:p>
            <w:pPr>
              <w:pStyle w:val="Compact"/>
              <w:jc w:val="left"/>
            </w:pPr>
            <w:r>
              <w:t xml:space="preserve">GC, Global Logistics Ltd</w:t>
            </w:r>
          </w:p>
        </w:tc>
        <w:tc>
          <w:p>
            <w:pPr>
              <w:pStyle w:val="Compact"/>
              <w:jc w:val="left"/>
            </w:pPr>
            <w:r>
              <w:t xml:space="preserve">Cross-border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Responsive. The weekly report they started sending after I complained is genuinely useful. Why was that not the default?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Anthony Nakamura</w:t>
            </w:r>
          </w:p>
        </w:tc>
        <w:tc>
          <w:p>
            <w:pPr>
              <w:pStyle w:val="Compact"/>
              <w:jc w:val="left"/>
            </w:pPr>
            <w:r>
              <w:t xml:space="preserve">Company Secretary, Australian Mining Corp</w:t>
            </w:r>
          </w:p>
        </w:tc>
        <w:tc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Improved considerably. Single point of contact made all the difference.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Isabel Moreno</w:t>
            </w:r>
          </w:p>
        </w:tc>
        <w:tc>
          <w:p>
            <w:pPr>
              <w:pStyle w:val="Compact"/>
              <w:jc w:val="left"/>
            </w:pPr>
            <w:r>
              <w:t xml:space="preserve">Head of Corporate Development</w:t>
            </w:r>
          </w:p>
        </w:tc>
        <w:tc>
          <w:p>
            <w:pPr>
              <w:pStyle w:val="Compact"/>
              <w:jc w:val="left"/>
            </w:pPr>
            <w:r>
              <w:t xml:space="preserve">M&amp;A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They told me a piece of work was not worth doing and took it out of scope. Cost them money. Bought a lot of trust.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Daniel Okoye</w:t>
            </w:r>
          </w:p>
        </w:tc>
        <w:tc>
          <w:p>
            <w:pPr>
              <w:pStyle w:val="Compact"/>
              <w:jc w:val="left"/>
            </w:pPr>
            <w:r>
              <w:t xml:space="preserve">CIO, NexaCare Health</w:t>
            </w:r>
          </w:p>
        </w:tc>
        <w:tc>
          <w:p>
            <w:pPr>
              <w:pStyle w:val="Compact"/>
              <w:jc w:val="left"/>
            </w:pPr>
            <w:r>
              <w:t xml:space="preserve">M&amp;A / TSA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am a technical stakeholder on a legal matter and there is clearly no process for someone like me. I get copied on documents I cannot use and excluded from decisions I understand better than anyone.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Jonathan Wu</w:t>
            </w:r>
          </w:p>
        </w:tc>
        <w:tc>
          <w:p>
            <w:pPr>
              <w:pStyle w:val="Compact"/>
              <w:jc w:val="left"/>
            </w:pPr>
            <w:r>
              <w:t xml:space="preserve">General Counsel, NexaCare Health</w:t>
            </w:r>
          </w:p>
        </w:tc>
        <w:tc>
          <w:p>
            <w:pPr>
              <w:pStyle w:val="Compact"/>
              <w:jc w:val="left"/>
            </w:pPr>
            <w:r>
              <w:t xml:space="preserve">M&amp;A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Improving. The costs conversation this quarter happened before the invoice rather than after it, which is new.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p>
            <w:pPr>
              <w:pStyle w:val="Compact"/>
              <w:jc w:val="left"/>
            </w:pPr>
            <w:r>
              <w:t xml:space="preserve">CFO, Meridian Property Group</w:t>
            </w:r>
          </w:p>
        </w:tc>
        <w:tc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would like to give them an 8. I cannot, because I still cannot predict what a matter will cost when I instruct it.</w:t>
            </w:r>
            <w:r>
              <w:t xml:space="preserve">”</w:t>
            </w:r>
          </w:p>
        </w:tc>
      </w:tr>
    </w:tbl>
    <w:p>
      <w:pPr>
        <w:pStyle w:val="Heading2"/>
      </w:pPr>
      <w:bookmarkStart w:id="21" w:name="notes-for-the-exercise"/>
      <w:r>
        <w:t xml:space="preserve">Notes for the exercise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Three contacts appear more than once at different points in time. Whether</w:t>
      </w:r>
      <w:r>
        <w:t xml:space="preserve"> </w:t>
      </w:r>
      <w:r>
        <w:t xml:space="preserve">their scores are moving, and why, is more informative than the aggregate.</w:t>
      </w:r>
    </w:p>
    <w:p>
      <w:pPr>
        <w:numPr>
          <w:ilvl w:val="0"/>
          <w:numId w:val="1001"/>
        </w:numPr>
        <w:pStyle w:val="Compact"/>
      </w:pPr>
      <w:r>
        <w:t xml:space="preserve">The set is deliberately small. Part of the exercise is deciding what a</w:t>
      </w:r>
      <w:r>
        <w:t xml:space="preserve"> </w:t>
      </w:r>
      <w:r>
        <w:t xml:space="preserve">sample of eighteen can and cannot support.</w:t>
      </w:r>
    </w:p>
    <w:p>
      <w:pPr>
        <w:numPr>
          <w:ilvl w:val="0"/>
          <w:numId w:val="1001"/>
        </w:numPr>
        <w:pStyle w:val="Compact"/>
      </w:pPr>
      <w:r>
        <w:t xml:space="preserve">Nobody who took their work elsewhere is in this data.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2026-07-28T02:33:52Z</dcterms:created>
  <dcterms:modified xsi:type="dcterms:W3CDTF">2026-07-28T02:33:52Z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