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02928beabf880e92210f3f24d23d81fc39f9539"/>
      <w:r>
        <w:t xml:space="preserve">Professional ethics and AI — Week 8 reference note</w:t>
      </w:r>
      <w:bookmarkEnd w:id="20"/>
    </w:p>
    <w:p>
      <w:pPr>
        <w:pStyle w:val="FirstParagraph"/>
      </w:pPr>
      <w:r>
        <w:t xml:space="preserve">Companion reference for LAWS3850 Week 8, and the source material for the</w:t>
      </w:r>
      <w:r>
        <w:t xml:space="preserve"> </w:t>
      </w:r>
      <w:r>
        <w:t xml:space="preserve">knowledge-base search step in</w:t>
      </w:r>
      <w:r>
        <w:t xml:space="preserve"> </w:t>
      </w:r>
      <w:r>
        <w:rPr>
          <w:i/>
        </w:rPr>
        <w:t xml:space="preserve">AI use decision — responsible-AI playbook</w:t>
      </w:r>
      <w:r>
        <w:rPr>
          <w:i/>
        </w:rPr>
        <w:t xml:space="preserve"> </w:t>
      </w:r>
      <w:r>
        <w:rPr>
          <w:i/>
        </w:rPr>
        <w:t xml:space="preserve">review (W8)</w:t>
      </w:r>
      <w:r>
        <w:t xml:space="preserve">.</w:t>
      </w:r>
    </w:p>
    <w:p>
      <w:pPr>
        <w:pStyle w:val="BodyText"/>
      </w:pPr>
      <w:r>
        <w:rPr>
          <w:b/>
        </w:rPr>
        <w:t xml:space="preserve">This note is a teaching summary, not authority.</w:t>
      </w:r>
      <w:r>
        <w:t xml:space="preserve"> </w:t>
      </w:r>
      <w:r>
        <w:t xml:space="preserve">Every proposition below</w:t>
      </w:r>
      <w:r>
        <w:t xml:space="preserve"> </w:t>
      </w:r>
      <w:r>
        <w:t xml:space="preserve">must be verified against the current instrument before it is relied on. That</w:t>
      </w:r>
      <w:r>
        <w:t xml:space="preserve"> </w:t>
      </w:r>
      <w:r>
        <w:t xml:space="preserve">requirement is not a disclaimer — it is the exercise. See</w:t>
      </w:r>
      <w:r>
        <w:t xml:space="preserve"> </w:t>
      </w:r>
      <w:r>
        <w:rPr>
          <w:i/>
        </w:rPr>
        <w:t xml:space="preserve">Professional</w:t>
      </w:r>
      <w:r>
        <w:rPr>
          <w:i/>
        </w:rPr>
        <w:t xml:space="preserve"> </w:t>
      </w:r>
      <w:r>
        <w:rPr>
          <w:i/>
        </w:rPr>
        <w:t xml:space="preserve">obligations — verify before you rely (W8)</w:t>
      </w:r>
      <w:r>
        <w:t xml:space="preserve">.</w:t>
      </w:r>
    </w:p>
    <w:p>
      <w:pPr>
        <w:pStyle w:val="Heading2"/>
      </w:pPr>
      <w:bookmarkStart w:id="21" w:name="X519cd05aedd4fc6f0d40a212fff545ec4bfc2ba"/>
      <w:r>
        <w:t xml:space="preserve">Obligations engaged by legal project management</w:t>
      </w:r>
      <w:bookmarkEnd w:id="21"/>
    </w:p>
    <w:p>
      <w:pPr>
        <w:pStyle w:val="FirstParagraph"/>
      </w:pPr>
      <w:r>
        <w:t xml:space="preserve">Drawing on Rogers and Dombkins (2021), the argument is that LPM generally</w:t>
      </w:r>
      <w:r>
        <w:t xml:space="preserve"> </w:t>
      </w:r>
      <w:r>
        <w:rPr>
          <w:i/>
        </w:rPr>
        <w:t xml:space="preserve">supports</w:t>
      </w:r>
      <w:r>
        <w:t xml:space="preserve"> </w:t>
      </w:r>
      <w:r>
        <w:t xml:space="preserve">professional obligations rather than threatening them. The</w:t>
      </w:r>
      <w:r>
        <w:t xml:space="preserve"> </w:t>
      </w:r>
      <w:r>
        <w:t xml:space="preserve">interesting cases are where it inverts.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Theme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Instruments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LPM’s contribution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Where it inverts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Competence, efficiency, access</w:t>
            </w:r>
          </w:p>
        </w:tc>
        <w:tc>
          <w:p>
            <w:pPr>
              <w:pStyle w:val="Compact"/>
              <w:jc w:val="left"/>
            </w:pPr>
            <w:r>
              <w:t xml:space="preserve">ASCR r 4; LPUL s 173</w:t>
            </w:r>
          </w:p>
        </w:tc>
        <w:tc>
          <w:p>
            <w:pPr>
              <w:pStyle w:val="Compact"/>
              <w:jc w:val="left"/>
            </w:pPr>
            <w:r>
              <w:t xml:space="preserve">Planning, cost control, resource allocation and risk management support delivering services competently, diligently and as promptly as reasonably possible, and avoiding unnecessary delay that increases costs</w:t>
            </w:r>
          </w:p>
        </w:tc>
        <w:tc>
          <w:p>
            <w:pPr>
              <w:pStyle w:val="Compact"/>
              <w:jc w:val="left"/>
            </w:pPr>
            <w:r>
              <w:t xml:space="preserve">A plan built for speed can become the justification for a lower standard of care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Client interests, empowerment, fair costs</w:t>
            </w:r>
          </w:p>
        </w:tc>
        <w:tc>
          <w:p>
            <w:pPr>
              <w:pStyle w:val="Compact"/>
              <w:jc w:val="left"/>
            </w:pPr>
            <w:r>
              <w:t xml:space="preserve">LPUL ss 3, 172; ASCR r 7</w:t>
            </w:r>
          </w:p>
        </w:tc>
        <w:tc>
          <w:p>
            <w:pPr>
              <w:pStyle w:val="Compact"/>
              <w:jc w:val="left"/>
            </w:pPr>
            <w:r>
              <w:t xml:space="preserve">Strategic and detailed planning, tracking and reporting reduce information asymmetry and support informed client choice about services and costs</w:t>
            </w:r>
          </w:p>
        </w:tc>
        <w:tc>
          <w:p>
            <w:pPr>
              <w:pStyle w:val="Compact"/>
              <w:jc w:val="left"/>
            </w:pPr>
            <w:r>
              <w:t xml:space="preserve">The estimate becomes a target, and the target creates pressure to write down time or absorb scope silently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Communication, disclosure, confidentiality, privilege</w:t>
            </w:r>
          </w:p>
        </w:tc>
        <w:tc>
          <w:p>
            <w:pPr>
              <w:pStyle w:val="Compact"/>
              <w:jc w:val="left"/>
            </w:pPr>
            <w:r>
              <w:t xml:space="preserve">ASCR rr 7, 9</w:t>
            </w:r>
          </w:p>
        </w:tc>
        <w:tc>
          <w:p>
            <w:pPr>
              <w:pStyle w:val="Compact"/>
              <w:jc w:val="left"/>
            </w:pPr>
            <w:r>
              <w:t xml:space="preserve">Encourages communication that is timely, responsive and complete</w:t>
            </w:r>
          </w:p>
        </w:tc>
        <w:tc>
          <w:p>
            <w:pPr>
              <w:pStyle w:val="Compact"/>
              <w:jc w:val="left"/>
            </w:pPr>
            <w:r>
              <w:t xml:space="preserve">Status reporting can be optimistic; collaboration platforms expand the confidentiality surface; in-house lawyers in non-legal project roles raise privilege questions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Collegiality, diversity, wellbeing</w:t>
            </w:r>
          </w:p>
        </w:tc>
        <w:tc>
          <w:p>
            <w:pPr>
              <w:pStyle w:val="Compact"/>
              <w:jc w:val="left"/>
            </w:pPr>
            <w:r>
              <w:t xml:space="preserve">ASCR r 37; Fair Work Act 2009 (Cth); WHS Act 2011 (Cth)</w:t>
            </w:r>
          </w:p>
        </w:tc>
        <w:tc>
          <w:p>
            <w:pPr>
              <w:pStyle w:val="Compact"/>
              <w:jc w:val="left"/>
            </w:pPr>
            <w:r>
              <w:t xml:space="preserve">Self-managing teams with better trust, morale and effectiveness, less conflict and rework; diverse teams are more creative</w:t>
            </w:r>
          </w:p>
        </w:tc>
        <w:tc>
          <w:p>
            <w:pPr>
              <w:pStyle w:val="Compact"/>
              <w:jc w:val="left"/>
            </w:pPr>
            <w:r>
              <w:t xml:space="preserve">Standardisation can erode the individual lawyer’s exercise of independent judgement</w:t>
            </w:r>
          </w:p>
        </w:tc>
      </w:tr>
    </w:tbl>
    <w:p>
      <w:pPr>
        <w:pStyle w:val="Heading3"/>
      </w:pPr>
      <w:bookmarkStart w:id="22" w:name="the-challenge-scenarios"/>
      <w:r>
        <w:t xml:space="preserve">The challenge scenarios</w:t>
      </w:r>
      <w:bookmarkEnd w:id="22"/>
    </w:p>
    <w:p>
      <w:pPr>
        <w:numPr>
          <w:ilvl w:val="0"/>
          <w:numId w:val="1001"/>
        </w:numPr>
        <w:pStyle w:val="Compact"/>
      </w:pPr>
      <w:r>
        <w:t xml:space="preserve">Should a lawyer undertake out-of-scope work to deliver a successful outcome?</w:t>
      </w:r>
    </w:p>
    <w:p>
      <w:pPr>
        <w:numPr>
          <w:ilvl w:val="0"/>
          <w:numId w:val="1001"/>
        </w:numPr>
        <w:pStyle w:val="Compact"/>
      </w:pPr>
      <w:r>
        <w:t xml:space="preserve">Should a lawyer deliver lower-quality work when directed to?</w:t>
      </w:r>
    </w:p>
    <w:p>
      <w:pPr>
        <w:numPr>
          <w:ilvl w:val="0"/>
          <w:numId w:val="1001"/>
        </w:numPr>
        <w:pStyle w:val="Compact"/>
      </w:pPr>
      <w:r>
        <w:t xml:space="preserve">Should clients be charged for legal project management?</w:t>
      </w:r>
    </w:p>
    <w:p>
      <w:pPr>
        <w:numPr>
          <w:ilvl w:val="0"/>
          <w:numId w:val="1001"/>
        </w:numPr>
        <w:pStyle w:val="Compact"/>
      </w:pPr>
      <w:r>
        <w:t xml:space="preserve">Does the client understand the scope they actually need?</w:t>
      </w:r>
    </w:p>
    <w:p>
      <w:pPr>
        <w:numPr>
          <w:ilvl w:val="0"/>
          <w:numId w:val="1001"/>
        </w:numPr>
        <w:pStyle w:val="Compact"/>
      </w:pPr>
      <w:r>
        <w:t xml:space="preserve">Are estimates accurate, and are lawyers writing down time to meet unrealistic ones?</w:t>
      </w:r>
    </w:p>
    <w:p>
      <w:pPr>
        <w:numPr>
          <w:ilvl w:val="0"/>
          <w:numId w:val="1001"/>
        </w:numPr>
        <w:pStyle w:val="Compact"/>
      </w:pPr>
      <w:r>
        <w:t xml:space="preserve">Are risks, effort or costs under-played to secure work?</w:t>
      </w:r>
    </w:p>
    <w:p>
      <w:pPr>
        <w:numPr>
          <w:ilvl w:val="0"/>
          <w:numId w:val="1001"/>
        </w:numPr>
        <w:pStyle w:val="Compact"/>
      </w:pPr>
      <w:r>
        <w:t xml:space="preserve">Watermelon reporting — green outside, red inside — is the most commonly</w:t>
      </w:r>
      <w:r>
        <w:t xml:space="preserve"> </w:t>
      </w:r>
      <w:r>
        <w:t xml:space="preserve">reported ethical breach by project managers.</w:t>
      </w:r>
    </w:p>
    <w:p>
      <w:pPr>
        <w:numPr>
          <w:ilvl w:val="0"/>
          <w:numId w:val="1001"/>
        </w:numPr>
        <w:pStyle w:val="Compact"/>
      </w:pPr>
      <w:r>
        <w:t xml:space="preserve">Does the benefit of online collaboration justify the data-disclosure risk?</w:t>
      </w:r>
    </w:p>
    <w:p>
      <w:pPr>
        <w:numPr>
          <w:ilvl w:val="0"/>
          <w:numId w:val="1001"/>
        </w:numPr>
        <w:pStyle w:val="Compact"/>
      </w:pPr>
      <w:r>
        <w:t xml:space="preserve">Is privilege waived where in-house lawyers undertake non-legal roles on</w:t>
      </w:r>
      <w:r>
        <w:t xml:space="preserve"> </w:t>
      </w:r>
      <w:r>
        <w:t xml:space="preserve">non-legal projects?</w:t>
      </w:r>
    </w:p>
    <w:p>
      <w:pPr>
        <w:numPr>
          <w:ilvl w:val="0"/>
          <w:numId w:val="1001"/>
        </w:numPr>
        <w:pStyle w:val="Compact"/>
      </w:pPr>
      <w:r>
        <w:t xml:space="preserve">Does increased standardisation reduce lawyers’ capacity and responsibility</w:t>
      </w:r>
      <w:r>
        <w:t xml:space="preserve"> </w:t>
      </w:r>
      <w:r>
        <w:t xml:space="preserve">for independent professional judgement?</w:t>
      </w:r>
    </w:p>
    <w:p>
      <w:pPr>
        <w:pStyle w:val="Heading2"/>
      </w:pPr>
      <w:bookmarkStart w:id="23" w:name="generative-ai-in-the-courts"/>
      <w:r>
        <w:t xml:space="preserve">Generative AI in the courts</w:t>
      </w:r>
      <w:bookmarkEnd w:id="23"/>
    </w:p>
    <w:p>
      <w:pPr>
        <w:pStyle w:val="FirstParagraph"/>
      </w:pPr>
      <w:r>
        <w:t xml:space="preserve">Positions taken across the Federal Court’s GPN-AI, Practice Note SC Gen 23, the</w:t>
      </w:r>
      <w:r>
        <w:t xml:space="preserve"> </w:t>
      </w:r>
      <w:r>
        <w:t xml:space="preserve">District Court’s General Practice Note 2, and the Law Society of NSW statement</w:t>
      </w:r>
      <w:r>
        <w:t xml:space="preserve"> </w:t>
      </w:r>
      <w:r>
        <w:t xml:space="preserve">and</w:t>
      </w:r>
      <w:r>
        <w:t xml:space="preserve"> </w:t>
      </w:r>
      <w:r>
        <w:rPr>
          <w:i/>
        </w:rPr>
        <w:t xml:space="preserve">A Solicitor’s Guide to Responsible Use of AI</w:t>
      </w:r>
      <w:r>
        <w:t xml:space="preserve">.</w:t>
      </w:r>
    </w:p>
    <w:p>
      <w:pPr>
        <w:pStyle w:val="BodyText"/>
      </w:pPr>
      <w:r>
        <w:rPr>
          <w:b/>
        </w:rPr>
        <w:t xml:space="preserve">Contemplated as permissible</w:t>
      </w:r>
    </w:p>
    <w:p>
      <w:pPr>
        <w:numPr>
          <w:ilvl w:val="0"/>
          <w:numId w:val="1002"/>
        </w:numPr>
        <w:pStyle w:val="Compact"/>
      </w:pPr>
      <w:r>
        <w:t xml:space="preserve">Administrative tasks such as drafting and summarising documents</w:t>
      </w:r>
    </w:p>
    <w:p>
      <w:pPr>
        <w:numPr>
          <w:ilvl w:val="0"/>
          <w:numId w:val="1002"/>
        </w:numPr>
        <w:pStyle w:val="Compact"/>
      </w:pPr>
      <w:r>
        <w:t xml:space="preserve">Generating chronologies, indexes and witness lists</w:t>
      </w:r>
    </w:p>
    <w:p>
      <w:pPr>
        <w:numPr>
          <w:ilvl w:val="0"/>
          <w:numId w:val="1002"/>
        </w:numPr>
        <w:pStyle w:val="Compact"/>
      </w:pPr>
      <w:r>
        <w:t xml:space="preserve">Preparing briefs and draft Crown Case Statements</w:t>
      </w:r>
    </w:p>
    <w:p>
      <w:pPr>
        <w:numPr>
          <w:ilvl w:val="0"/>
          <w:numId w:val="1002"/>
        </w:numPr>
        <w:pStyle w:val="Compact"/>
      </w:pPr>
      <w:r>
        <w:t xml:space="preserve">Summarising or reviewing documents and transcripts</w:t>
      </w:r>
    </w:p>
    <w:p>
      <w:pPr>
        <w:numPr>
          <w:ilvl w:val="0"/>
          <w:numId w:val="1002"/>
        </w:numPr>
        <w:pStyle w:val="Compact"/>
      </w:pPr>
      <w:r>
        <w:t xml:space="preserve">Preparing written submissions or summaries of arguments,</w:t>
      </w:r>
      <w:r>
        <w:t xml:space="preserve"> </w:t>
      </w:r>
      <w:r>
        <w:rPr>
          <w:b/>
        </w:rPr>
        <w:t xml:space="preserve">with source verification</w:t>
      </w:r>
    </w:p>
    <w:p>
      <w:pPr>
        <w:numPr>
          <w:ilvl w:val="0"/>
          <w:numId w:val="1002"/>
        </w:numPr>
        <w:pStyle w:val="Compact"/>
      </w:pPr>
      <w:r>
        <w:t xml:space="preserve">Using closed-source AI with confidentiality controls for proceeding-related information</w:t>
      </w:r>
    </w:p>
    <w:p>
      <w:pPr>
        <w:pStyle w:val="FirstParagraph"/>
      </w:pPr>
      <w:r>
        <w:rPr>
          <w:b/>
        </w:rPr>
        <w:t xml:space="preserve">Prohibited</w:t>
      </w:r>
    </w:p>
    <w:p>
      <w:pPr>
        <w:numPr>
          <w:ilvl w:val="0"/>
          <w:numId w:val="1003"/>
        </w:numPr>
        <w:pStyle w:val="Compact"/>
      </w:pPr>
      <w:r>
        <w:t xml:space="preserve">Entering prohibited or confidential information into uncontrolled and unrestricted generative AI</w:t>
      </w:r>
    </w:p>
    <w:p>
      <w:pPr>
        <w:numPr>
          <w:ilvl w:val="0"/>
          <w:numId w:val="1003"/>
        </w:numPr>
        <w:pStyle w:val="Compact"/>
      </w:pPr>
      <w:r>
        <w:t xml:space="preserve">Generating affidavits, witness statements, character references or other evidentiary material</w:t>
      </w:r>
    </w:p>
    <w:p>
      <w:pPr>
        <w:numPr>
          <w:ilvl w:val="0"/>
          <w:numId w:val="1003"/>
        </w:numPr>
        <w:pStyle w:val="Compact"/>
      </w:pPr>
      <w:r>
        <w:t xml:space="preserve">Using generative AI to alter or rephrase written witness evidence</w:t>
      </w:r>
    </w:p>
    <w:p>
      <w:pPr>
        <w:numPr>
          <w:ilvl w:val="0"/>
          <w:numId w:val="1003"/>
        </w:numPr>
        <w:pStyle w:val="Compact"/>
      </w:pPr>
      <w:r>
        <w:t xml:space="preserve">Drafting or preparing an expert report without prior leave of the court</w:t>
      </w:r>
    </w:p>
    <w:p>
      <w:pPr>
        <w:numPr>
          <w:ilvl w:val="0"/>
          <w:numId w:val="1003"/>
        </w:numPr>
        <w:pStyle w:val="Compact"/>
      </w:pPr>
      <w:r>
        <w:t xml:space="preserve">Preparing written submissions without manually verifying all citations</w:t>
      </w:r>
    </w:p>
    <w:p>
      <w:pPr>
        <w:pStyle w:val="FirstParagraph"/>
      </w:pPr>
      <w:r>
        <w:t xml:space="preserve">The catalogue of cases in which fabricated authorities reached a court is</w:t>
      </w:r>
      <w:r>
        <w:t xml:space="preserve"> </w:t>
      </w:r>
      <w:r>
        <w:t xml:space="preserve">maintained at damiencharlotin.com.</w:t>
      </w:r>
    </w:p>
    <w:p>
      <w:pPr>
        <w:pStyle w:val="Heading2"/>
      </w:pPr>
      <w:bookmarkStart w:id="24" w:name="X89dfbfe26642b2adcb1ee652582e42fd51a4bdd"/>
      <w:r>
        <w:t xml:space="preserve">The third line of defence: professional standards</w:t>
      </w:r>
      <w:bookmarkEnd w:id="24"/>
    </w:p>
    <w:p>
      <w:pPr>
        <w:pStyle w:val="FirstParagraph"/>
      </w:pPr>
      <w:r>
        <w:t xml:space="preserve">Beyond the tool and the firm sits the set of obligations that bind the</w:t>
      </w:r>
      <w:r>
        <w:t xml:space="preserve"> </w:t>
      </w:r>
      <w:r>
        <w:t xml:space="preserve">individual lawyer and that no firm policy can waive on their behalf:</w:t>
      </w:r>
    </w:p>
    <w:p>
      <w:pPr>
        <w:pStyle w:val="BodyText"/>
      </w:pPr>
      <w:r>
        <w:t xml:space="preserve">competence, integrity and honesty (ASCR r 4) · fair and reasonable costs</w:t>
      </w:r>
      <w:r>
        <w:t xml:space="preserve"> </w:t>
      </w:r>
      <w:r>
        <w:t xml:space="preserve">(LPUL s 172) · confidentiality (ASCR r 9) · avoidance of personal bias</w:t>
      </w:r>
      <w:r>
        <w:t xml:space="preserve"> </w:t>
      </w:r>
      <w:r>
        <w:t xml:space="preserve">(ASCR r 17) · duty to the court (ASCR r 19) · supervision of legal services</w:t>
      </w:r>
      <w:r>
        <w:t xml:space="preserve"> </w:t>
      </w:r>
      <w:r>
        <w:t xml:space="preserve">(ASCR r 37).</w:t>
      </w:r>
    </w:p>
    <w:p>
      <w:pPr>
        <w:pStyle w:val="BodyText"/>
      </w:pPr>
      <w:r>
        <w:t xml:space="preserve">The three questions the week poses:</w:t>
      </w:r>
    </w:p>
    <w:p>
      <w:pPr>
        <w:numPr>
          <w:ilvl w:val="0"/>
          <w:numId w:val="1004"/>
        </w:numPr>
        <w:pStyle w:val="Compact"/>
      </w:pPr>
      <w:r>
        <w:t xml:space="preserve">Should AI be able to provide legal advice — and if not, how do you define</w:t>
      </w:r>
      <w:r>
        <w:t xml:space="preserve"> </w:t>
      </w:r>
      <w:r>
        <w:t xml:space="preserve">“</w:t>
      </w:r>
      <w:r>
        <w:t xml:space="preserve">legal advice</w:t>
      </w:r>
      <w:r>
        <w:t xml:space="preserve">”</w:t>
      </w:r>
      <w:r>
        <w:t xml:space="preserve"> </w:t>
      </w:r>
      <w:r>
        <w:t xml:space="preserve">in a way that is workable in practice?</w:t>
      </w:r>
    </w:p>
    <w:p>
      <w:pPr>
        <w:numPr>
          <w:ilvl w:val="0"/>
          <w:numId w:val="1004"/>
        </w:numPr>
        <w:pStyle w:val="Compact"/>
      </w:pPr>
      <w:r>
        <w:t xml:space="preserve">What are the ethical and commercial implications of using AI and other</w:t>
      </w:r>
      <w:r>
        <w:t xml:space="preserve"> </w:t>
      </w:r>
      <w:r>
        <w:t xml:space="preserve">automated systems in legal practice?</w:t>
      </w:r>
    </w:p>
    <w:p>
      <w:pPr>
        <w:numPr>
          <w:ilvl w:val="0"/>
          <w:numId w:val="1004"/>
        </w:numPr>
        <w:pStyle w:val="Compact"/>
      </w:pPr>
      <w:r>
        <w:t xml:space="preserve">Can hallucinations make for good law?</w:t>
      </w:r>
    </w:p>
    <w:p>
      <w:pPr>
        <w:pStyle w:val="Heading2"/>
      </w:pPr>
      <w:bookmarkStart w:id="25" w:name="ethical-judgement-in-the-age-of-ai"/>
      <w:r>
        <w:t xml:space="preserve">Ethical judgement in the age of AI</w:t>
      </w:r>
      <w:bookmarkEnd w:id="25"/>
    </w:p>
    <w:p>
      <w:pPr>
        <w:pStyle w:val="FirstParagraph"/>
      </w:pPr>
      <w:r>
        <w:t xml:space="preserve">Legg (2025) argues that AI raises rather than removes the demand for ethical</w:t>
      </w:r>
      <w:r>
        <w:t xml:space="preserve"> </w:t>
      </w:r>
      <w:r>
        <w:t xml:space="preserve">judgement.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Ethical fading</w:t>
      </w:r>
      <w:r>
        <w:t xml:space="preserve"> </w:t>
      </w:r>
      <w:r>
        <w:t xml:space="preserve">— the ethical dimension of a decision disappears from view</w:t>
      </w:r>
      <w:r>
        <w:t xml:space="preserve"> </w:t>
      </w:r>
      <w:r>
        <w:t xml:space="preserve">when it is framed as commercial, technical or administrative. The language</w:t>
      </w:r>
      <w:r>
        <w:t xml:space="preserve"> </w:t>
      </w:r>
      <w:r>
        <w:t xml:space="preserve">does the work:</w:t>
      </w:r>
      <w:r>
        <w:t xml:space="preserve"> </w:t>
      </w:r>
      <w:r>
        <w:t xml:space="preserve">“</w:t>
      </w:r>
      <w:r>
        <w:t xml:space="preserve">efficiency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commercial reality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that’s just how it’s</w:t>
      </w:r>
      <w:r>
        <w:t xml:space="preserve"> </w:t>
      </w:r>
      <w:r>
        <w:t xml:space="preserve">recorded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the client is comfortable with it</w:t>
      </w:r>
      <w:r>
        <w:t xml:space="preserve">”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Automation bias</w:t>
      </w:r>
      <w:r>
        <w:t xml:space="preserve"> </w:t>
      </w:r>
      <w:r>
        <w:t xml:space="preserve">— a confident, fluent output invites acceptance</w:t>
      </w:r>
      <w:r>
        <w:t xml:space="preserve"> </w:t>
      </w:r>
      <w:r>
        <w:t xml:space="preserve">precisely because it is confident and fluent.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Deskilling</w:t>
      </w:r>
      <w:r>
        <w:t xml:space="preserve"> </w:t>
      </w:r>
      <w:r>
        <w:t xml:space="preserve">— judgement is developed by doing the work. Where the first</w:t>
      </w:r>
      <w:r>
        <w:t xml:space="preserve"> </w:t>
      </w:r>
      <w:r>
        <w:t xml:space="preserve">draft always arrives already formed, the junior lawyer may never build the</w:t>
      </w:r>
      <w:r>
        <w:t xml:space="preserve"> </w:t>
      </w:r>
      <w:r>
        <w:t xml:space="preserve">judgement needed to evaluate it.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Role morality</w:t>
      </w:r>
      <w:r>
        <w:t xml:space="preserve"> </w:t>
      </w:r>
      <w:r>
        <w:t xml:space="preserve">— the lawyer’s professional obligations are not the same as</w:t>
      </w:r>
      <w:r>
        <w:t xml:space="preserve"> </w:t>
      </w:r>
      <w:r>
        <w:t xml:space="preserve">their personal morality, and are also not the same as the client’s moral</w:t>
      </w:r>
      <w:r>
        <w:t xml:space="preserve"> </w:t>
      </w:r>
      <w:r>
        <w:t xml:space="preserve">position. The overriding duty to the court and the administration of justice</w:t>
      </w:r>
      <w:r>
        <w:t xml:space="preserve"> </w:t>
      </w:r>
      <w:r>
        <w:t xml:space="preserve">sits above both.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Practical wisdom</w:t>
      </w:r>
      <w:r>
        <w:t xml:space="preserve"> </w:t>
      </w:r>
      <w:r>
        <w:t xml:space="preserve">— drawing on Kronman and the Aristotelian tradition,</w:t>
      </w:r>
      <w:r>
        <w:t xml:space="preserve"> </w:t>
      </w:r>
      <w:r>
        <w:t xml:space="preserve">the capacity to deliberate well about what should be done in a particular</w:t>
      </w:r>
      <w:r>
        <w:t xml:space="preserve"> </w:t>
      </w:r>
      <w:r>
        <w:t xml:space="preserve">case, which is not reducible to rule-following.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Reflective practice</w:t>
      </w:r>
      <w:r>
        <w:t xml:space="preserve"> </w:t>
      </w:r>
      <w:r>
        <w:t xml:space="preserve">— the prescription. Deliberately processing an</w:t>
      </w:r>
      <w:r>
        <w:t xml:space="preserve"> </w:t>
      </w:r>
      <w:r>
        <w:t xml:space="preserve">experience: what happened, what was done, what could have been done</w:t>
      </w:r>
      <w:r>
        <w:t xml:space="preserve"> </w:t>
      </w:r>
      <w:r>
        <w:t xml:space="preserve">differently, and what will change next time. This is the mechanism by which</w:t>
      </w:r>
      <w:r>
        <w:t xml:space="preserve"> </w:t>
      </w:r>
      <w:r>
        <w:t xml:space="preserve">experience becomes judgement rather than merely accumulating.</w:t>
      </w:r>
    </w:p>
    <w:p>
      <w:pPr>
        <w:pStyle w:val="Heading2"/>
      </w:pPr>
      <w:bookmarkStart w:id="26" w:name="minimising-complaints"/>
      <w:r>
        <w:t xml:space="preserve">Minimising complaints</w:t>
      </w:r>
      <w:bookmarkEnd w:id="26"/>
    </w:p>
    <w:p>
      <w:pPr>
        <w:pStyle w:val="FirstParagraph"/>
      </w:pPr>
      <w:r>
        <w:t xml:space="preserve">The Office of the NSW Legal Services Commissioner identifies these as the</w:t>
      </w:r>
      <w:r>
        <w:t xml:space="preserve"> </w:t>
      </w:r>
      <w:r>
        <w:t xml:space="preserve">practical drivers of complaints:</w:t>
      </w:r>
    </w:p>
    <w:p>
      <w:pPr>
        <w:numPr>
          <w:ilvl w:val="0"/>
          <w:numId w:val="1006"/>
        </w:numPr>
        <w:pStyle w:val="Compact"/>
      </w:pPr>
      <w:r>
        <w:t xml:space="preserve">Effective record keeping and file notes</w:t>
      </w:r>
    </w:p>
    <w:p>
      <w:pPr>
        <w:numPr>
          <w:ilvl w:val="0"/>
          <w:numId w:val="1006"/>
        </w:numPr>
        <w:pStyle w:val="Compact"/>
      </w:pPr>
      <w:r>
        <w:t xml:space="preserve">Checklists for active files, and conflict of interest checks for new matters</w:t>
      </w:r>
    </w:p>
    <w:p>
      <w:pPr>
        <w:numPr>
          <w:ilvl w:val="0"/>
          <w:numId w:val="1006"/>
        </w:numPr>
        <w:pStyle w:val="Compact"/>
      </w:pPr>
      <w:r>
        <w:t xml:space="preserve">Regular communication to understand the client’s values and priorities</w:t>
      </w:r>
    </w:p>
    <w:p>
      <w:pPr>
        <w:numPr>
          <w:ilvl w:val="0"/>
          <w:numId w:val="1006"/>
        </w:numPr>
        <w:pStyle w:val="Compact"/>
      </w:pPr>
      <w:r>
        <w:t xml:space="preserve">Managing expectations — explaining delays, process changes, cost increases and scope</w:t>
      </w:r>
    </w:p>
    <w:p>
      <w:pPr>
        <w:numPr>
          <w:ilvl w:val="0"/>
          <w:numId w:val="1006"/>
        </w:numPr>
        <w:pStyle w:val="Compact"/>
      </w:pPr>
      <w:r>
        <w:t xml:space="preserve">Prompt responses to client queries and concerns</w:t>
      </w:r>
    </w:p>
    <w:p>
      <w:pPr>
        <w:numPr>
          <w:ilvl w:val="0"/>
          <w:numId w:val="1006"/>
        </w:numPr>
        <w:pStyle w:val="Compact"/>
      </w:pPr>
      <w:r>
        <w:t xml:space="preserve">Calls to the practice answered politely and professionally</w:t>
      </w:r>
    </w:p>
    <w:p>
      <w:pPr>
        <w:numPr>
          <w:ilvl w:val="0"/>
          <w:numId w:val="1006"/>
        </w:numPr>
        <w:pStyle w:val="Compact"/>
      </w:pPr>
      <w:r>
        <w:t xml:space="preserve">Clear costs disclosure</w:t>
      </w:r>
    </w:p>
    <w:p>
      <w:pPr>
        <w:pStyle w:val="FirstParagraph"/>
      </w:pPr>
      <w:r>
        <w:t xml:space="preserve">Compare this list against the CX lifecycle. Almost every item is a</w:t>
      </w:r>
      <w:r>
        <w:t xml:space="preserve"> </w:t>
      </w:r>
      <w:r>
        <w:t xml:space="preserve">communication or expectation-management practice rather than a legal one.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2026-07-28T02:33:53Z</dcterms:created>
  <dcterms:modified xsi:type="dcterms:W3CDTF">2026-07-28T02:33:53Z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