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92a6b7f2ea427e2072fc2863c4ff853549ed05"/>
      <w:r>
        <w:t xml:space="preserve">Kendry &amp; Slate — values, service promise and EVP</w:t>
      </w:r>
      <w:bookmarkEnd w:id="20"/>
    </w:p>
    <w:p>
      <w:pPr>
        <w:pStyle w:val="FirstParagraph"/>
      </w:pPr>
      <w:r>
        <w:t xml:space="preserve">Internal artefacts, last reviewed 2019. Teaching material for LAWS3850 Week 8.</w:t>
      </w:r>
    </w:p>
    <w:p>
      <w:pPr>
        <w:pStyle w:val="BodyText"/>
      </w:pPr>
      <w:r>
        <w:rPr>
          <w:i/>
        </w:rPr>
        <w:t xml:space="preserve">Use these with the Week-8 EX and CX workflows. The exercise is to compare what</w:t>
      </w:r>
      <w:r>
        <w:rPr>
          <w:i/>
        </w:rPr>
        <w:t xml:space="preserve"> </w:t>
      </w:r>
      <w:r>
        <w:rPr>
          <w:i/>
        </w:rPr>
        <w:t xml:space="preserve">is stated here against what the matter record actually shows.</w:t>
      </w:r>
    </w:p>
    <w:p>
      <w:pPr>
        <w:pStyle w:val="Heading2"/>
      </w:pPr>
      <w:bookmarkStart w:id="21" w:name="our-values"/>
      <w:r>
        <w:t xml:space="preserve">Our values</w:t>
      </w:r>
      <w:bookmarkEnd w:id="21"/>
    </w:p>
    <w:p>
      <w:pPr>
        <w:pStyle w:val="FirstParagraph"/>
      </w:pPr>
      <w:r>
        <w:rPr>
          <w:b/>
        </w:rPr>
        <w:t xml:space="preserve">Excellence.</w:t>
      </w:r>
      <w:r>
        <w:t xml:space="preserve"> </w:t>
      </w:r>
      <w:r>
        <w:t xml:space="preserve">We deliver the highest quality legal work, without exception.</w:t>
      </w:r>
    </w:p>
    <w:p>
      <w:pPr>
        <w:pStyle w:val="BodyText"/>
      </w:pPr>
      <w:r>
        <w:rPr>
          <w:b/>
        </w:rPr>
        <w:t xml:space="preserve">Partnership.</w:t>
      </w:r>
      <w:r>
        <w:t xml:space="preserve"> </w:t>
      </w:r>
      <w:r>
        <w:t xml:space="preserve">We are trusted advisers, not suppliers. We think like our</w:t>
      </w:r>
      <w:r>
        <w:t xml:space="preserve"> </w:t>
      </w:r>
      <w:r>
        <w:t xml:space="preserve">clients think.</w:t>
      </w:r>
    </w:p>
    <w:p>
      <w:pPr>
        <w:pStyle w:val="BodyText"/>
      </w:pPr>
      <w:r>
        <w:rPr>
          <w:b/>
        </w:rPr>
        <w:t xml:space="preserve">Integrity.</w:t>
      </w:r>
      <w:r>
        <w:t xml:space="preserve"> </w:t>
      </w:r>
      <w:r>
        <w:t xml:space="preserve">We do the right thing, always, even when it is commercially</w:t>
      </w:r>
      <w:r>
        <w:t xml:space="preserve"> </w:t>
      </w:r>
      <w:r>
        <w:t xml:space="preserve">inconvenient.</w:t>
      </w:r>
    </w:p>
    <w:p>
      <w:pPr>
        <w:pStyle w:val="BodyText"/>
      </w:pPr>
      <w:r>
        <w:rPr>
          <w:b/>
        </w:rPr>
        <w:t xml:space="preserve">One firm.</w:t>
      </w:r>
      <w:r>
        <w:t xml:space="preserve"> </w:t>
      </w:r>
      <w:r>
        <w:t xml:space="preserve">We work as a single team across offices and practice groups.</w:t>
      </w:r>
    </w:p>
    <w:p>
      <w:pPr>
        <w:pStyle w:val="BodyText"/>
      </w:pPr>
      <w:r>
        <w:rPr>
          <w:b/>
        </w:rPr>
        <w:t xml:space="preserve">People.</w:t>
      </w:r>
      <w:r>
        <w:t xml:space="preserve"> </w:t>
      </w:r>
      <w:r>
        <w:t xml:space="preserve">Our people are our greatest asset.</w:t>
      </w:r>
    </w:p>
    <w:p>
      <w:pPr>
        <w:pStyle w:val="Heading2"/>
      </w:pPr>
      <w:bookmarkStart w:id="22" w:name="our-service-promise"/>
      <w:r>
        <w:t xml:space="preserve">Our service promise</w:t>
      </w:r>
      <w:bookmarkEnd w:id="22"/>
    </w:p>
    <w:p>
      <w:pPr>
        <w:pStyle w:val="FirstParagraph"/>
      </w:pPr>
      <w:r>
        <w:rPr>
          <w:i/>
        </w:rPr>
        <w:t xml:space="preserve">Exceptional legal minds, commercially applied. No surprises.</w:t>
      </w:r>
    </w:p>
    <w:p>
      <w:pPr>
        <w:pStyle w:val="Heading2"/>
      </w:pPr>
      <w:bookmarkStart w:id="23" w:name="employee-value-proposition"/>
      <w:r>
        <w:t xml:space="preserve">Employee value proposition</w:t>
      </w:r>
      <w:bookmarkEnd w:id="23"/>
    </w:p>
    <w:p>
      <w:pPr>
        <w:pStyle w:val="FirstParagraph"/>
      </w:pPr>
      <w:r>
        <w:t xml:space="preserve">Kendry &amp; Slate offers ambitious lawyers the opportunity to work on Australia’s</w:t>
      </w:r>
      <w:r>
        <w:t xml:space="preserve"> </w:t>
      </w:r>
      <w:r>
        <w:t xml:space="preserve">most complex transactions alongside recognised market leaders. We invest in our</w:t>
      </w:r>
      <w:r>
        <w:t xml:space="preserve"> </w:t>
      </w:r>
      <w:r>
        <w:t xml:space="preserve">people through structured development, genuine mentoring from senior</w:t>
      </w:r>
      <w:r>
        <w:t xml:space="preserve"> </w:t>
      </w:r>
      <w:r>
        <w:t xml:space="preserve">practitioners, and a culture where merit is recognised and rewarded.</w:t>
      </w:r>
    </w:p>
    <w:p>
      <w:pPr>
        <w:pStyle w:val="BodyText"/>
      </w:pPr>
      <w:r>
        <w:t xml:space="preserve">We are committed to sustainable working practices and to supporting the</w:t>
      </w:r>
      <w:r>
        <w:t xml:space="preserve"> </w:t>
      </w:r>
      <w:r>
        <w:t xml:space="preserve">wellbeing of every member of our team.</w:t>
      </w:r>
    </w:p>
    <w:p>
      <w:pPr>
        <w:pStyle w:val="Heading2"/>
      </w:pPr>
      <w:bookmarkStart w:id="24" w:name="what-the-firm-measures-and-rewards"/>
      <w:r>
        <w:t xml:space="preserve">What the firm measures and rewards</w:t>
      </w:r>
      <w:bookmarkEnd w:id="24"/>
    </w:p>
    <w:p>
      <w:pPr>
        <w:pStyle w:val="FirstParagraph"/>
      </w:pPr>
      <w:r>
        <w:t xml:space="preserve">Extract from the current partnership remuneration framework and associate</w:t>
      </w:r>
      <w:r>
        <w:t xml:space="preserve"> </w:t>
      </w:r>
      <w:r>
        <w:t xml:space="preserve">review criteria.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Billable hours against target (1,750 for associates)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Realisation rate (billed vs recorded)</w:t>
            </w:r>
          </w:p>
        </w:tc>
        <w:tc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Origination and client relationships</w:t>
            </w:r>
          </w:p>
        </w:tc>
        <w:tc>
          <w:p>
            <w:pPr>
              <w:pStyle w:val="Compact"/>
              <w:jc w:val="left"/>
            </w:pPr>
            <w:r>
              <w:t xml:space="preserve">25%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Contribution to firm (BD, training, recruitment)</w:t>
            </w:r>
          </w:p>
        </w:tc>
        <w:tc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feedback</w:t>
            </w:r>
          </w:p>
        </w:tc>
        <w:tc>
          <w:p>
            <w:pPr>
              <w:pStyle w:val="Compact"/>
              <w:jc w:val="left"/>
            </w:pPr>
            <w:r>
              <w:t xml:space="preserve">5%</w:t>
            </w:r>
          </w:p>
        </w:tc>
      </w:tr>
    </w:tbl>
    <w:p>
      <w:pPr>
        <w:pStyle w:val="BodyText"/>
      </w:pPr>
      <w:r>
        <w:t xml:space="preserve">Associate promotion is assessed annually. Client feedback is collected at</w:t>
      </w:r>
      <w:r>
        <w:t xml:space="preserve"> </w:t>
      </w:r>
      <w:r>
        <w:t xml:space="preserve">matter close where the responsible partner elects to request it.</w:t>
      </w:r>
    </w:p>
    <w:p>
      <w:pPr>
        <w:pStyle w:val="BodyText"/>
      </w:pPr>
      <w:r>
        <w:t xml:space="preserve">There is no measure for supervision quality, for accuracy of estimates, or for</w:t>
      </w:r>
      <w:r>
        <w:t xml:space="preserve"> </w:t>
      </w:r>
      <w:r>
        <w:t xml:space="preserve">whether a matter was staffed sustainably.</w:t>
      </w:r>
    </w:p>
    <w:p>
      <w:pPr>
        <w:pStyle w:val="Heading2"/>
      </w:pPr>
      <w:bookmarkStart w:id="25" w:name="notes-for-the-exercise"/>
      <w:r>
        <w:t xml:space="preserve">Notes for the exercise</w:t>
      </w:r>
      <w:bookmarkEnd w:id="25"/>
    </w:p>
    <w:p>
      <w:pPr>
        <w:pStyle w:val="FirstParagraph"/>
      </w:pPr>
      <w:r>
        <w:t xml:space="preserve">Green’s argument is that culture is the collective mindset employees actually</w:t>
      </w:r>
      <w:r>
        <w:t xml:space="preserve"> </w:t>
      </w:r>
      <w:r>
        <w:t xml:space="preserve">bring to work, which is shaped by what an organisation measures and rewards</w:t>
      </w:r>
      <w:r>
        <w:t xml:space="preserve"> </w:t>
      </w:r>
      <w:r>
        <w:t xml:space="preserve">rather than by what it states. Read the values and the service promise against</w:t>
      </w:r>
      <w:r>
        <w:t xml:space="preserve"> </w:t>
      </w:r>
      <w:r>
        <w:t xml:space="preserve">the measurement table, and then against the matter record.</w:t>
      </w:r>
    </w:p>
    <w:p>
      <w:pPr>
        <w:pStyle w:val="BodyText"/>
      </w:pPr>
      <w:r>
        <w:t xml:space="preserve">Specific questions:</w:t>
      </w:r>
    </w:p>
    <w:p>
      <w:pPr>
        <w:numPr>
          <w:ilvl w:val="0"/>
          <w:numId w:val="1001"/>
        </w:numPr>
        <w:pStyle w:val="Compact"/>
      </w:pPr>
      <w:r>
        <w:t xml:space="preserve">The service promise says</w:t>
      </w:r>
      <w:r>
        <w:t xml:space="preserve"> </w:t>
      </w:r>
      <w:r>
        <w:t xml:space="preserve">“</w:t>
      </w:r>
      <w:r>
        <w:t xml:space="preserve">no surprises</w:t>
      </w:r>
      <w:r>
        <w:t xml:space="preserve">”</w:t>
      </w:r>
      <w:r>
        <w:t xml:space="preserve">. Which measure in the table creates</w:t>
      </w:r>
      <w:r>
        <w:t xml:space="preserve"> </w:t>
      </w:r>
      <w:r>
        <w:t xml:space="preserve">pressure toward surprises?</w:t>
      </w:r>
    </w:p>
    <w:p>
      <w:pPr>
        <w:numPr>
          <w:ilvl w:val="0"/>
          <w:numId w:val="1001"/>
        </w:numPr>
        <w:pStyle w:val="Compact"/>
      </w:pPr>
      <w:r>
        <w:t xml:space="preserve">The values say people are the greatest asset. What proportion of the</w:t>
      </w:r>
      <w:r>
        <w:t xml:space="preserve"> </w:t>
      </w:r>
      <w:r>
        <w:t xml:space="preserve">assessment framework is about how people are treated or developed?</w:t>
      </w:r>
    </w:p>
    <w:p>
      <w:pPr>
        <w:numPr>
          <w:ilvl w:val="0"/>
          <w:numId w:val="1001"/>
        </w:numPr>
        <w:pStyle w:val="Compact"/>
      </w:pPr>
      <w:r>
        <w:t xml:space="preserve">Realisation rate is 20% of the assessment. What behaviour does that reward</w:t>
      </w:r>
      <w:r>
        <w:t xml:space="preserve"> </w:t>
      </w:r>
      <w:r>
        <w:t xml:space="preserve">when a matter runs over estimate, and which Week-8 challenge scenario does</w:t>
      </w:r>
      <w:r>
        <w:t xml:space="preserve"> </w:t>
      </w:r>
      <w:r>
        <w:t xml:space="preserve">that map onto?</w:t>
      </w:r>
    </w:p>
    <w:p>
      <w:pPr>
        <w:numPr>
          <w:ilvl w:val="0"/>
          <w:numId w:val="1001"/>
        </w:numPr>
        <w:pStyle w:val="Compact"/>
      </w:pPr>
      <w:r>
        <w:t xml:space="preserve">Client feedback is 5%, collected at the responsible partner’s election.</w:t>
      </w:r>
      <w:r>
        <w:t xml:space="preserve"> </w:t>
      </w:r>
      <w:r>
        <w:t xml:space="preserve">What does that produce in the feedback data, and who is systematically</w:t>
      </w:r>
      <w:r>
        <w:t xml:space="preserve"> </w:t>
      </w:r>
      <w:r>
        <w:t xml:space="preserve">missing from it?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2026-07-28T02:33:53Z</dcterms:created>
  <dcterms:modified xsi:type="dcterms:W3CDTF">2026-07-28T02:33:53Z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