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a7e7c97e0afc001dbecb6365f923bfd9c843c"/>
      <w:r>
        <w:t xml:space="preserve">Scenario 1 — Compress diligence and lean on AI review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NexaCare Health — Whitegum Medical Centres Acquisition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James Bentley (partner)</w:t>
      </w:r>
    </w:p>
    <w:p>
      <w:pPr>
        <w:pStyle w:val="BodyText"/>
      </w:pPr>
      <w:r>
        <w:t xml:space="preserve">At the Monday partner meeting James says the client wants to sign three weeks</w:t>
      </w:r>
      <w:r>
        <w:t xml:space="preserve"> </w:t>
      </w:r>
      <w:r>
        <w:t xml:space="preserve">earlier than planned. His proposal, in his words:</w:t>
      </w:r>
    </w:p>
    <w:p>
      <w:pPr>
        <w:pStyle w:val="BlockText"/>
      </w:pPr>
      <w:r>
        <w:t xml:space="preserve">“</w:t>
      </w:r>
      <w:r>
        <w:t xml:space="preserve">Realistically we can take two weeks out of diligence. Run the lease bundle</w:t>
      </w:r>
      <w:r>
        <w:t xml:space="preserve"> </w:t>
      </w:r>
      <w:r>
        <w:t xml:space="preserve">and the TSA schedules through the AI first pass, have Aisha spot-check</w:t>
      </w:r>
      <w:r>
        <w:t xml:space="preserve"> </w:t>
      </w:r>
      <w:r>
        <w:t xml:space="preserve">maybe one in five, and I’ll cast an eye over anything it flags red. The</w:t>
      </w:r>
      <w:r>
        <w:t xml:space="preserve"> </w:t>
      </w:r>
      <w:r>
        <w:t xml:space="preserve">commercial reality is that if we say no, they’ll find a firm that says yes,</w:t>
      </w:r>
      <w:r>
        <w:t xml:space="preserve"> </w:t>
      </w:r>
      <w:r>
        <w:t xml:space="preserve">and then we lose the whole relationship over a process point.</w:t>
      </w:r>
      <w:r>
        <w:t xml:space="preserve">”</w:t>
      </w:r>
    </w:p>
    <w:p>
      <w:pPr>
        <w:pStyle w:val="FirstParagraph"/>
      </w:pPr>
      <w:r>
        <w:t xml:space="preserve">Aisha Rahman is a junior associate. This is the largest matter she has worked</w:t>
      </w:r>
      <w:r>
        <w:t xml:space="preserve"> </w:t>
      </w:r>
      <w:r>
        <w:t xml:space="preserve">on. The lease bundle contains twelve leases across NSW and Queensland; the</w:t>
      </w:r>
      <w:r>
        <w:t xml:space="preserve"> </w:t>
      </w:r>
      <w:r>
        <w:t xml:space="preserve">Queensland leases have a different statutory overlay on lessor consent.</w:t>
      </w:r>
    </w:p>
    <w:p>
      <w:pPr>
        <w:pStyle w:val="BodyText"/>
      </w:pPr>
      <w:r>
        <w:t xml:space="preserve">No change to the fee estimate has been proposed, and the client has not been</w:t>
      </w:r>
      <w:r>
        <w:t xml:space="preserve"> </w:t>
      </w:r>
      <w:r>
        <w:t xml:space="preserve">told the review approach would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