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2141ce1a50b4fe6059320be5666cb486b55cbc"/>
      <w:r>
        <w:t xml:space="preserve">Scenario 3 — Report it green, recover it next week</w:t>
      </w:r>
      <w:bookmarkEnd w:id="20"/>
    </w:p>
    <w:p>
      <w:pPr>
        <w:pStyle w:val="FirstParagraph"/>
      </w:pPr>
      <w:r>
        <w:rPr>
          <w:b/>
        </w:rPr>
        <w:t xml:space="preserve">Matter:</w:t>
      </w:r>
      <w:r>
        <w:t xml:space="preserve"> </w:t>
      </w:r>
      <w:r>
        <w:t xml:space="preserve">NexaCare Health — Whitegum Medical Centres Acquisition</w:t>
      </w:r>
      <w:r>
        <w:t xml:space="preserve"> </w:t>
      </w:r>
      <w:r>
        <w:rPr>
          <w:b/>
        </w:rPr>
        <w:t xml:space="preserve">Raised by:</w:t>
      </w:r>
      <w:r>
        <w:t xml:space="preserve"> </w:t>
      </w:r>
      <w:r>
        <w:t xml:space="preserve">David O’Connell (senior associate)</w:t>
      </w:r>
    </w:p>
    <w:p>
      <w:pPr>
        <w:pStyle w:val="BodyText"/>
      </w:pPr>
      <w:r>
        <w:t xml:space="preserve">The lessor consent workstream has slipped. Two Queensland lessors have not</w:t>
      </w:r>
      <w:r>
        <w:t xml:space="preserve"> </w:t>
      </w:r>
      <w:r>
        <w:t xml:space="preserve">responded to consent requests sent eleven days ago, and one has indicated it</w:t>
      </w:r>
      <w:r>
        <w:t xml:space="preserve"> </w:t>
      </w:r>
      <w:r>
        <w:t xml:space="preserve">will require an updated condition report before it will consider consent.</w:t>
      </w:r>
    </w:p>
    <w:p>
      <w:pPr>
        <w:pStyle w:val="BodyText"/>
      </w:pPr>
      <w:r>
        <w:t xml:space="preserve">The weekly client report is due today. David’s view:</w:t>
      </w:r>
    </w:p>
    <w:p>
      <w:pPr>
        <w:pStyle w:val="BlockText"/>
      </w:pPr>
      <w:r>
        <w:t xml:space="preserve">“</w:t>
      </w:r>
      <w:r>
        <w:t xml:space="preserve">I’d keep it green. We’ll almost certainly have both back inside a week,</w:t>
      </w:r>
      <w:r>
        <w:t xml:space="preserve"> </w:t>
      </w:r>
      <w:r>
        <w:t xml:space="preserve">and if we flag it amber now, Jonathan escalates it to Alexandra, Alexandra</w:t>
      </w:r>
      <w:r>
        <w:t xml:space="preserve"> </w:t>
      </w:r>
      <w:r>
        <w:t xml:space="preserve">asks whether the timetable is real, and we spend three days managing that</w:t>
      </w:r>
      <w:r>
        <w:t xml:space="preserve"> </w:t>
      </w:r>
      <w:r>
        <w:t xml:space="preserve">instead of three days chasing the lessors. If it’s still open next Friday,</w:t>
      </w:r>
      <w:r>
        <w:t xml:space="preserve"> </w:t>
      </w:r>
      <w:r>
        <w:t xml:space="preserve">we tell them then.</w:t>
      </w:r>
      <w:r>
        <w:t xml:space="preserve">”</w:t>
      </w:r>
    </w:p>
    <w:p>
      <w:pPr>
        <w:pStyle w:val="FirstParagraph"/>
      </w:pPr>
      <w:r>
        <w:t xml:space="preserve">The client’s General Counsel, Jonathan Wu, has told the firm on more than one</w:t>
      </w:r>
      <w:r>
        <w:t xml:space="preserve"> </w:t>
      </w:r>
      <w:r>
        <w:t xml:space="preserve">occasion:</w:t>
      </w:r>
      <w:r>
        <w:t xml:space="preserve"> </w:t>
      </w:r>
      <w:r>
        <w:t xml:space="preserve">“</w:t>
      </w:r>
      <w:r>
        <w:t xml:space="preserve">No surprises.</w:t>
      </w:r>
      <w:r>
        <w:t xml:space="preserve">”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2026-07-28T02:33:53Z</dcterms:created>
  <dcterms:modified xsi:type="dcterms:W3CDTF">2026-07-28T02:33:53Z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