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9576624f3641b652ec85dceaa76d2a3daac3d0"/>
      <w:r>
        <w:t xml:space="preserve">Scenario 4 — Absorb the out-of-scope work quietly</w:t>
      </w:r>
      <w:bookmarkEnd w:id="20"/>
    </w:p>
    <w:p>
      <w:pPr>
        <w:pStyle w:val="FirstParagraph"/>
      </w:pPr>
      <w:r>
        <w:rPr>
          <w:b/>
        </w:rPr>
        <w:t xml:space="preserve">Matter:</w:t>
      </w:r>
      <w:r>
        <w:t xml:space="preserve"> </w:t>
      </w:r>
      <w:r>
        <w:t xml:space="preserve">NexaCare Health — Whitegum Medical Centres Acquisition</w:t>
      </w:r>
      <w:r>
        <w:t xml:space="preserve"> </w:t>
      </w:r>
      <w:r>
        <w:rPr>
          <w:b/>
        </w:rPr>
        <w:t xml:space="preserve">Raised by:</w:t>
      </w:r>
      <w:r>
        <w:t xml:space="preserve"> </w:t>
      </w:r>
      <w:r>
        <w:t xml:space="preserve">Lily Chen (senior associate)</w:t>
      </w:r>
    </w:p>
    <w:p>
      <w:pPr>
        <w:pStyle w:val="BodyText"/>
      </w:pPr>
      <w:r>
        <w:t xml:space="preserve">Isabel Moreno (Head of Corporate Development) has asked the team to review</w:t>
      </w:r>
      <w:r>
        <w:t xml:space="preserve"> </w:t>
      </w:r>
      <w:r>
        <w:t xml:space="preserve">the employment transfer position for 140 clinical staff. That work is not in</w:t>
      </w:r>
      <w:r>
        <w:t xml:space="preserve"> </w:t>
      </w:r>
      <w:r>
        <w:t xml:space="preserve">the letter of engagement, which covers the share acquisition, the leases and</w:t>
      </w:r>
      <w:r>
        <w:t xml:space="preserve"> </w:t>
      </w:r>
      <w:r>
        <w:t xml:space="preserve">the transitional services agreement.</w:t>
      </w:r>
    </w:p>
    <w:p>
      <w:pPr>
        <w:pStyle w:val="BodyText"/>
      </w:pPr>
      <w:r>
        <w:t xml:space="preserve">Lily’s proposal:</w:t>
      </w:r>
    </w:p>
    <w:p>
      <w:pPr>
        <w:pStyle w:val="BlockText"/>
      </w:pPr>
      <w:r>
        <w:t xml:space="preserve">“</w:t>
      </w:r>
      <w:r>
        <w:t xml:space="preserve">It’s maybe fifteen hours. If we raise a variation now it becomes a</w:t>
      </w:r>
      <w:r>
        <w:t xml:space="preserve"> </w:t>
      </w:r>
      <w:r>
        <w:t xml:space="preserve">conversation about scope and budget with procurement, and it sours the</w:t>
      </w:r>
      <w:r>
        <w:t xml:space="preserve"> </w:t>
      </w:r>
      <w:r>
        <w:t xml:space="preserve">relationship right when we need goodwill on timing. Let’s just do it and</w:t>
      </w:r>
      <w:r>
        <w:t xml:space="preserve"> </w:t>
      </w:r>
      <w:r>
        <w:t xml:space="preserve">absorb it. It’s an investment in the account.</w:t>
      </w:r>
      <w:r>
        <w:t xml:space="preserve">”</w:t>
      </w:r>
    </w:p>
    <w:p>
      <w:pPr>
        <w:pStyle w:val="FirstParagraph"/>
      </w:pPr>
      <w:r>
        <w:t xml:space="preserve">The alternative under discussion is to do the work and bill it in the next</w:t>
      </w:r>
      <w:r>
        <w:t xml:space="preserve"> </w:t>
      </w:r>
      <w:r>
        <w:t xml:space="preserve">invoice without a prior variation, on the basis that the client asked for it.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2026-07-28T02:33:53Z</dcterms:created>
  <dcterms:modified xsi:type="dcterms:W3CDTF">2026-07-28T02:33:53Z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