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98ea05dad6a3970ee6d31478840ea764ad341e"/>
      <w:r>
        <w:t xml:space="preserve">Scenario 6 — Who pays for the project management?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Group C — Meridian Property, CBD Development Project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Practice management</w:t>
      </w:r>
    </w:p>
    <w:p>
      <w:pPr>
        <w:pStyle w:val="BodyText"/>
      </w:pPr>
      <w:r>
        <w:t xml:space="preserve">The firm has begun running matters with a formal LPM discipline: a scoping</w:t>
      </w:r>
      <w:r>
        <w:t xml:space="preserve"> </w:t>
      </w:r>
      <w:r>
        <w:t xml:space="preserve">workshop, a task plan, weekly tracking, and a monthly client report. The time</w:t>
      </w:r>
      <w:r>
        <w:t xml:space="preserve"> </w:t>
      </w:r>
      <w:r>
        <w:t xml:space="preserve">spent on these activities is recorded against the matter and billed at the</w:t>
      </w:r>
      <w:r>
        <w:t xml:space="preserve"> </w:t>
      </w:r>
      <w:r>
        <w:t xml:space="preserve">responsible lawyer’s rate.</w:t>
      </w:r>
    </w:p>
    <w:p>
      <w:pPr>
        <w:pStyle w:val="BodyText"/>
      </w:pPr>
      <w:r>
        <w:t xml:space="preserve">A client has queried the line items:</w:t>
      </w:r>
    </w:p>
    <w:p>
      <w:pPr>
        <w:pStyle w:val="BlockText"/>
      </w:pPr>
      <w:r>
        <w:t xml:space="preserve">“</w:t>
      </w:r>
      <w:r>
        <w:t xml:space="preserve">I’m being charged $600 an hour for someone to update a spreadsheet about</w:t>
      </w:r>
      <w:r>
        <w:t xml:space="preserve"> </w:t>
      </w:r>
      <w:r>
        <w:t xml:space="preserve">my own matter. I didn’t ask for weekly reports. Is this legal work?</w:t>
      </w:r>
      <w:r>
        <w:t xml:space="preserve">”</w:t>
      </w:r>
    </w:p>
    <w:p>
      <w:pPr>
        <w:pStyle w:val="FirstParagraph"/>
      </w:pPr>
      <w:r>
        <w:t xml:space="preserve">Internally the position is contested. One view is that LPM reduces total cost</w:t>
      </w:r>
      <w:r>
        <w:t xml:space="preserve"> </w:t>
      </w:r>
      <w:r>
        <w:t xml:space="preserve">and the client benefits, so it is properly chargeable. Another is that it is</w:t>
      </w:r>
      <w:r>
        <w:t xml:space="preserve"> </w:t>
      </w:r>
      <w:r>
        <w:t xml:space="preserve">firm overhead and should be absorbed into rates. A third is that it should be</w:t>
      </w:r>
      <w:r>
        <w:t xml:space="preserve"> </w:t>
      </w:r>
      <w:r>
        <w:t xml:space="preserve">chargeable only where the client has agreed to it in the engagement.</w:t>
      </w:r>
    </w:p>
    <w:p>
      <w:pPr>
        <w:pStyle w:val="BodyText"/>
      </w:pPr>
      <w:r>
        <w:t xml:space="preserve">The letter of engagement is silent on the point.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