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7339e741292b2e6bd164d69fa1085d194e547c2"/>
      <w:r>
        <w:t xml:space="preserve">Scenario 7 — The checklist said it was fine</w:t>
      </w:r>
      <w:bookmarkEnd w:id="20"/>
    </w:p>
    <w:p>
      <w:pPr>
        <w:pStyle w:val="FirstParagraph"/>
      </w:pPr>
      <w:r>
        <w:rPr>
          <w:b/>
        </w:rPr>
        <w:t xml:space="preserve">Matter:</w:t>
      </w:r>
      <w:r>
        <w:t xml:space="preserve"> </w:t>
      </w:r>
      <w:r>
        <w:t xml:space="preserve">Group F — TechFlow Solutions, Employment Contract Review</w:t>
      </w:r>
      <w:r>
        <w:t xml:space="preserve"> </w:t>
      </w:r>
      <w:r>
        <w:rPr>
          <w:b/>
        </w:rPr>
        <w:t xml:space="preserve">Raised by:</w:t>
      </w:r>
      <w:r>
        <w:t xml:space="preserve"> </w:t>
      </w:r>
      <w:r>
        <w:t xml:space="preserve">Quality review</w:t>
      </w:r>
    </w:p>
    <w:p>
      <w:pPr>
        <w:pStyle w:val="BodyText"/>
      </w:pPr>
      <w:r>
        <w:t xml:space="preserve">The firm has standardised employment contract review: a fixed checklist, a</w:t>
      </w:r>
      <w:r>
        <w:t xml:space="preserve"> </w:t>
      </w:r>
      <w:r>
        <w:t xml:space="preserve">precedent clause bank, and an AI first pass that scores each contract against</w:t>
      </w:r>
      <w:r>
        <w:t xml:space="preserve"> </w:t>
      </w:r>
      <w:r>
        <w:t xml:space="preserve">the checklist and flags deviations.</w:t>
      </w:r>
    </w:p>
    <w:p>
      <w:pPr>
        <w:pStyle w:val="BodyText"/>
      </w:pPr>
      <w:r>
        <w:t xml:space="preserve">A reviewer approved forty contracts in a day. One contained a restraint clause</w:t>
      </w:r>
      <w:r>
        <w:t xml:space="preserve"> </w:t>
      </w:r>
      <w:r>
        <w:t xml:space="preserve">that was unusual in its geographic scope. It was not on the checklist, so the</w:t>
      </w:r>
      <w:r>
        <w:t xml:space="preserve"> </w:t>
      </w:r>
      <w:r>
        <w:t xml:space="preserve">AI did not flag it and the reviewer did not raise it.</w:t>
      </w:r>
    </w:p>
    <w:p>
      <w:pPr>
        <w:pStyle w:val="BodyText"/>
      </w:pPr>
      <w:r>
        <w:t xml:space="preserve">When asked, the reviewer said:</w:t>
      </w:r>
    </w:p>
    <w:p>
      <w:pPr>
        <w:pStyle w:val="BlockText"/>
      </w:pPr>
      <w:r>
        <w:t xml:space="preserve">“</w:t>
      </w:r>
      <w:r>
        <w:t xml:space="preserve">It came back clean. The checklist covers what we’ve agreed matters, and I</w:t>
      </w:r>
      <w:r>
        <w:t xml:space="preserve"> </w:t>
      </w:r>
      <w:r>
        <w:t xml:space="preserve">got through the volume they asked for. If we’re supposed to read every</w:t>
      </w:r>
      <w:r>
        <w:t xml:space="preserve"> </w:t>
      </w:r>
      <w:r>
        <w:t xml:space="preserve">contract properly, then the whole point of standardising it disappears.</w:t>
      </w:r>
      <w:r>
        <w:t xml:space="preserve">”</w:t>
      </w:r>
    </w:p>
    <w:p>
      <w:pPr>
        <w:pStyle w:val="FirstParagraph"/>
      </w:pPr>
      <w:r>
        <w:t xml:space="preserve">The client’s position is that they instructed a review of the contracts, not a</w:t>
      </w:r>
      <w:r>
        <w:t xml:space="preserve"> </w:t>
      </w:r>
      <w:r>
        <w:t xml:space="preserve">review against a checklist.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2026-07-28T02:33:53Z</dcterms:created>
  <dcterms:modified xsi:type="dcterms:W3CDTF">2026-07-28T02:33:53Z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