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0f22082bcc8818bf4b78e75e1eea5a273d477e"/>
      <w:r>
        <w:t xml:space="preserve">Week 8 — Ethics, Client Experience and Employee Experience</w:t>
      </w:r>
      <w:bookmarkEnd w:id="20"/>
    </w:p>
    <w:p>
      <w:pPr>
        <w:pStyle w:val="FirstParagraph"/>
      </w:pPr>
      <w:r>
        <w:rPr>
          <w:b/>
        </w:rPr>
        <w:t xml:space="preserve">One hour. Five activities. Work in your group, on your own matter unless</w:t>
      </w:r>
      <w:r>
        <w:rPr>
          <w:b/>
        </w:rPr>
        <w:t xml:space="preserve"> </w:t>
      </w:r>
      <w:r>
        <w:rPr>
          <w:b/>
        </w:rPr>
        <w:t xml:space="preserve">told otherwise.</w:t>
      </w:r>
    </w:p>
    <w:p>
      <w:pPr>
        <w:pStyle w:val="BodyText"/>
      </w:pPr>
      <w:r>
        <w:t xml:space="preserve">Everything you need is in the Library folder</w:t>
      </w:r>
      <w:r>
        <w:t xml:space="preserve"> </w:t>
      </w:r>
      <w:r>
        <w:rPr>
          <w:b/>
        </w:rPr>
        <w:t xml:space="preserve">Week 8 — Ethics, CX &amp; EX</w:t>
      </w:r>
      <w:r>
        <w:t xml:space="preserve"> </w:t>
      </w:r>
      <w:r>
        <w:t xml:space="preserve">and</w:t>
      </w:r>
      <w:r>
        <w:t xml:space="preserve"> </w:t>
      </w:r>
      <w:r>
        <w:t xml:space="preserve">in your group’s Rose project. The matter documents (leases, TSA, MediTrax MSA)</w:t>
      </w:r>
      <w:r>
        <w:t xml:space="preserve"> </w:t>
      </w:r>
      <w:r>
        <w:t xml:space="preserve">are in</w:t>
      </w:r>
      <w:r>
        <w:t xml:space="preserve"> </w:t>
      </w:r>
      <w:r>
        <w:rPr>
          <w:b/>
        </w:rPr>
        <w:t xml:space="preserve">Case file — NexaCare / Whitegum</w:t>
      </w:r>
      <w:r>
        <w:t xml:space="preserve">.</w:t>
      </w:r>
    </w:p>
    <w:p>
      <w:pPr>
        <w:pStyle w:val="Heading2"/>
      </w:pPr>
      <w:bookmarkStart w:id="21" w:name="before-you-start"/>
      <w:r>
        <w:t xml:space="preserve">Before you start</w:t>
      </w:r>
      <w:bookmarkEnd w:id="21"/>
    </w:p>
    <w:p>
      <w:pPr>
        <w:pStyle w:val="FirstParagraph"/>
      </w:pPr>
      <w:r>
        <w:t xml:space="preserve">Open Rose, go to</w:t>
      </w:r>
      <w:r>
        <w:t xml:space="preserve"> </w:t>
      </w:r>
      <w:r>
        <w:rPr>
          <w:b/>
        </w:rPr>
        <w:t xml:space="preserve">Workflows</w:t>
      </w:r>
      <w:r>
        <w:t xml:space="preserve">, and filter for</w:t>
      </w:r>
      <w:r>
        <w:t xml:space="preserve"> </w:t>
      </w:r>
      <w:r>
        <w:rPr>
          <w:b/>
        </w:rPr>
        <w:t xml:space="preserve">(W8)</w:t>
      </w:r>
      <w:r>
        <w:t xml:space="preserve">. You should see exactly</w:t>
      </w:r>
      <w:r>
        <w:t xml:space="preserve"> </w:t>
      </w:r>
      <w:r>
        <w:t xml:space="preserve">five. If you see more or fewer, tell your tutor.</w:t>
      </w:r>
    </w:p>
    <w:p>
      <w:pPr>
        <w:pStyle w:val="BodyText"/>
      </w:pPr>
      <w:r>
        <w:t xml:space="preserve">Two things worth knowing:</w:t>
      </w:r>
    </w:p>
    <w:p>
      <w:pPr>
        <w:numPr>
          <w:ilvl w:val="0"/>
          <w:numId w:val="1001"/>
        </w:numPr>
        <w:pStyle w:val="Compact"/>
      </w:pPr>
      <w:r>
        <w:t xml:space="preserve">Each workflow runs as an</w:t>
      </w:r>
      <w:r>
        <w:t xml:space="preserve"> </w:t>
      </w:r>
      <w:r>
        <w:rPr>
          <w:b/>
        </w:rPr>
        <w:t xml:space="preserve">agent</w:t>
      </w:r>
      <w:r>
        <w:t xml:space="preserve">: it plans steps, runs them, and a senior-</w:t>
      </w:r>
      <w:r>
        <w:t xml:space="preserve"> </w:t>
      </w:r>
      <w:r>
        <w:t xml:space="preserve">partner reviewer marks the output against stated criteria. You will see the</w:t>
      </w:r>
      <w:r>
        <w:t xml:space="preserve"> </w:t>
      </w:r>
      <w:r>
        <w:t xml:space="preserve">reasoning. Read it — the reasoning is the part you are being assessed on.</w:t>
      </w:r>
    </w:p>
    <w:p>
      <w:pPr>
        <w:numPr>
          <w:ilvl w:val="0"/>
          <w:numId w:val="1001"/>
        </w:numPr>
        <w:pStyle w:val="Compact"/>
      </w:pPr>
      <w:r>
        <w:t xml:space="preserve">Some workflows write things (list items, saved clauses). Those pass through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approval gate</w:t>
      </w:r>
      <w:r>
        <w:t xml:space="preserve">. Read what you are approving before you approve it.</w:t>
      </w:r>
    </w:p>
    <w:p>
      <w:pPr>
        <w:pStyle w:val="Heading2"/>
      </w:pPr>
      <w:bookmarkStart w:id="22" w:name="the-five-activities"/>
      <w:r>
        <w:t xml:space="preserve">The five activities</w:t>
      </w:r>
      <w:bookmarkEnd w:id="22"/>
    </w:p>
    <w:p>
      <w:pPr>
        <w:pStyle w:val="Heading3"/>
      </w:pPr>
      <w:bookmarkStart w:id="23" w:name="Xcb74001f510354590270994b39ce1f2aacaa955"/>
      <w:r>
        <w:t xml:space="preserve">1. Client experience (CX) audit &amp; scorecard · ~10 min</w:t>
      </w:r>
      <w:bookmarkEnd w:id="23"/>
    </w:p>
    <w:p>
      <w:pPr>
        <w:pStyle w:val="FirstParagraph"/>
      </w:pPr>
      <w:r>
        <w:t xml:space="preserve">Audit the client experience on your matter against the CX lifecycle. Where is</w:t>
      </w:r>
      <w:r>
        <w:t xml:space="preserve"> </w:t>
      </w:r>
      <w:r>
        <w:t xml:space="preserve">it most at risk, and why is that a</w:t>
      </w:r>
      <w:r>
        <w:t xml:space="preserve"> </w:t>
      </w:r>
      <w:r>
        <w:rPr>
          <w:i/>
        </w:rPr>
        <w:t xml:space="preserve">communication</w:t>
      </w:r>
      <w:r>
        <w:t xml:space="preserve"> </w:t>
      </w:r>
      <w:r>
        <w:t xml:space="preserve">failure rather than a legal</w:t>
      </w:r>
      <w:r>
        <w:t xml:space="preserve"> </w:t>
      </w:r>
      <w:r>
        <w:t xml:space="preserve">one? Most experience failures are.</w:t>
      </w:r>
    </w:p>
    <w:p>
      <w:pPr>
        <w:pStyle w:val="BodyTex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02-cx-ex-reference.docx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01-nps-verbatims.docx</w:t>
      </w:r>
      <w:r>
        <w:t xml:space="preserve">, the correspondence</w:t>
      </w:r>
      <w:r>
        <w:t xml:space="preserve"> </w:t>
      </w:r>
      <w:r>
        <w:t xml:space="preserve">log, and live K&amp;S data.</w:t>
      </w:r>
    </w:p>
    <w:p>
      <w:pPr>
        <w:pStyle w:val="Heading3"/>
      </w:pPr>
      <w:bookmarkStart w:id="24" w:name="ethics-scenario-triage-12-min-tabular"/>
      <w:r>
        <w:t xml:space="preserve">2. Ethics scenario triage · ~12 min · tabular</w:t>
      </w:r>
      <w:bookmarkEnd w:id="24"/>
    </w:p>
    <w:p>
      <w:pPr>
        <w:pStyle w:val="FirstParagraph"/>
      </w:pPr>
      <w:r>
        <w:t xml:space="preserve">Eight scenarios, one row each, assessed against the Australian Solicitors’</w:t>
      </w:r>
      <w:r>
        <w:t xml:space="preserve"> </w:t>
      </w:r>
      <w:r>
        <w:t xml:space="preserve">Conduct Rules and the Legal Profession Uniform Law. This is a</w:t>
      </w:r>
      <w:r>
        <w:t xml:space="preserve"> </w:t>
      </w:r>
      <w:r>
        <w:rPr>
          <w:b/>
        </w:rPr>
        <w:t xml:space="preserve">tabular</w:t>
      </w:r>
      <w:r>
        <w:rPr>
          <w:b/>
        </w:rPr>
        <w:t xml:space="preserve"> </w:t>
      </w:r>
      <w:r>
        <w:rPr>
          <w:b/>
        </w:rPr>
        <w:t xml:space="preserve">review</w:t>
      </w:r>
      <w:r>
        <w:t xml:space="preserve">, not a chat — attach the eight scenario documents as rows.</w:t>
      </w:r>
    </w:p>
    <w:p>
      <w:pPr>
        <w:pStyle w:val="BodyText"/>
      </w:pPr>
      <w:r>
        <w:t xml:space="preserve">Then use</w:t>
      </w:r>
      <w:r>
        <w:t xml:space="preserve"> </w:t>
      </w:r>
      <w:r>
        <w:rPr>
          <w:b/>
        </w:rPr>
        <w:t xml:space="preserve">Tabular Ask</w:t>
      </w:r>
      <w:r>
        <w:t xml:space="preserve"> </w:t>
      </w:r>
      <w:r>
        <w:t xml:space="preserve">across the finished grid: which scenarios share a root</w:t>
      </w:r>
      <w:r>
        <w:t xml:space="preserve"> </w:t>
      </w:r>
      <w:r>
        <w:t xml:space="preserve">cause? Which would a client never discover?</w:t>
      </w:r>
    </w:p>
    <w:p>
      <w:pPr>
        <w:pStyle w:val="BodyText"/>
      </w:pPr>
      <w:r>
        <w:t xml:space="preserve">That last question is the week’s real one. A breach nobody detects is still a</w:t>
      </w:r>
      <w:r>
        <w:t xml:space="preserve"> </w:t>
      </w:r>
      <w:r>
        <w:t xml:space="preserve">breach.</w:t>
      </w:r>
    </w:p>
    <w:p>
      <w:pPr>
        <w:pStyle w:val="Heading3"/>
      </w:pPr>
      <w:bookmarkStart w:id="25" w:name="Xadc0bfeb110af491014aa6fffc127a1f7f983c7"/>
      <w:r>
        <w:t xml:space="preserve">3. Team experience (EX) &amp; psychological-safety pulse · ~10 min</w:t>
      </w:r>
      <w:bookmarkEnd w:id="25"/>
    </w:p>
    <w:p>
      <w:pPr>
        <w:pStyle w:val="FirstParagraph"/>
      </w:pPr>
      <w:r>
        <w:t xml:space="preserve">Read the team’s working pattern out of the K&amp;S time ledger — load,</w:t>
      </w:r>
      <w:r>
        <w:t xml:space="preserve"> </w:t>
      </w:r>
      <w:r>
        <w:t xml:space="preserve">concentration, level fit, supervision. Constrained deliberately to a manager’s</w:t>
      </w:r>
      <w:r>
        <w:t xml:space="preserve"> </w:t>
      </w:r>
      <w:r>
        <w:t xml:space="preserve">remit: it describes work patterns, not people’s states of mind.</w:t>
      </w:r>
    </w:p>
    <w:p>
      <w:pPr>
        <w:pStyle w:val="Heading3"/>
      </w:pPr>
      <w:bookmarkStart w:id="26" w:name="client-happy-path-map-10-min"/>
      <w:r>
        <w:t xml:space="preserve">4. Client happy-path map · ~10 min</w:t>
      </w:r>
      <w:bookmarkEnd w:id="26"/>
    </w:p>
    <w:p>
      <w:pPr>
        <w:pStyle w:val="FirstParagraph"/>
      </w:pPr>
      <w:r>
        <w:t xml:space="preserve">Design the sequence of touchpoints the client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experience, from first</w:t>
      </w:r>
      <w:r>
        <w:t xml:space="preserve"> </w:t>
      </w:r>
      <w:r>
        <w:t xml:space="preserve">conference to after-matter review. Keep it to one page.</w:t>
      </w:r>
    </w:p>
    <w:p>
      <w:pPr>
        <w:pStyle w:val="BodyText"/>
      </w:pPr>
      <w:r>
        <w:rPr>
          <w:b/>
        </w:rPr>
        <w:t xml:space="preserve">Keep this output.</w:t>
      </w:r>
      <w:r>
        <w:t xml:space="preserve"> </w:t>
      </w:r>
      <w:r>
        <w:t xml:space="preserve">Week 9 asks you to implement it.</w:t>
      </w:r>
    </w:p>
    <w:p>
      <w:pPr>
        <w:pStyle w:val="Heading3"/>
      </w:pPr>
      <w:bookmarkStart w:id="27" w:name="cxex-remediation-pack-15-min"/>
      <w:r>
        <w:t xml:space="preserve">5. CX/EX remediation pack · ~15 min</w:t>
      </w:r>
      <w:bookmarkEnd w:id="27"/>
    </w:p>
    <w:p>
      <w:pPr>
        <w:pStyle w:val="FirstParagraph"/>
      </w:pPr>
      <w:r>
        <w:t xml:space="preserve">Assemble the week’s work into one deliverable and export it. Commitments become</w:t>
      </w:r>
      <w:r>
        <w:t xml:space="preserve"> </w:t>
      </w:r>
      <w:r>
        <w:t xml:space="preserve">tracked list items with named owners and real dates.</w:t>
      </w:r>
    </w:p>
    <w:p>
      <w:pPr>
        <w:pStyle w:val="BodyText"/>
      </w:pPr>
      <w:r>
        <w:t xml:space="preserve">Export as the</w:t>
      </w:r>
      <w:r>
        <w:t xml:space="preserve"> </w:t>
      </w:r>
      <w:r>
        <w:rPr>
          <w:b/>
        </w:rPr>
        <w:t xml:space="preserve">Process report</w:t>
      </w:r>
      <w:r>
        <w:t xml:space="preserve">, not the Output report — for an ethics week the</w:t>
      </w:r>
      <w:r>
        <w:t xml:space="preserve"> </w:t>
      </w:r>
      <w:r>
        <w:t xml:space="preserve">reasoning and the review verdicts are what your tutor is marking.</w:t>
      </w:r>
    </w:p>
    <w:p>
      <w:pPr>
        <w:pStyle w:val="Heading2"/>
      </w:pPr>
      <w:bookmarkStart w:id="28" w:name="questions-to-bring-to-the-discussion"/>
      <w:r>
        <w:t xml:space="preserve">Questions to bring to the discussion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Can a strong culture prevent ethical breaches? K&amp;S’s values say integrity;</w:t>
      </w:r>
      <w:r>
        <w:t xml:space="preserve"> </w:t>
      </w:r>
      <w:r>
        <w:t xml:space="preserve">its assessment framework weights realisation rate at 20%. Which one is the</w:t>
      </w:r>
      <w:r>
        <w:t xml:space="preserve"> </w:t>
      </w:r>
      <w:r>
        <w:t xml:space="preserve">culture?</w:t>
      </w:r>
    </w:p>
    <w:p>
      <w:pPr>
        <w:numPr>
          <w:ilvl w:val="0"/>
          <w:numId w:val="1002"/>
        </w:numPr>
        <w:pStyle w:val="Compact"/>
      </w:pPr>
      <w:r>
        <w:t xml:space="preserve">Where did serving the client cost the team, and who decided?</w:t>
      </w:r>
    </w:p>
    <w:p>
      <w:pPr>
        <w:numPr>
          <w:ilvl w:val="0"/>
          <w:numId w:val="1002"/>
        </w:numPr>
        <w:pStyle w:val="Compact"/>
      </w:pPr>
      <w:r>
        <w:t xml:space="preserve">What is your personal rule for when you will rely on an AI statement of law?</w:t>
      </w:r>
    </w:p>
    <w:p>
      <w:pPr>
        <w:pStyle w:val="Heading2"/>
      </w:pPr>
      <w:bookmarkStart w:id="29" w:name="a-caution-about-the-ai"/>
      <w:r>
        <w:t xml:space="preserve">A caution about the AI</w:t>
      </w:r>
      <w:bookmarkEnd w:id="29"/>
    </w:p>
    <w:p>
      <w:pPr>
        <w:pStyle w:val="FirstParagraph"/>
      </w:pPr>
      <w:r>
        <w:t xml:space="preserve">Rose will produce a confident, well-formatted answer to a legal question</w:t>
      </w:r>
      <w:r>
        <w:t xml:space="preserve"> </w:t>
      </w:r>
      <w:r>
        <w:t xml:space="preserve">whether or not it is correct. Where a workflow states a rule, check it. The</w:t>
      </w:r>
      <w:r>
        <w:t xml:space="preserve"> </w:t>
      </w:r>
      <w:r>
        <w:t xml:space="preserve">citation being real does not mean the effect described is right — that gap is</w:t>
      </w:r>
      <w:r>
        <w:t xml:space="preserve"> </w:t>
      </w:r>
      <w:r>
        <w:t xml:space="preserve">the most common failure, and it is the one you are least likely to notice.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2026-07-31T04:17:17Z</dcterms:created>
  <dcterms:modified xsi:type="dcterms:W3CDTF">2026-07-31T04:17:17Z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