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bafa47f28fcd1e190e7c1771b80fea1b349ab3"/>
      <w:r>
        <w:t xml:space="preserve">Week 9 — Transformation and Change Management</w:t>
      </w:r>
      <w:bookmarkEnd w:id="20"/>
    </w:p>
    <w:p>
      <w:pPr>
        <w:pStyle w:val="FirstParagraph"/>
      </w:pPr>
      <w:r>
        <w:rPr>
          <w:b/>
        </w:rPr>
        <w:t xml:space="preserve">One hour. Five activities. Work in your group.</w:t>
      </w:r>
    </w:p>
    <w:p>
      <w:pPr>
        <w:pStyle w:val="BodyText"/>
      </w:pPr>
      <w:r>
        <w:t xml:space="preserve">Everything you need is in the Library folder</w:t>
      </w:r>
      <w:r>
        <w:t xml:space="preserve"> </w:t>
      </w:r>
      <w:r>
        <w:rPr>
          <w:b/>
        </w:rPr>
        <w:t xml:space="preserve">Week 9 — Change management</w:t>
      </w:r>
      <w:r>
        <w:t xml:space="preserve">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04-nexacare-change-brief.docx</w:t>
      </w:r>
      <w:r>
        <w:t xml:space="preserve"> </w:t>
      </w:r>
      <w:r>
        <w:t xml:space="preserve">first — it sets the scenario.</w:t>
      </w:r>
    </w:p>
    <w:p>
      <w:pPr>
        <w:pStyle w:val="Heading2"/>
      </w:pPr>
      <w:bookmarkStart w:id="21" w:name="the-scenario-in-short"/>
      <w:r>
        <w:t xml:space="preserve">The scenario, in short</w:t>
      </w:r>
      <w:bookmarkEnd w:id="21"/>
    </w:p>
    <w:p>
      <w:pPr>
        <w:pStyle w:val="FirstParagraph"/>
      </w:pPr>
      <w:r>
        <w:t xml:space="preserve">Your Week-8 client happy path has been approved as a</w:t>
      </w:r>
      <w:r>
        <w:t xml:space="preserve"> </w:t>
      </w:r>
      <w:r>
        <w:rPr>
          <w:b/>
        </w:rPr>
        <w:t xml:space="preserve">90-day pilot on the</w:t>
      </w:r>
      <w:r>
        <w:rPr>
          <w:b/>
        </w:rPr>
        <w:t xml:space="preserve"> </w:t>
      </w:r>
      <w:r>
        <w:rPr>
          <w:b/>
        </w:rPr>
        <w:t xml:space="preserve">NexaCare matter</w:t>
      </w:r>
      <w:r>
        <w:t xml:space="preserve">. Four behavioural asks of the team: record time</w:t>
      </w:r>
      <w:r>
        <w:t xml:space="preserve"> </w:t>
      </w:r>
      <w:r>
        <w:t xml:space="preserve">contemporaneously, keep task status in the system, hold defined client</w:t>
      </w:r>
      <w:r>
        <w:t xml:space="preserve"> </w:t>
      </w:r>
      <w:r>
        <w:t xml:space="preserve">touchpoints, and make the matter plan visible. No new software — everything is</w:t>
      </w:r>
      <w:r>
        <w:t xml:space="preserve"> </w:t>
      </w:r>
      <w:r>
        <w:t xml:space="preserve">already possible in K&amp;S today.</w:t>
      </w:r>
    </w:p>
    <w:p>
      <w:pPr>
        <w:pStyle w:val="BodyText"/>
      </w:pPr>
      <w:r>
        <w:t xml:space="preserve">Every one of those is individually trivial. Together they change what a</w:t>
      </w:r>
      <w:r>
        <w:t xml:space="preserve"> </w:t>
      </w:r>
      <w:r>
        <w:t xml:space="preserve">lawyer’s Tuesday looks like, they make individual working patterns visible for</w:t>
      </w:r>
      <w:r>
        <w:t xml:space="preserve"> </w:t>
      </w:r>
      <w:r>
        <w:t xml:space="preserve">the first time, and they cost time that is not billable.</w:t>
      </w:r>
    </w:p>
    <w:p>
      <w:pPr>
        <w:pStyle w:val="Heading2"/>
      </w:pPr>
      <w:bookmarkStart w:id="22" w:name="before-you-start"/>
      <w:r>
        <w:t xml:space="preserve">Before you start</w:t>
      </w:r>
      <w:bookmarkEnd w:id="22"/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</w:rPr>
        <w:t xml:space="preserve">Workflows</w:t>
      </w:r>
      <w:r>
        <w:t xml:space="preserve"> </w:t>
      </w:r>
      <w:r>
        <w:t xml:space="preserve">and filter for</w:t>
      </w:r>
      <w:r>
        <w:t xml:space="preserve"> </w:t>
      </w:r>
      <w:r>
        <w:rPr>
          <w:b/>
        </w:rPr>
        <w:t xml:space="preserve">(W9)</w:t>
      </w:r>
      <w:r>
        <w:t xml:space="preserve"> </w:t>
      </w:r>
      <w:r>
        <w:t xml:space="preserve">— exactly five.</w:t>
      </w:r>
    </w:p>
    <w:p>
      <w:pPr>
        <w:pStyle w:val="BodyText"/>
      </w:pPr>
      <w:r>
        <w:t xml:space="preserve">You have read access to the K&amp;S data for your own matter and for NexaCare. Use</w:t>
      </w:r>
      <w:r>
        <w:t xml:space="preserve"> </w:t>
      </w:r>
      <w:r>
        <w:t xml:space="preserve">it.</w:t>
      </w:r>
      <w:r>
        <w:t xml:space="preserve"> </w:t>
      </w:r>
      <w:r>
        <w:rPr>
          <w:rStyle w:val="VerbatimChar"/>
        </w:rPr>
        <w:t xml:space="preserve">03-measuring-change.docx</w:t>
      </w:r>
      <w:r>
        <w:t xml:space="preserve"> </w:t>
      </w:r>
      <w:r>
        <w:t xml:space="preserve">tells you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to pull a baseline; it</w:t>
      </w:r>
      <w:r>
        <w:t xml:space="preserve"> </w:t>
      </w:r>
      <w:r>
        <w:t xml:space="preserve">deliberately does not tell you what you will find.</w:t>
      </w:r>
    </w:p>
    <w:p>
      <w:pPr>
        <w:pStyle w:val="Heading2"/>
      </w:pPr>
      <w:bookmarkStart w:id="23" w:name="the-five-activities"/>
      <w:r>
        <w:t xml:space="preserve">The five activities</w:t>
      </w:r>
      <w:bookmarkEnd w:id="23"/>
    </w:p>
    <w:p>
      <w:pPr>
        <w:pStyle w:val="Heading3"/>
      </w:pPr>
      <w:bookmarkStart w:id="24" w:name="change-urgency-the-evidence-12-min"/>
      <w:r>
        <w:t xml:space="preserve">1. Change urgency — the evidence · ~12 min</w:t>
      </w:r>
      <w:bookmarkEnd w:id="24"/>
    </w:p>
    <w:p>
      <w:pPr>
        <w:pStyle w:val="FirstParagraph"/>
      </w:pPr>
      <w:r>
        <w:t xml:space="preserve">Find out what is actually true about the NexaCare matter, from the data, before</w:t>
      </w:r>
      <w:r>
        <w:t xml:space="preserve"> </w:t>
      </w:r>
      <w:r>
        <w:t xml:space="preserve">you argue anything. Plan versus actual, task completion, how time was captured.</w:t>
      </w:r>
    </w:p>
    <w:p>
      <w:pPr>
        <w:pStyle w:val="BodyText"/>
      </w:pPr>
      <w:r>
        <w:t xml:space="preserve">Then score</w:t>
      </w:r>
      <w:r>
        <w:t xml:space="preserve"> </w:t>
      </w:r>
      <w:r>
        <w:rPr>
          <w:b/>
        </w:rPr>
        <w:t xml:space="preserve">D × V × F &gt; R</w:t>
      </w:r>
      <w:r>
        <w:t xml:space="preserve"> </w:t>
      </w:r>
      <w:r>
        <w:t xml:space="preserve">— dissatisfaction, vision, first steps, resistance.</w:t>
      </w:r>
      <w:r>
        <w:t xml:space="preserve"> </w:t>
      </w:r>
      <w:r>
        <w:t xml:space="preserve">It is a product, not a sum: if any term is zero, nothing happens.</w:t>
      </w:r>
    </w:p>
    <w:p>
      <w:pPr>
        <w:pStyle w:val="BodyText"/>
      </w:pPr>
      <w:r>
        <w:t xml:space="preserve">Expect this to be uncomfortable. That is the point.</w:t>
      </w:r>
    </w:p>
    <w:p>
      <w:pPr>
        <w:pStyle w:val="Heading3"/>
      </w:pPr>
      <w:bookmarkStart w:id="25" w:name="guiding-coalition-diffusion-map-10-min"/>
      <w:r>
        <w:t xml:space="preserve">2. Guiding coalition &amp; diffusion map · ~10 min</w:t>
      </w:r>
      <w:bookmarkEnd w:id="25"/>
    </w:p>
    <w:p>
      <w:pPr>
        <w:pStyle w:val="FirstParagraph"/>
      </w:pPr>
      <w:r>
        <w:t xml:space="preserve">Who leads the change, and — harder — who do you approach first? Place the</w:t>
      </w:r>
      <w:r>
        <w:t xml:space="preserve"> </w:t>
      </w:r>
      <w:r>
        <w:t xml:space="preserve">personas on Rogers’ adopter curve and test your coalition against Kotter’s four</w:t>
      </w:r>
      <w:r>
        <w:t xml:space="preserve"> </w:t>
      </w:r>
      <w:r>
        <w:t xml:space="preserve">requirements: position power, expertise, credibility, leadership.</w:t>
      </w:r>
    </w:p>
    <w:p>
      <w:pPr>
        <w:pStyle w:val="BodyText"/>
      </w:pPr>
      <w:r>
        <w:t xml:space="preserve">The intuitive answer is</w:t>
      </w:r>
      <w:r>
        <w:t xml:space="preserve"> </w:t>
      </w:r>
      <w:r>
        <w:t xml:space="preserve">“</w:t>
      </w:r>
      <w:r>
        <w:t xml:space="preserve">start with the enthusiasts</w:t>
      </w:r>
      <w:r>
        <w:t xml:space="preserve">”</w:t>
      </w:r>
      <w:r>
        <w:t xml:space="preserve">. It is usually wrong.</w:t>
      </w:r>
    </w:p>
    <w:p>
      <w:pPr>
        <w:pStyle w:val="Heading3"/>
      </w:pPr>
      <w:bookmarkStart w:id="26" w:name="change-impact-assessment-12-min-tabular"/>
      <w:r>
        <w:t xml:space="preserve">3. Change impact assessment · ~12 min · tabular</w:t>
      </w:r>
      <w:bookmarkEnd w:id="26"/>
    </w:p>
    <w:p>
      <w:pPr>
        <w:pStyle w:val="FirstParagraph"/>
      </w:pPr>
      <w:r>
        <w:t xml:space="preserve">One row per persona, ten columns. Attach the</w:t>
      </w:r>
      <w:r>
        <w:t xml:space="preserve"> </w:t>
      </w:r>
      <w:r>
        <w:rPr>
          <w:b/>
        </w:rPr>
        <w:t xml:space="preserve">seven persona documents</w:t>
      </w:r>
      <w:r>
        <w:t xml:space="preserve"> </w:t>
      </w:r>
      <w:r>
        <w:t xml:space="preserve">as</w:t>
      </w:r>
      <w:r>
        <w:t xml:space="preserve"> </w:t>
      </w:r>
      <w:r>
        <w:t xml:space="preserve">rows.</w:t>
      </w:r>
    </w:p>
    <w:p>
      <w:pPr>
        <w:pStyle w:val="BodyText"/>
      </w:pPr>
      <w:r>
        <w:t xml:space="preserve">Two columns do the real work:</w:t>
      </w:r>
      <w:r>
        <w:t xml:space="preserve"> </w:t>
      </w:r>
      <w:r>
        <w:rPr>
          <w:b/>
        </w:rPr>
        <w:t xml:space="preserve">what they lose</w:t>
      </w:r>
      <w:r>
        <w:t xml:space="preserve">, and the</w:t>
      </w:r>
      <w:r>
        <w:t xml:space="preserve"> </w:t>
      </w:r>
      <w:r>
        <w:rPr>
          <w:b/>
        </w:rPr>
        <w:t xml:space="preserve">adoption signal</w:t>
      </w:r>
      <w:r>
        <w:t xml:space="preserve">.</w:t>
      </w:r>
      <w:r>
        <w:t xml:space="preserve"> </w:t>
      </w:r>
      <w:r>
        <w:t xml:space="preserve">If your assessment says someone loses nothing, you have not looked hard enough.</w:t>
      </w:r>
      <w:r>
        <w:t xml:space="preserve"> </w:t>
      </w:r>
      <w:r>
        <w:t xml:space="preserve">People resist loss, not change.</w:t>
      </w:r>
    </w:p>
    <w:p>
      <w:pPr>
        <w:pStyle w:val="Heading3"/>
      </w:pPr>
      <w:bookmarkStart w:id="27" w:name="quick-wins-90-day-plan-11-min"/>
      <w:r>
        <w:t xml:space="preserve">4. Quick wins — 90 day plan · ~11 min</w:t>
      </w:r>
      <w:bookmarkEnd w:id="27"/>
    </w:p>
    <w:p>
      <w:pPr>
        <w:pStyle w:val="FirstParagraph"/>
      </w:pPr>
      <w:r>
        <w:t xml:space="preserve">Three wins, each visible, measurable against a baseline you captured, and</w:t>
      </w:r>
      <w:r>
        <w:t xml:space="preserve"> </w:t>
      </w:r>
      <w:r>
        <w:t xml:space="preserve">deliverable inside 90 days. Kotter’s distinction matters: short-term wins are</w:t>
      </w:r>
      <w:r>
        <w:t xml:space="preserve"> </w:t>
      </w:r>
      <w:r>
        <w:rPr>
          <w:b/>
        </w:rPr>
        <w:t xml:space="preserve">created</w:t>
      </w:r>
      <w:r>
        <w:t xml:space="preserve">, not hoped for.</w:t>
      </w:r>
    </w:p>
    <w:p>
      <w:pPr>
        <w:pStyle w:val="BodyText"/>
      </w:pPr>
      <w:r>
        <w:t xml:space="preserve">Include the anti-victory line — what you will say when the first win lands, so</w:t>
      </w:r>
      <w:r>
        <w:t xml:space="preserve"> </w:t>
      </w:r>
      <w:r>
        <w:t xml:space="preserve">nobody declares the change finished.</w:t>
      </w:r>
    </w:p>
    <w:p>
      <w:pPr>
        <w:pStyle w:val="Heading3"/>
      </w:pPr>
      <w:bookmarkStart w:id="28" w:name="week-9-change-pack-15-min"/>
      <w:r>
        <w:t xml:space="preserve">5. Week 9 change pack · ~15 min</w:t>
      </w:r>
      <w:bookmarkEnd w:id="28"/>
    </w:p>
    <w:p>
      <w:pPr>
        <w:pStyle w:val="FirstParagraph"/>
      </w:pPr>
      <w:r>
        <w:t xml:space="preserve">Assemble and export. Build the golden-thread table: every intervention traced</w:t>
      </w:r>
      <w:r>
        <w:t xml:space="preserve"> </w:t>
      </w:r>
      <w:r>
        <w:t xml:space="preserve">to a documented problem, every problem to an intervention or an explicit</w:t>
      </w:r>
      <w:r>
        <w:t xml:space="preserve"> </w:t>
      </w:r>
      <w:r>
        <w:t xml:space="preserve">decision not to act.</w:t>
      </w:r>
    </w:p>
    <w:p>
      <w:pPr>
        <w:pStyle w:val="BodyText"/>
      </w:pPr>
      <w:r>
        <w:t xml:space="preserve">Export the</w:t>
      </w:r>
      <w:r>
        <w:t xml:space="preserve"> </w:t>
      </w:r>
      <w:r>
        <w:rPr>
          <w:b/>
        </w:rPr>
        <w:t xml:space="preserve">Process report</w:t>
      </w:r>
      <w:r>
        <w:t xml:space="preserve">. For a change plan, showing how you reached a</w:t>
      </w:r>
      <w:r>
        <w:t xml:space="preserve"> </w:t>
      </w:r>
      <w:r>
        <w:t xml:space="preserve">position is usually more persuasive than the position.</w:t>
      </w:r>
    </w:p>
    <w:p>
      <w:pPr>
        <w:pStyle w:val="Heading2"/>
      </w:pPr>
      <w:bookmarkStart w:id="29" w:name="the-question-the-week-turns-on"/>
      <w:r>
        <w:t xml:space="preserve">The question the week turns on</w:t>
      </w:r>
      <w:bookmarkEnd w:id="29"/>
    </w:p>
    <w:p>
      <w:pPr>
        <w:pStyle w:val="FirstParagraph"/>
      </w:pPr>
      <w:r>
        <w:t xml:space="preserve">Every change plan can explain why someone</w:t>
      </w:r>
      <w:r>
        <w:t xml:space="preserve"> </w:t>
      </w:r>
      <w:r>
        <w:rPr>
          <w:i/>
        </w:rPr>
        <w:t xml:space="preserve">should</w:t>
      </w:r>
      <w:r>
        <w:t xml:space="preserve"> </w:t>
      </w:r>
      <w:r>
        <w:t xml:space="preserve">adopt it.</w:t>
      </w:r>
    </w:p>
    <w:p>
      <w:pPr>
        <w:pStyle w:val="BodyText"/>
      </w:pPr>
      <w:r>
        <w:rPr>
          <w:b/>
        </w:rPr>
        <w:t xml:space="preserve">Why would James Bentley actually do this?</w:t>
      </w:r>
      <w:r>
        <w:t xml:space="preserve"> </w:t>
      </w:r>
      <w:r>
        <w:t xml:space="preserve">Not should. Would.</w:t>
      </w:r>
    </w:p>
    <w:p>
      <w:pPr>
        <w:pStyle w:val="BodyText"/>
      </w:pPr>
      <w:r>
        <w:t xml:space="preserve">A plan that can only answer the first question is the plan Kotter wrote his</w:t>
      </w:r>
      <w:r>
        <w:t xml:space="preserve"> </w:t>
      </w:r>
      <w:r>
        <w:t xml:space="preserve">article about.</w:t>
      </w:r>
    </w:p>
    <w:p>
      <w:pPr>
        <w:pStyle w:val="Heading2"/>
      </w:pPr>
      <w:bookmarkStart w:id="30" w:name="a-note-on-the-data"/>
      <w:r>
        <w:t xml:space="preserve">A note on the data</w:t>
      </w:r>
      <w:bookmarkEnd w:id="30"/>
    </w:p>
    <w:p>
      <w:pPr>
        <w:pStyle w:val="FirstParagraph"/>
      </w:pPr>
      <w:r>
        <w:t xml:space="preserve">This is a teaching database and some figures are extreme by design. Say what</w:t>
      </w:r>
      <w:r>
        <w:t xml:space="preserve"> </w:t>
      </w:r>
      <w:r>
        <w:t xml:space="preserve">you are assuming — that the pattern is real even where the magnitude is</w:t>
      </w:r>
      <w:r>
        <w:t xml:space="preserve"> </w:t>
      </w:r>
      <w:r>
        <w:t xml:space="preserve">illustrative. A stated assumption earns marks; a hidden one loses them.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2026-07-31T04:17:17Z</dcterms:created>
  <dcterms:modified xsi:type="dcterms:W3CDTF">2026-07-31T04:17:17Z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