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EE5699" w14:textId="2223DA63" w:rsidR="00D60178" w:rsidRPr="00643A72" w:rsidRDefault="00C4293E">
      <w:pPr>
        <w:rPr>
          <w:b/>
          <w:sz w:val="44"/>
        </w:rPr>
      </w:pPr>
      <w:r w:rsidRPr="00643A72">
        <w:rPr>
          <w:b/>
          <w:sz w:val="44"/>
        </w:rPr>
        <w:t>Shareholder Class Action Litigation Data Analysis</w:t>
      </w:r>
    </w:p>
    <w:p w14:paraId="547DC27C" w14:textId="1D9B290A" w:rsidR="00C4293E" w:rsidRDefault="00C4293E"/>
    <w:p w14:paraId="648221FF" w14:textId="6F5F2AC5" w:rsidR="00643A72" w:rsidRDefault="00643A72"/>
    <w:p w14:paraId="30F8C06D" w14:textId="51FAEEFD" w:rsidR="00643A72" w:rsidRDefault="00643A72"/>
    <w:p w14:paraId="22AF2E23" w14:textId="3589C078" w:rsidR="00643A72" w:rsidRDefault="00643A72"/>
    <w:p w14:paraId="00A98793" w14:textId="02C2CCED" w:rsidR="00643A72" w:rsidRDefault="00643A72"/>
    <w:p w14:paraId="063C4E42" w14:textId="0E7EDC1A" w:rsidR="00643A72" w:rsidRDefault="00643A72"/>
    <w:p w14:paraId="33CE88AB" w14:textId="155DDCF1" w:rsidR="00643A72" w:rsidRDefault="00643A72"/>
    <w:p w14:paraId="4CF1D4B4" w14:textId="7479DE58" w:rsidR="00643A72" w:rsidRDefault="00643A72"/>
    <w:p w14:paraId="0253D7D3" w14:textId="658B64E2" w:rsidR="00643A72" w:rsidRDefault="00643A72"/>
    <w:p w14:paraId="2FAA2AE4" w14:textId="2E3C2FD1" w:rsidR="00643A72" w:rsidRDefault="00643A72"/>
    <w:p w14:paraId="5603273C" w14:textId="77777777" w:rsidR="00643A72" w:rsidRDefault="00643A72"/>
    <w:p w14:paraId="6AC47935" w14:textId="0E6AD8F9" w:rsidR="00643A72" w:rsidRDefault="00643A72"/>
    <w:p w14:paraId="34127F88" w14:textId="44B34B4A" w:rsidR="00643A72" w:rsidRDefault="00643A72"/>
    <w:p w14:paraId="2D5C2948" w14:textId="43A86900" w:rsidR="00643A72" w:rsidRDefault="00643A72"/>
    <w:p w14:paraId="2ED10788" w14:textId="241AC0C7" w:rsidR="00643A72" w:rsidRDefault="00643A72"/>
    <w:p w14:paraId="31625A00" w14:textId="77777777" w:rsidR="00643A72" w:rsidRDefault="00643A72"/>
    <w:p w14:paraId="5FB91677" w14:textId="66D41802" w:rsidR="00C4293E" w:rsidRPr="00643A72" w:rsidRDefault="00643A72" w:rsidP="00643A72">
      <w:pPr>
        <w:jc w:val="center"/>
        <w:rPr>
          <w:i/>
          <w:sz w:val="32"/>
        </w:rPr>
      </w:pPr>
      <w:r w:rsidRPr="00643A72">
        <w:rPr>
          <w:i/>
          <w:sz w:val="32"/>
        </w:rPr>
        <w:t>Dolby Laboratories, Inc.</w:t>
      </w:r>
    </w:p>
    <w:p w14:paraId="71A9E3F5" w14:textId="77777777" w:rsidR="00643A72" w:rsidRPr="00643A72" w:rsidRDefault="00643A72" w:rsidP="00643A72">
      <w:pPr>
        <w:jc w:val="center"/>
        <w:rPr>
          <w:i/>
          <w:sz w:val="32"/>
        </w:rPr>
      </w:pPr>
    </w:p>
    <w:p w14:paraId="4CC68AE9" w14:textId="77CBF71D" w:rsidR="00643A72" w:rsidRPr="00643A72" w:rsidRDefault="00643A72" w:rsidP="00643A72">
      <w:pPr>
        <w:jc w:val="center"/>
        <w:rPr>
          <w:i/>
          <w:sz w:val="32"/>
        </w:rPr>
      </w:pPr>
      <w:r w:rsidRPr="00643A72">
        <w:rPr>
          <w:i/>
          <w:sz w:val="32"/>
        </w:rPr>
        <w:t>Merrimack College</w:t>
      </w:r>
      <w:r w:rsidRPr="00643A72">
        <w:rPr>
          <w:i/>
          <w:sz w:val="32"/>
        </w:rPr>
        <w:t xml:space="preserve"> </w:t>
      </w:r>
      <w:r w:rsidRPr="00643A72">
        <w:rPr>
          <w:i/>
          <w:sz w:val="32"/>
        </w:rPr>
        <w:t>– August 2018</w:t>
      </w:r>
    </w:p>
    <w:p w14:paraId="612E7F94" w14:textId="0FECA8DC" w:rsidR="00C4293E" w:rsidRPr="00643A72" w:rsidRDefault="00C4293E" w:rsidP="00643A72">
      <w:pPr>
        <w:jc w:val="center"/>
        <w:rPr>
          <w:i/>
          <w:sz w:val="32"/>
        </w:rPr>
      </w:pPr>
    </w:p>
    <w:p w14:paraId="1A33EF70" w14:textId="77777777" w:rsidR="00643A72" w:rsidRPr="00643A72" w:rsidRDefault="00C4293E" w:rsidP="00643A72">
      <w:pPr>
        <w:jc w:val="center"/>
        <w:rPr>
          <w:i/>
          <w:sz w:val="32"/>
        </w:rPr>
      </w:pPr>
      <w:r w:rsidRPr="00643A72">
        <w:rPr>
          <w:i/>
          <w:sz w:val="32"/>
        </w:rPr>
        <w:t xml:space="preserve">Patrick Doyle – </w:t>
      </w:r>
      <w:r w:rsidR="00643A72" w:rsidRPr="00643A72">
        <w:rPr>
          <w:i/>
          <w:sz w:val="32"/>
        </w:rPr>
        <w:t xml:space="preserve">Dr. Andrew </w:t>
      </w:r>
      <w:proofErr w:type="spellStart"/>
      <w:r w:rsidR="00643A72" w:rsidRPr="00643A72">
        <w:rPr>
          <w:i/>
          <w:sz w:val="32"/>
        </w:rPr>
        <w:t>Banasiewicz</w:t>
      </w:r>
      <w:proofErr w:type="spellEnd"/>
    </w:p>
    <w:p w14:paraId="45F273DF" w14:textId="01540569" w:rsidR="00C4293E" w:rsidRDefault="00C4293E"/>
    <w:p w14:paraId="5EBE7407" w14:textId="77777777" w:rsidR="00643A72" w:rsidRDefault="00643A72"/>
    <w:p w14:paraId="0C64AD2A" w14:textId="77777777" w:rsidR="00643A72" w:rsidRDefault="00643A72"/>
    <w:p w14:paraId="6257922F" w14:textId="77777777" w:rsidR="00643A72" w:rsidRDefault="00643A72"/>
    <w:p w14:paraId="362E3ABC" w14:textId="77777777" w:rsidR="00643A72" w:rsidRDefault="00643A72"/>
    <w:p w14:paraId="7E4BC74B" w14:textId="77777777" w:rsidR="00643A72" w:rsidRDefault="00643A72"/>
    <w:p w14:paraId="1E732BFA" w14:textId="77777777" w:rsidR="00643A72" w:rsidRDefault="00643A72"/>
    <w:p w14:paraId="725A5E8C" w14:textId="77777777" w:rsidR="00643A72" w:rsidRDefault="00643A72"/>
    <w:p w14:paraId="21543365" w14:textId="77777777" w:rsidR="00643A72" w:rsidRDefault="00643A72"/>
    <w:p w14:paraId="7B858073" w14:textId="77777777" w:rsidR="00643A72" w:rsidRDefault="00643A72"/>
    <w:p w14:paraId="7ACBDA2D" w14:textId="77777777" w:rsidR="00643A72" w:rsidRDefault="00643A72"/>
    <w:p w14:paraId="6CB6633E" w14:textId="77777777" w:rsidR="00643A72" w:rsidRDefault="00643A72"/>
    <w:p w14:paraId="211DC798" w14:textId="52051F7C" w:rsidR="00643A72" w:rsidRDefault="00643A72"/>
    <w:p w14:paraId="2995A719" w14:textId="6D3835C2" w:rsidR="00643A72" w:rsidRDefault="00643A72"/>
    <w:p w14:paraId="20733EDA" w14:textId="003EEFEA" w:rsidR="00643A72" w:rsidRDefault="00643A72"/>
    <w:p w14:paraId="098698C3" w14:textId="0B9F1F86" w:rsidR="00643A72" w:rsidRDefault="00643A72"/>
    <w:p w14:paraId="72891FC0" w14:textId="1193EFA8" w:rsidR="00643A72" w:rsidRDefault="00643A72"/>
    <w:p w14:paraId="735DC9FC" w14:textId="701AAD19" w:rsidR="00643A72" w:rsidRDefault="00643A72"/>
    <w:p w14:paraId="4A6F8F4B" w14:textId="77777777" w:rsidR="00643A72" w:rsidRDefault="00643A72"/>
    <w:p w14:paraId="0F6046FE" w14:textId="358B89E1" w:rsidR="00C4293E" w:rsidRDefault="00C4293E">
      <w:pPr>
        <w:rPr>
          <w:b/>
          <w:sz w:val="36"/>
        </w:rPr>
      </w:pPr>
      <w:r w:rsidRPr="000D7BEE">
        <w:rPr>
          <w:b/>
          <w:sz w:val="36"/>
        </w:rPr>
        <w:lastRenderedPageBreak/>
        <w:t>Abstract</w:t>
      </w:r>
    </w:p>
    <w:p w14:paraId="45355049" w14:textId="77777777" w:rsidR="000D7BEE" w:rsidRPr="000D7BEE" w:rsidRDefault="000D7BEE">
      <w:pPr>
        <w:rPr>
          <w:b/>
          <w:sz w:val="36"/>
        </w:rPr>
      </w:pPr>
    </w:p>
    <w:p w14:paraId="50B7B4B8" w14:textId="3AC1B598" w:rsidR="009D1279" w:rsidRDefault="009D1279">
      <w:r>
        <w:tab/>
        <w:t xml:space="preserve">The purpose of this paper was to utilize market data from different sources to make statistically significant predictions for </w:t>
      </w:r>
      <w:r w:rsidRPr="009D1279">
        <w:rPr>
          <w:i/>
        </w:rPr>
        <w:t>Dolby Laboratories Incorporated</w:t>
      </w:r>
      <w:r w:rsidR="00FD3CCB">
        <w:rPr>
          <w:i/>
        </w:rPr>
        <w:t xml:space="preserve"> </w:t>
      </w:r>
      <w:r w:rsidR="00FD3CCB">
        <w:t>with regard to shareholder class action litigation</w:t>
      </w:r>
      <w:r>
        <w:t>.  The chance of litigation within GISC 45 and the settlement amount in the event of a lost lawsuit were predicted using information fro</w:t>
      </w:r>
      <w:r w:rsidR="00CD666E">
        <w:t xml:space="preserve">m five different data sources. </w:t>
      </w:r>
    </w:p>
    <w:p w14:paraId="7C9BB07B" w14:textId="042795FD" w:rsidR="00CD666E" w:rsidRDefault="00CD666E">
      <w:r>
        <w:tab/>
        <w:t>The data sources were explored, transformed and merged to create a unified data set containing the highest possible quality data relevant to the predictions that needed to be executed.  Hypothesis testing and predictive modeling techniques were executed on the transformed information with results placed in the results summary section.</w:t>
      </w:r>
      <w:r>
        <w:br/>
      </w:r>
    </w:p>
    <w:p w14:paraId="0A4E64CA" w14:textId="55EB8612" w:rsidR="00C4293E" w:rsidRPr="002876C6" w:rsidRDefault="00C4293E">
      <w:pPr>
        <w:rPr>
          <w:b/>
        </w:rPr>
      </w:pPr>
      <w:r w:rsidRPr="002876C6">
        <w:rPr>
          <w:b/>
          <w:sz w:val="36"/>
        </w:rPr>
        <w:t>Data Preparation</w:t>
      </w:r>
    </w:p>
    <w:p w14:paraId="47833C53" w14:textId="10AE298D" w:rsidR="00A97A97" w:rsidRDefault="00A97A97"/>
    <w:p w14:paraId="047CC132" w14:textId="589D4DCB" w:rsidR="00A97A97" w:rsidRDefault="00A97A97">
      <w:r>
        <w:tab/>
        <w:t>The data that was studied, parsed, cleaned and normalized was delivered as five separate filed utilized a tabular structure (comma or tab delimited)</w:t>
      </w:r>
      <w:r w:rsidR="004423BB">
        <w:t xml:space="preserve"> spanning the time from 2010 to </w:t>
      </w:r>
      <w:r w:rsidR="00432B17">
        <w:t>2014</w:t>
      </w:r>
      <w:r>
        <w:t>.  Each data set was studied and simplified into data-frames containing information possibly relevant to eventual modeling using a Boolean indicative of litigation as the dependent variable.</w:t>
      </w:r>
    </w:p>
    <w:p w14:paraId="43379B70" w14:textId="41782F24" w:rsidR="00A97A97" w:rsidRDefault="00A97A97">
      <w:r>
        <w:tab/>
      </w:r>
      <w:r w:rsidR="00320C7E">
        <w:t>At the highest level</w:t>
      </w:r>
      <w:r>
        <w:t xml:space="preserve"> the data sets were transformed into a form in which each record contained a stock ticker acronym and a fiscal year as a dual attribute unique value so that it could be joined with other data later in the transformation process.</w:t>
      </w:r>
      <w:r w:rsidR="00D96F47">
        <w:t xml:space="preserve">  </w:t>
      </w:r>
      <w:r w:rsidR="00987C2F">
        <w:t xml:space="preserve">A yearly record was chosen because the litigation and SEC fundamentals data were delivered on the yearly scale.  </w:t>
      </w:r>
      <w:r w:rsidR="00D96F47">
        <w:t>All the delivered data with the exception of the class action litigation cases file was specific to GICS 45 – Information Technology Sector.  This is the GICS containing Dolby (DLB).  The entire group was used even though sub-sector information was provided as using any less than the entire industry would certainly yield a less than appropriate amount of data for analysis.</w:t>
      </w:r>
    </w:p>
    <w:p w14:paraId="579DA760" w14:textId="6D9B2755" w:rsidR="00BC127B" w:rsidRDefault="00D96F47">
      <w:r>
        <w:tab/>
        <w:t xml:space="preserve">The </w:t>
      </w:r>
      <w:r>
        <w:rPr>
          <w:i/>
        </w:rPr>
        <w:t>Securities_DLB.csv</w:t>
      </w:r>
      <w:r>
        <w:t xml:space="preserve"> data was used as the base data set.  This was chosen as this had the largest number of rows containing unique ticker-year combinations of all the delivered data after aggregation by year.  It was discovered that if the </w:t>
      </w:r>
      <w:proofErr w:type="spellStart"/>
      <w:r>
        <w:rPr>
          <w:i/>
        </w:rPr>
        <w:t>pccrm</w:t>
      </w:r>
      <w:proofErr w:type="spellEnd"/>
      <w:r>
        <w:t xml:space="preserve"> field indicating the closing price of a stock on a given month was null, most relevant data was missing.  The ticker, year, monthly trading volume and closing price for each month </w:t>
      </w:r>
      <w:r w:rsidR="004938C8">
        <w:t>was</w:t>
      </w:r>
      <w:r>
        <w:t xml:space="preserve"> extracted from the data set and grouped by ticker and year.  </w:t>
      </w:r>
    </w:p>
    <w:p w14:paraId="22588331" w14:textId="54B7AD96" w:rsidR="00A14BED" w:rsidRDefault="00D96F47" w:rsidP="008879B0">
      <w:pPr>
        <w:ind w:firstLine="720"/>
      </w:pPr>
      <w:r>
        <w:t>The trading volume and closing prices were averaged for a given year.  This produced a data set that adhered to the yearly company metric convention decided upon.</w:t>
      </w:r>
      <w:r w:rsidR="00A14BED">
        <w:t xml:space="preserve">  A final field was calculated and added to the data called </w:t>
      </w:r>
      <w:r w:rsidR="00A14BED">
        <w:rPr>
          <w:i/>
        </w:rPr>
        <w:t>price-trend</w:t>
      </w:r>
      <w:r w:rsidR="00A14BED">
        <w:t>.  This was calculated by subtracting the last closing price of a given year from the first one.  The averages aggregated prior to this calculation left the data with no indication of yearly organizational growth.</w:t>
      </w:r>
      <w:r w:rsidR="00BC127B">
        <w:t xml:space="preserve">  Finally, null values for monthly trading volumes were replaced with zeros prior to yearly aggregation.  Spot checking multiple organizations that had null trading volumes accurately depicted that it was not publicly traded during the period of the record.</w:t>
      </w:r>
    </w:p>
    <w:p w14:paraId="258B459C" w14:textId="44F018DB" w:rsidR="00432B17" w:rsidRDefault="00432B17" w:rsidP="008879B0">
      <w:pPr>
        <w:ind w:firstLine="720"/>
      </w:pPr>
      <w:r>
        <w:rPr>
          <w:i/>
        </w:rPr>
        <w:lastRenderedPageBreak/>
        <w:t>Ratings_DLB.csv</w:t>
      </w:r>
      <w:r>
        <w:t xml:space="preserve"> was a file containing data relevant to Standard &amp; Poor’s various ratings of publicly traded companies on a monthly time scale.  The various ratings all had different styles (A+ vs AAA etc..).  All ratings fields were converted to a number value as they are categorical, but ranking is still relevant (and averaging).  Anything starting with an A was converted to a 4, B’s a 3, C’s a 2, D’s a 1, missing values a 0, and liquidation status a -1.  Due to the nature of missing ratings, a correlation was calculated among the various ratings with null and empty values removed.  There was a very convincing (over 97%) correlation between the overall quality ranking and the long-term credit rating for an organization.  Because of this, missing quality rankings could confidently be substituted with long-term ratings where applicable.  The ratings were then aggregated by year, averaging the monthly company ratings and joined to the securities data set.</w:t>
      </w:r>
    </w:p>
    <w:p w14:paraId="5DE76C0D" w14:textId="3FBE03F3" w:rsidR="00342FA4" w:rsidRDefault="00432B17" w:rsidP="00342FA4">
      <w:pPr>
        <w:ind w:firstLine="720"/>
      </w:pPr>
      <w:r>
        <w:rPr>
          <w:i/>
        </w:rPr>
        <w:t>Stocks_DLB.txt</w:t>
      </w:r>
      <w:r>
        <w:t xml:space="preserve"> was a tab delimited file containing daily stock data.</w:t>
      </w:r>
      <w:r w:rsidR="00342FA4">
        <w:t xml:space="preserve">  The useful data from this set was earnings per share and shares outstanding.  Both attributes were aggregated and averaged by company and year and added to the securities data set.  Any records that contained null values for ESP and for outstanding shares were omitted which eliminated null values from the data.</w:t>
      </w:r>
    </w:p>
    <w:p w14:paraId="6D392D07" w14:textId="7227D309" w:rsidR="00EF678B" w:rsidRDefault="00EF678B" w:rsidP="00EF678B">
      <w:pPr>
        <w:ind w:firstLine="720"/>
      </w:pPr>
      <w:r>
        <w:rPr>
          <w:i/>
        </w:rPr>
        <w:t xml:space="preserve">Sca_filings.csv </w:t>
      </w:r>
      <w:r>
        <w:t xml:space="preserve">was a comma delimited listing of corporate litigations with results, dollars settled and the year of the filing.  The file had to be parsed to remove the dollar sign symbols.  The company listing from the securities file was used to filter the litigation data down to GICS 45.  All litigations in an </w:t>
      </w:r>
      <w:r>
        <w:rPr>
          <w:i/>
        </w:rPr>
        <w:t>ONGOING</w:t>
      </w:r>
      <w:r>
        <w:t xml:space="preserve"> state were manually researched and modified if the status had been altered and a settlement amount entered where applicable.  All remaining </w:t>
      </w:r>
      <w:r w:rsidRPr="00EF678B">
        <w:rPr>
          <w:i/>
        </w:rPr>
        <w:t>ONGOING</w:t>
      </w:r>
      <w:r>
        <w:t xml:space="preserve"> data was removed from the set.  </w:t>
      </w:r>
      <w:r w:rsidRPr="00EF678B">
        <w:t>The</w:t>
      </w:r>
      <w:r>
        <w:t xml:space="preserve"> data was then modified to create a Boolean field called </w:t>
      </w:r>
      <w:r>
        <w:rPr>
          <w:i/>
        </w:rPr>
        <w:t>was-litigated</w:t>
      </w:r>
      <w:r>
        <w:t xml:space="preserve"> along with filing year and settlement amount.  This eliminated the need for a category with more than two states as a true Boolean for </w:t>
      </w:r>
      <w:r>
        <w:rPr>
          <w:i/>
        </w:rPr>
        <w:t>was-litigated</w:t>
      </w:r>
      <w:r>
        <w:t xml:space="preserve"> with a zero-dollar settlement amount was indicative of a dismissal.</w:t>
      </w:r>
      <w:r w:rsidR="00687E6A">
        <w:t xml:space="preserve">  This data was added to the securities data.</w:t>
      </w:r>
      <w:r w:rsidR="00662C12">
        <w:t xml:space="preserve">  The dollar amount for settlements was transformed to a percentage of organization value after being added (settlement / [trading value x shares outstanding]).</w:t>
      </w:r>
    </w:p>
    <w:p w14:paraId="4138BA51" w14:textId="7FD25BE9" w:rsidR="0083639C" w:rsidRDefault="00687E6A" w:rsidP="0083639C">
      <w:pPr>
        <w:ind w:firstLine="720"/>
      </w:pPr>
      <w:r>
        <w:rPr>
          <w:i/>
        </w:rPr>
        <w:t>Fundamentals_DLB.csv</w:t>
      </w:r>
      <w:r>
        <w:t xml:space="preserve"> was a large file containing over 1800 attributes for each record.  Mostly null records labeled </w:t>
      </w:r>
      <w:r>
        <w:rPr>
          <w:i/>
        </w:rPr>
        <w:t>SUMM_STD</w:t>
      </w:r>
      <w:r>
        <w:t xml:space="preserve"> were eliminated as the first step in the cleaning process, followed by records that were over 80% null.  These two steps narrowed</w:t>
      </w:r>
      <w:r w:rsidR="00956D56">
        <w:t xml:space="preserve"> the data down to 418 columns.  The data was then manually analyzed in batches that made sense according to the data dictionary that was provided.</w:t>
      </w:r>
      <w:r w:rsidR="008973A8">
        <w:t xml:space="preserve">  The batches were subjected to multi-variate correlation analysis and common-sense relevance of the attribute.  The batches of non-correlating data were then tested for correlation with each other and further reduced (A correlation of .65 or -.65 was deemed significant and reduced based on sensibility and amount of null values).  The result was a clean data-set with null values replaced with zeroes.  There were 35 attributes that represented the data</w:t>
      </w:r>
      <w:r w:rsidR="0083639C">
        <w:t xml:space="preserve"> for 1600 company-years.  The data was then joined to the securities data to complete the data frame.</w:t>
      </w:r>
    </w:p>
    <w:p w14:paraId="441CF14E" w14:textId="424C51B0" w:rsidR="00BA4081" w:rsidRDefault="00BA4081" w:rsidP="0083639C">
      <w:pPr>
        <w:ind w:firstLine="720"/>
      </w:pPr>
      <w:r>
        <w:t>It is worth noting that the fundamentals data also contained an S&amp;P rating for each company.  This was used to supplement any null values from the ratings set to further increase quality.</w:t>
      </w:r>
    </w:p>
    <w:p w14:paraId="39179D2E" w14:textId="6BC9CD81" w:rsidR="0083639C" w:rsidRDefault="00BC66D2" w:rsidP="0083639C">
      <w:pPr>
        <w:ind w:firstLine="720"/>
      </w:pPr>
      <w:r>
        <w:t xml:space="preserve">The unified data set was then tested again for correlation analysis and further reduced.  </w:t>
      </w:r>
      <w:r w:rsidR="000143F2">
        <w:t xml:space="preserve">A final record was created called </w:t>
      </w:r>
      <w:r w:rsidR="0093337D">
        <w:rPr>
          <w:i/>
        </w:rPr>
        <w:t>market-valuation</w:t>
      </w:r>
      <w:r w:rsidR="000143F2">
        <w:t xml:space="preserve">.  This was derived from multiplying the shares outstanding by the closing price.  This aided in creating information more valuable for </w:t>
      </w:r>
      <w:r w:rsidR="000143F2">
        <w:lastRenderedPageBreak/>
        <w:t xml:space="preserve">analysis as closing price and shares outstanding both only tell part of a picture.  Closing price also had high correlations with earnings per share and long-term taxes.  Those were eliminated as a side-effect of creating higher quality information.  </w:t>
      </w:r>
      <w:r w:rsidR="003C0514">
        <w:t xml:space="preserve">Market-Valuation also produced over a 75% correlation with EPS, retained earnings, liability and accounts receivable fields, allowing for further reduction.  </w:t>
      </w:r>
      <w:r w:rsidR="004E26E0" w:rsidRPr="000143F2">
        <w:t>Records</w:t>
      </w:r>
      <w:r w:rsidR="004E26E0">
        <w:t xml:space="preserve"> with many null </w:t>
      </w:r>
      <w:r w:rsidR="00BF09B6">
        <w:t>entries</w:t>
      </w:r>
      <w:r w:rsidR="004E26E0">
        <w:t xml:space="preserve"> as results of full joins were eliminated.  </w:t>
      </w:r>
      <w:r>
        <w:t>The resulting data set contained the following information:</w:t>
      </w:r>
    </w:p>
    <w:p w14:paraId="3D7B0668" w14:textId="77777777" w:rsidR="003E5E38" w:rsidRDefault="003E5E38" w:rsidP="00DC4B1C"/>
    <w:p w14:paraId="652A6B9D" w14:textId="0B8D0EBC" w:rsidR="00DC4B1C" w:rsidRDefault="00DC4B1C" w:rsidP="00DC4B1C">
      <w:pPr>
        <w:sectPr w:rsidR="00DC4B1C" w:rsidSect="00100172">
          <w:pgSz w:w="12240" w:h="15840"/>
          <w:pgMar w:top="1440" w:right="1440" w:bottom="1440" w:left="1440" w:header="720" w:footer="720" w:gutter="0"/>
          <w:cols w:space="720"/>
          <w:docGrid w:linePitch="360"/>
        </w:sectPr>
      </w:pPr>
    </w:p>
    <w:p w14:paraId="68191A14" w14:textId="445A1FBC" w:rsidR="00B06245" w:rsidRDefault="00B06245" w:rsidP="00BC66D2">
      <w:pPr>
        <w:pStyle w:val="ListParagraph"/>
        <w:numPr>
          <w:ilvl w:val="0"/>
          <w:numId w:val="4"/>
        </w:numPr>
      </w:pPr>
      <w:r>
        <w:t>Settlement as Percent of Market Valuation</w:t>
      </w:r>
    </w:p>
    <w:p w14:paraId="0D41A467" w14:textId="6E13DBFF" w:rsidR="00B06245" w:rsidRDefault="00B06245" w:rsidP="00BC66D2">
      <w:pPr>
        <w:pStyle w:val="ListParagraph"/>
        <w:numPr>
          <w:ilvl w:val="0"/>
          <w:numId w:val="4"/>
        </w:numPr>
      </w:pPr>
      <w:r>
        <w:t>Accumulated Loss</w:t>
      </w:r>
    </w:p>
    <w:p w14:paraId="0AEBBCA0" w14:textId="50805580" w:rsidR="00B06245" w:rsidRDefault="00B06245" w:rsidP="00BC66D2">
      <w:pPr>
        <w:pStyle w:val="ListParagraph"/>
        <w:numPr>
          <w:ilvl w:val="0"/>
          <w:numId w:val="4"/>
        </w:numPr>
      </w:pPr>
      <w:r>
        <w:t>Capital Reserves</w:t>
      </w:r>
    </w:p>
    <w:p w14:paraId="665CE00C" w14:textId="7B557625" w:rsidR="00B06245" w:rsidRDefault="00B06245" w:rsidP="00BC66D2">
      <w:pPr>
        <w:pStyle w:val="ListParagraph"/>
        <w:numPr>
          <w:ilvl w:val="0"/>
          <w:numId w:val="4"/>
        </w:numPr>
      </w:pPr>
      <w:r>
        <w:t>Cash</w:t>
      </w:r>
    </w:p>
    <w:p w14:paraId="18A26E97" w14:textId="7A384A92" w:rsidR="00B06245" w:rsidRDefault="00B06245" w:rsidP="00BC66D2">
      <w:pPr>
        <w:pStyle w:val="ListParagraph"/>
        <w:numPr>
          <w:ilvl w:val="0"/>
          <w:numId w:val="4"/>
        </w:numPr>
      </w:pPr>
      <w:r>
        <w:t>Common Stock</w:t>
      </w:r>
    </w:p>
    <w:p w14:paraId="2BCCAAFE" w14:textId="1EF08C63" w:rsidR="00B06245" w:rsidRDefault="00B06245" w:rsidP="00BC66D2">
      <w:pPr>
        <w:pStyle w:val="ListParagraph"/>
        <w:numPr>
          <w:ilvl w:val="0"/>
          <w:numId w:val="4"/>
        </w:numPr>
      </w:pPr>
      <w:r>
        <w:t>Finance (Other/Broad)</w:t>
      </w:r>
    </w:p>
    <w:p w14:paraId="0D4676D4" w14:textId="3690439B" w:rsidR="00B06245" w:rsidRDefault="00B06245" w:rsidP="00BC66D2">
      <w:pPr>
        <w:pStyle w:val="ListParagraph"/>
        <w:numPr>
          <w:ilvl w:val="0"/>
          <w:numId w:val="4"/>
        </w:numPr>
      </w:pPr>
      <w:r>
        <w:t>Finance (Cash Flow)</w:t>
      </w:r>
    </w:p>
    <w:p w14:paraId="577E5BC9" w14:textId="79219CAC" w:rsidR="00B06245" w:rsidRDefault="00B06245" w:rsidP="00BC66D2">
      <w:pPr>
        <w:pStyle w:val="ListParagraph"/>
        <w:numPr>
          <w:ilvl w:val="0"/>
          <w:numId w:val="4"/>
        </w:numPr>
      </w:pPr>
      <w:r>
        <w:t>Other Funds</w:t>
      </w:r>
    </w:p>
    <w:p w14:paraId="198465F1" w14:textId="0BF1B58D" w:rsidR="00B06245" w:rsidRDefault="00B06245" w:rsidP="00BC66D2">
      <w:pPr>
        <w:pStyle w:val="ListParagraph"/>
        <w:numPr>
          <w:ilvl w:val="0"/>
          <w:numId w:val="4"/>
        </w:numPr>
      </w:pPr>
      <w:r>
        <w:t>Inventory Differential</w:t>
      </w:r>
    </w:p>
    <w:p w14:paraId="52CE9240" w14:textId="61CE0F1B" w:rsidR="00B06245" w:rsidRDefault="00B06245" w:rsidP="00BC66D2">
      <w:pPr>
        <w:pStyle w:val="ListParagraph"/>
        <w:numPr>
          <w:ilvl w:val="0"/>
          <w:numId w:val="4"/>
        </w:numPr>
      </w:pPr>
      <w:r>
        <w:t>Options Granted</w:t>
      </w:r>
    </w:p>
    <w:p w14:paraId="39266C6E" w14:textId="15B786B5" w:rsidR="00B06245" w:rsidRDefault="00B06245" w:rsidP="00BC66D2">
      <w:pPr>
        <w:pStyle w:val="ListParagraph"/>
        <w:numPr>
          <w:ilvl w:val="0"/>
          <w:numId w:val="4"/>
        </w:numPr>
      </w:pPr>
      <w:r>
        <w:t>Risk Free Rate</w:t>
      </w:r>
    </w:p>
    <w:p w14:paraId="3CB77FCE" w14:textId="2B38B89A" w:rsidR="00B06245" w:rsidRDefault="00B06245" w:rsidP="00BC66D2">
      <w:pPr>
        <w:pStyle w:val="ListParagraph"/>
        <w:numPr>
          <w:ilvl w:val="0"/>
          <w:numId w:val="4"/>
        </w:numPr>
      </w:pPr>
      <w:r>
        <w:t>Assumed Volatility</w:t>
      </w:r>
    </w:p>
    <w:p w14:paraId="3A0EB65A" w14:textId="1A023BFE" w:rsidR="00B06245" w:rsidRDefault="00B06245" w:rsidP="00BC66D2">
      <w:pPr>
        <w:pStyle w:val="ListParagraph"/>
        <w:numPr>
          <w:ilvl w:val="0"/>
          <w:numId w:val="4"/>
        </w:numPr>
      </w:pPr>
      <w:r>
        <w:t>Sale of Investments</w:t>
      </w:r>
    </w:p>
    <w:p w14:paraId="62C44614" w14:textId="1B83F8F6" w:rsidR="00B06245" w:rsidRDefault="00B06245" w:rsidP="00BC66D2">
      <w:pPr>
        <w:pStyle w:val="ListParagraph"/>
        <w:numPr>
          <w:ilvl w:val="0"/>
          <w:numId w:val="4"/>
        </w:numPr>
      </w:pPr>
      <w:r>
        <w:t>Long-Term Taxable Assets</w:t>
      </w:r>
    </w:p>
    <w:p w14:paraId="1507FD05" w14:textId="28F09117" w:rsidR="00BA4081" w:rsidRDefault="00BA4081" w:rsidP="00BC66D2">
      <w:pPr>
        <w:pStyle w:val="ListParagraph"/>
        <w:numPr>
          <w:ilvl w:val="0"/>
          <w:numId w:val="4"/>
        </w:numPr>
      </w:pPr>
      <w:r>
        <w:t>Price Trend</w:t>
      </w:r>
    </w:p>
    <w:p w14:paraId="4BA02240" w14:textId="44F2E447" w:rsidR="00BA4081" w:rsidRDefault="00BA4081" w:rsidP="00BC66D2">
      <w:pPr>
        <w:pStyle w:val="ListParagraph"/>
        <w:numPr>
          <w:ilvl w:val="0"/>
          <w:numId w:val="4"/>
        </w:numPr>
      </w:pPr>
      <w:r>
        <w:t>Closing Price (Mean)</w:t>
      </w:r>
    </w:p>
    <w:p w14:paraId="1A26A0E3" w14:textId="4CCD85B2" w:rsidR="00BA4081" w:rsidRDefault="00BA4081" w:rsidP="00BC66D2">
      <w:pPr>
        <w:pStyle w:val="ListParagraph"/>
        <w:numPr>
          <w:ilvl w:val="0"/>
          <w:numId w:val="4"/>
        </w:numPr>
      </w:pPr>
      <w:r>
        <w:t>EPS (Mean)</w:t>
      </w:r>
    </w:p>
    <w:p w14:paraId="038ED795" w14:textId="232E8EE0" w:rsidR="00BA4081" w:rsidRDefault="00BA4081" w:rsidP="00BC66D2">
      <w:pPr>
        <w:pStyle w:val="ListParagraph"/>
        <w:numPr>
          <w:ilvl w:val="0"/>
          <w:numId w:val="4"/>
        </w:numPr>
      </w:pPr>
      <w:r>
        <w:t>Shares Outstanding (Mean)</w:t>
      </w:r>
    </w:p>
    <w:p w14:paraId="5C877D77" w14:textId="1B748014" w:rsidR="00BA4081" w:rsidRDefault="00BA4081" w:rsidP="00BA4081">
      <w:pPr>
        <w:pStyle w:val="ListParagraph"/>
        <w:numPr>
          <w:ilvl w:val="0"/>
          <w:numId w:val="4"/>
        </w:numPr>
      </w:pPr>
      <w:r>
        <w:t>Was Litigated (Boolean)</w:t>
      </w:r>
    </w:p>
    <w:p w14:paraId="5F623EE1" w14:textId="78872B5E" w:rsidR="00BA4081" w:rsidRDefault="00BA4081" w:rsidP="00BA4081">
      <w:pPr>
        <w:pStyle w:val="ListParagraph"/>
        <w:numPr>
          <w:ilvl w:val="0"/>
          <w:numId w:val="4"/>
        </w:numPr>
      </w:pPr>
      <w:r>
        <w:t>Company Rating</w:t>
      </w:r>
    </w:p>
    <w:p w14:paraId="7497AC9E" w14:textId="087FA2A8" w:rsidR="0093337D" w:rsidRDefault="0093337D" w:rsidP="00BA4081">
      <w:pPr>
        <w:pStyle w:val="ListParagraph"/>
        <w:numPr>
          <w:ilvl w:val="0"/>
          <w:numId w:val="4"/>
        </w:numPr>
      </w:pPr>
      <w:r>
        <w:t>Market Valuation</w:t>
      </w:r>
    </w:p>
    <w:p w14:paraId="02ABB70C" w14:textId="0C025958" w:rsidR="00BC66D2" w:rsidRDefault="00BC66D2" w:rsidP="00BC66D2">
      <w:pPr>
        <w:pStyle w:val="ListParagraph"/>
        <w:numPr>
          <w:ilvl w:val="0"/>
          <w:numId w:val="4"/>
        </w:numPr>
      </w:pPr>
      <w:r>
        <w:t>Net Tax Liability</w:t>
      </w:r>
    </w:p>
    <w:p w14:paraId="512A29D5" w14:textId="677FF86B" w:rsidR="00BC66D2" w:rsidRDefault="00BC66D2" w:rsidP="00BC66D2">
      <w:pPr>
        <w:pStyle w:val="ListParagraph"/>
        <w:numPr>
          <w:ilvl w:val="0"/>
          <w:numId w:val="4"/>
        </w:numPr>
      </w:pPr>
      <w:r>
        <w:t>Year of Data Captured</w:t>
      </w:r>
    </w:p>
    <w:p w14:paraId="4D0FE97A" w14:textId="0FD5B16E" w:rsidR="00BC66D2" w:rsidRPr="00687E6A" w:rsidRDefault="00BC66D2" w:rsidP="00BC66D2">
      <w:pPr>
        <w:pStyle w:val="ListParagraph"/>
        <w:numPr>
          <w:ilvl w:val="0"/>
          <w:numId w:val="4"/>
        </w:numPr>
      </w:pPr>
      <w:r>
        <w:t>Ticker Acronym</w:t>
      </w:r>
    </w:p>
    <w:p w14:paraId="75258130" w14:textId="77777777" w:rsidR="003E5E38" w:rsidRDefault="003E5E38" w:rsidP="00EF678B">
      <w:pPr>
        <w:ind w:firstLine="720"/>
        <w:sectPr w:rsidR="003E5E38" w:rsidSect="003E5E38">
          <w:type w:val="continuous"/>
          <w:pgSz w:w="12240" w:h="15840"/>
          <w:pgMar w:top="1440" w:right="1440" w:bottom="1440" w:left="1440" w:header="720" w:footer="720" w:gutter="0"/>
          <w:cols w:num="2" w:space="720"/>
          <w:docGrid w:linePitch="360"/>
        </w:sectPr>
      </w:pPr>
    </w:p>
    <w:p w14:paraId="7F25A964" w14:textId="276F553B" w:rsidR="00687E6A" w:rsidRDefault="00687E6A" w:rsidP="00EF678B">
      <w:pPr>
        <w:ind w:firstLine="720"/>
      </w:pPr>
    </w:p>
    <w:p w14:paraId="382C1083" w14:textId="76F4CEA1" w:rsidR="004E26E0" w:rsidRDefault="00FF65D8" w:rsidP="00B42755">
      <w:pPr>
        <w:ind w:firstLine="360"/>
      </w:pPr>
      <w:r>
        <w:rPr>
          <w:b/>
          <w:i/>
        </w:rPr>
        <w:t>The resulting 24</w:t>
      </w:r>
      <w:r w:rsidR="004E26E0" w:rsidRPr="00D06550">
        <w:rPr>
          <w:b/>
          <w:i/>
        </w:rPr>
        <w:t xml:space="preserve"> attri</w:t>
      </w:r>
      <w:r w:rsidR="00706B92" w:rsidRPr="00D06550">
        <w:rPr>
          <w:b/>
          <w:i/>
        </w:rPr>
        <w:t>bute set contained 1297 records representing 394 organizations from 2010-2014</w:t>
      </w:r>
      <w:r w:rsidR="00706B92">
        <w:t>.</w:t>
      </w:r>
      <w:r w:rsidR="00B42755">
        <w:t xml:space="preserve">  </w:t>
      </w:r>
      <w:r w:rsidR="00F535D3">
        <w:t>Outliers in the data had value but, in some cases, caused extremely skewed data, notably in data that contained values exclusively greater than zero.  These were perfect cases for using the logarithm of the data to normalize:</w:t>
      </w:r>
    </w:p>
    <w:p w14:paraId="08263397" w14:textId="3C95CCF2" w:rsidR="00F535D3" w:rsidRDefault="00F535D3" w:rsidP="00B42755">
      <w:pPr>
        <w:ind w:firstLine="360"/>
      </w:pPr>
    </w:p>
    <w:p w14:paraId="2005F2BE" w14:textId="77777777" w:rsidR="000B65F8" w:rsidRDefault="00F535D3" w:rsidP="000B65F8">
      <w:pPr>
        <w:keepNext/>
        <w:ind w:firstLine="360"/>
      </w:pPr>
      <w:r>
        <w:rPr>
          <w:noProof/>
        </w:rPr>
        <w:lastRenderedPageBreak/>
        <w:drawing>
          <wp:inline distT="0" distB="0" distL="0" distR="0" wp14:anchorId="5B8D6447" wp14:editId="380D9D56">
            <wp:extent cx="5943600" cy="36614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8-04 at 2.17.08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661410"/>
                    </a:xfrm>
                    <a:prstGeom prst="rect">
                      <a:avLst/>
                    </a:prstGeom>
                  </pic:spPr>
                </pic:pic>
              </a:graphicData>
            </a:graphic>
          </wp:inline>
        </w:drawing>
      </w:r>
    </w:p>
    <w:p w14:paraId="59E43661" w14:textId="5D9BCF19" w:rsidR="00F535D3" w:rsidRDefault="000B65F8" w:rsidP="000B65F8">
      <w:pPr>
        <w:pStyle w:val="Caption"/>
        <w:jc w:val="center"/>
      </w:pPr>
      <w:r>
        <w:t xml:space="preserve">Left: </w:t>
      </w:r>
      <w:r w:rsidR="00137BF1">
        <w:t>Raw</w:t>
      </w:r>
      <w:r>
        <w:t xml:space="preserve"> Attribute.  Right: Log-Transformed Attribute</w:t>
      </w:r>
      <w:r w:rsidR="00113487">
        <w:t>.</w:t>
      </w:r>
    </w:p>
    <w:p w14:paraId="2142732F" w14:textId="2FF0EA8A" w:rsidR="000143F2" w:rsidRDefault="000143F2" w:rsidP="000143F2"/>
    <w:p w14:paraId="5C219B07" w14:textId="77777777" w:rsidR="000143F2" w:rsidRDefault="000143F2" w:rsidP="000143F2"/>
    <w:p w14:paraId="2B7B03D4" w14:textId="7C4C005B" w:rsidR="006F242D" w:rsidRPr="00F535D3" w:rsidRDefault="00F535D3" w:rsidP="00F535D3">
      <w:pPr>
        <w:ind w:firstLine="360"/>
      </w:pPr>
      <w:r>
        <w:t xml:space="preserve">The rest of the data with exception to </w:t>
      </w:r>
      <w:r>
        <w:rPr>
          <w:i/>
        </w:rPr>
        <w:t>settlement-percent</w:t>
      </w:r>
      <w:r>
        <w:t xml:space="preserve"> and </w:t>
      </w:r>
      <w:r>
        <w:rPr>
          <w:i/>
        </w:rPr>
        <w:t>was-litigated</w:t>
      </w:r>
      <w:r>
        <w:t xml:space="preserve"> was quite normal.  In some cases, the kurtosis was a little higher than normal but not beyond usability of the information.</w:t>
      </w:r>
    </w:p>
    <w:p w14:paraId="0A7BF525" w14:textId="77777777" w:rsidR="00A348C2" w:rsidRDefault="00A348C2"/>
    <w:p w14:paraId="78C63A1A" w14:textId="79057E0D" w:rsidR="00C4293E" w:rsidRPr="00B7390F" w:rsidRDefault="00C4293E">
      <w:pPr>
        <w:rPr>
          <w:b/>
          <w:sz w:val="36"/>
        </w:rPr>
      </w:pPr>
      <w:r w:rsidRPr="00B7390F">
        <w:rPr>
          <w:b/>
          <w:sz w:val="36"/>
        </w:rPr>
        <w:t>Chanc</w:t>
      </w:r>
      <w:r w:rsidR="00E22839">
        <w:rPr>
          <w:b/>
          <w:sz w:val="36"/>
        </w:rPr>
        <w:t>e of L</w:t>
      </w:r>
      <w:r w:rsidRPr="00B7390F">
        <w:rPr>
          <w:b/>
          <w:sz w:val="36"/>
        </w:rPr>
        <w:t>itigation</w:t>
      </w:r>
    </w:p>
    <w:p w14:paraId="17B186E7" w14:textId="7AA2448D" w:rsidR="00F46008" w:rsidRDefault="00F46008" w:rsidP="00852F4A">
      <w:pPr>
        <w:ind w:firstLine="720"/>
      </w:pPr>
      <w:r>
        <w:t>In the dataset cleaned for analysis there were 22 organizations that had litigations filed against them and 1275 that did not of the 1297 records.  For the time span covered in the data from 2010 until 2014, GICS 45 only was litigated against 1.7% of time.  After computing the standard error for a simply Boolean sample a 95% confidence interval was created:</w:t>
      </w:r>
    </w:p>
    <w:p w14:paraId="3E2CBF3F" w14:textId="7CEA56E0" w:rsidR="00F46008" w:rsidRDefault="00F46008"/>
    <w:p w14:paraId="75967E7D" w14:textId="2554119D" w:rsidR="00F46008" w:rsidRDefault="00852F4A" w:rsidP="00852F4A">
      <w:pPr>
        <w:jc w:val="center"/>
      </w:pPr>
      <w:r>
        <w:rPr>
          <w:noProof/>
        </w:rPr>
        <w:lastRenderedPageBreak/>
        <w:drawing>
          <wp:inline distT="0" distB="0" distL="0" distR="0" wp14:anchorId="253471EE" wp14:editId="56FB6B31">
            <wp:extent cx="2884695" cy="2779414"/>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8-04 at 3.24.04 PM.png"/>
                    <pic:cNvPicPr/>
                  </pic:nvPicPr>
                  <pic:blipFill>
                    <a:blip r:embed="rId6">
                      <a:extLst>
                        <a:ext uri="{28A0092B-C50C-407E-A947-70E740481C1C}">
                          <a14:useLocalDpi xmlns:a14="http://schemas.microsoft.com/office/drawing/2010/main" val="0"/>
                        </a:ext>
                      </a:extLst>
                    </a:blip>
                    <a:stretch>
                      <a:fillRect/>
                    </a:stretch>
                  </pic:blipFill>
                  <pic:spPr>
                    <a:xfrm>
                      <a:off x="0" y="0"/>
                      <a:ext cx="2894547" cy="2788906"/>
                    </a:xfrm>
                    <a:prstGeom prst="rect">
                      <a:avLst/>
                    </a:prstGeom>
                  </pic:spPr>
                </pic:pic>
              </a:graphicData>
            </a:graphic>
          </wp:inline>
        </w:drawing>
      </w:r>
    </w:p>
    <w:p w14:paraId="25F63DB9" w14:textId="05674F1F" w:rsidR="00F46008" w:rsidRDefault="00F46008"/>
    <w:p w14:paraId="67531D91" w14:textId="77777777" w:rsidR="00F46008" w:rsidRDefault="00F46008"/>
    <w:p w14:paraId="1A6490E3" w14:textId="447DEC83" w:rsidR="00F46008" w:rsidRDefault="00F46008" w:rsidP="00B7390F">
      <w:pPr>
        <w:ind w:firstLine="720"/>
      </w:pPr>
      <w:r>
        <w:t xml:space="preserve">Because the samples for both true and false are greater than ten and the sample size is sufficiently large (using the entire population), a 95% confidence interval can be confidently relied upon </w:t>
      </w:r>
      <w:r w:rsidRPr="00B7390F">
        <w:rPr>
          <w:b/>
          <w:i/>
        </w:rPr>
        <w:t>that the chance of litigation in GISC 45 is between 0.99% and 2.40%</w:t>
      </w:r>
      <w:r w:rsidR="00B7390F">
        <w:rPr>
          <w:b/>
          <w:i/>
        </w:rPr>
        <w:t xml:space="preserve">.  </w:t>
      </w:r>
    </w:p>
    <w:p w14:paraId="2DE73FBF" w14:textId="7DF1BAC8" w:rsidR="00B7390F" w:rsidRPr="00B7390F" w:rsidRDefault="00B7390F"/>
    <w:p w14:paraId="312F1424" w14:textId="71F8686F" w:rsidR="00C70210" w:rsidRDefault="00691DB5">
      <w:r>
        <w:tab/>
        <w:t xml:space="preserve">A classification tree utilizing leave-one-out cross validation was utilized in order to uncover what attributes may contribute to the chance of being litigated.  Many convenient methods of modeling large data sets were not available for the given problem due to the amount of litigated organizations being so small.  Splitting a set into testing and training data with 98% of the data being </w:t>
      </w:r>
      <w:r>
        <w:rPr>
          <w:i/>
        </w:rPr>
        <w:t>was-litigated=FALSE</w:t>
      </w:r>
      <w:r>
        <w:t xml:space="preserve"> would yield a model that would be quite successful by just giving every record a </w:t>
      </w:r>
      <w:r>
        <w:rPr>
          <w:i/>
        </w:rPr>
        <w:t>FALSE</w:t>
      </w:r>
      <w:r>
        <w:t xml:space="preserve"> prediction.  Many machine learning methods would require a data set with a much larger amount of </w:t>
      </w:r>
      <w:r>
        <w:rPr>
          <w:i/>
        </w:rPr>
        <w:t>TRUE</w:t>
      </w:r>
      <w:r>
        <w:t xml:space="preserve"> state organizations in order to properly train.</w:t>
      </w:r>
    </w:p>
    <w:p w14:paraId="61CB5997" w14:textId="6CDECC70" w:rsidR="00691DB5" w:rsidRDefault="00691DB5">
      <w:r>
        <w:tab/>
        <w:t>Models utilizing cross-validation techniques however are still available to us.  A tree can be over-fit and then pruned and cross validated.  Advantages of this measure would be a model that reflects the data and a great visual decision tree for uncovering what factors may forecast litigation.</w:t>
      </w:r>
    </w:p>
    <w:p w14:paraId="3A55DDD9" w14:textId="0B2C9CBC" w:rsidR="00E3432A" w:rsidRDefault="00E3432A"/>
    <w:p w14:paraId="4A2132F7" w14:textId="77777777" w:rsidR="00E3432A" w:rsidRDefault="00E3432A" w:rsidP="00E3432A">
      <w:pPr>
        <w:keepNext/>
      </w:pPr>
      <w:r>
        <w:rPr>
          <w:noProof/>
        </w:rPr>
        <w:lastRenderedPageBreak/>
        <w:drawing>
          <wp:inline distT="0" distB="0" distL="0" distR="0" wp14:anchorId="5B04923F" wp14:editId="1F6763BF">
            <wp:extent cx="5943600" cy="35471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8-04 at 4.49.01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47110"/>
                    </a:xfrm>
                    <a:prstGeom prst="rect">
                      <a:avLst/>
                    </a:prstGeom>
                  </pic:spPr>
                </pic:pic>
              </a:graphicData>
            </a:graphic>
          </wp:inline>
        </w:drawing>
      </w:r>
    </w:p>
    <w:p w14:paraId="4985960A" w14:textId="429E821E" w:rsidR="00E3432A" w:rsidRPr="00691DB5" w:rsidRDefault="00E3432A" w:rsidP="00E3432A">
      <w:pPr>
        <w:pStyle w:val="Caption"/>
        <w:jc w:val="center"/>
      </w:pPr>
      <w:r>
        <w:t>Cross-Validated Regression Tree</w:t>
      </w:r>
    </w:p>
    <w:p w14:paraId="140C8DAA" w14:textId="5F70F02F" w:rsidR="00F82CA9" w:rsidRDefault="00E3432A">
      <w:r>
        <w:tab/>
        <w:t>The over-fit tree model shows that the data is not sufficient to create a model that is interpretable or accurate based on the data.  What it does display is important attributes.  Price trend, funds (other), finance (other), shares and stocks appear to be important legs in the tree.  A cross-validated classification-regression binomial linear model may aid in visualizing the importance of these attributes.</w:t>
      </w:r>
    </w:p>
    <w:p w14:paraId="0ABB3283" w14:textId="4A8D9398" w:rsidR="00E3432A" w:rsidRDefault="00E3432A"/>
    <w:p w14:paraId="34641D6A" w14:textId="64E6D67D" w:rsidR="00E3432A" w:rsidRDefault="00E3432A" w:rsidP="00E3432A">
      <w:pPr>
        <w:jc w:val="center"/>
      </w:pPr>
      <w:r>
        <w:rPr>
          <w:noProof/>
        </w:rPr>
        <w:lastRenderedPageBreak/>
        <w:drawing>
          <wp:inline distT="0" distB="0" distL="0" distR="0" wp14:anchorId="06BF65D6" wp14:editId="6DE487D9">
            <wp:extent cx="3895004" cy="5124261"/>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8-04 at 4.58.42 PM.png"/>
                    <pic:cNvPicPr/>
                  </pic:nvPicPr>
                  <pic:blipFill>
                    <a:blip r:embed="rId8">
                      <a:extLst>
                        <a:ext uri="{28A0092B-C50C-407E-A947-70E740481C1C}">
                          <a14:useLocalDpi xmlns:a14="http://schemas.microsoft.com/office/drawing/2010/main" val="0"/>
                        </a:ext>
                      </a:extLst>
                    </a:blip>
                    <a:stretch>
                      <a:fillRect/>
                    </a:stretch>
                  </pic:blipFill>
                  <pic:spPr>
                    <a:xfrm>
                      <a:off x="0" y="0"/>
                      <a:ext cx="3902536" cy="5134170"/>
                    </a:xfrm>
                    <a:prstGeom prst="rect">
                      <a:avLst/>
                    </a:prstGeom>
                  </pic:spPr>
                </pic:pic>
              </a:graphicData>
            </a:graphic>
          </wp:inline>
        </w:drawing>
      </w:r>
    </w:p>
    <w:p w14:paraId="57006FB2" w14:textId="77777777" w:rsidR="00F82CA9" w:rsidRDefault="00F82CA9"/>
    <w:p w14:paraId="4867DE82" w14:textId="7918C8F8" w:rsidR="00F82CA9" w:rsidRDefault="00E3432A">
      <w:r>
        <w:tab/>
        <w:t xml:space="preserve">The above linear model calculated p-hypothesis values for the attributes in search of significance.  </w:t>
      </w:r>
      <w:r w:rsidR="006D0188">
        <w:rPr>
          <w:b/>
          <w:i/>
        </w:rPr>
        <w:t>P</w:t>
      </w:r>
      <w:r w:rsidRPr="00C10A06">
        <w:rPr>
          <w:b/>
          <w:i/>
        </w:rPr>
        <w:t xml:space="preserve">rice-trend, other-funds and accumulated-loss showed significant difference between the litigated and the not litigated.  While the data capturing litigated organizations is thin, these three attributes may be </w:t>
      </w:r>
      <w:r w:rsidR="00D040EE">
        <w:rPr>
          <w:b/>
          <w:i/>
        </w:rPr>
        <w:t>indicative of a greater chance of class action</w:t>
      </w:r>
      <w:r w:rsidRPr="00C10A06">
        <w:rPr>
          <w:b/>
          <w:i/>
        </w:rPr>
        <w:t xml:space="preserve"> litigation.</w:t>
      </w:r>
    </w:p>
    <w:p w14:paraId="7312D62C" w14:textId="77777777" w:rsidR="00E3432A" w:rsidRDefault="00E3432A"/>
    <w:p w14:paraId="6F830E74" w14:textId="77777777" w:rsidR="00F82CA9" w:rsidRDefault="00F82CA9"/>
    <w:p w14:paraId="1E330EBE" w14:textId="53D00CAC" w:rsidR="00C4293E" w:rsidRPr="008174A6" w:rsidRDefault="00C4293E">
      <w:pPr>
        <w:rPr>
          <w:b/>
          <w:sz w:val="36"/>
        </w:rPr>
      </w:pPr>
      <w:r w:rsidRPr="008174A6">
        <w:rPr>
          <w:b/>
          <w:sz w:val="36"/>
        </w:rPr>
        <w:t>Monetary Impact</w:t>
      </w:r>
    </w:p>
    <w:p w14:paraId="06EB204C" w14:textId="009B4E1C" w:rsidR="00FF5D43" w:rsidRDefault="00FF5D43"/>
    <w:p w14:paraId="61103B92" w14:textId="1C30D859" w:rsidR="00F43D29" w:rsidRDefault="00F43D29">
      <w:r>
        <w:tab/>
        <w:t>Monetary impact was assessed using the six records of litigation settlements in the compiled data.  Settlement percent was modeled as a function of every attribute in order to build a simple linear model for estimation given the size of the available information.</w:t>
      </w:r>
      <w:r w:rsidR="003A1860">
        <w:t xml:space="preserve">  Settlement percent (dollar amount of a settlement expressed as a percentage of the organizations market cap) was plotted as a function of price trend (closing price on the last month of a fiscal year less than the closing price on the first month).</w:t>
      </w:r>
    </w:p>
    <w:p w14:paraId="18E88D80" w14:textId="2EB84B2B" w:rsidR="003A1860" w:rsidRDefault="003A1860">
      <w:r>
        <w:tab/>
        <w:t>The simple model yielded an interesting result:</w:t>
      </w:r>
    </w:p>
    <w:p w14:paraId="6BEC735C" w14:textId="5B686AF5" w:rsidR="00FF5D43" w:rsidRDefault="00FF5D43">
      <w:r>
        <w:rPr>
          <w:noProof/>
        </w:rPr>
        <w:lastRenderedPageBreak/>
        <w:drawing>
          <wp:inline distT="0" distB="0" distL="0" distR="0" wp14:anchorId="4FCDCCC9" wp14:editId="3BF8038A">
            <wp:extent cx="5943600" cy="35902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8-02 at 7.27.21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590290"/>
                    </a:xfrm>
                    <a:prstGeom prst="rect">
                      <a:avLst/>
                    </a:prstGeom>
                  </pic:spPr>
                </pic:pic>
              </a:graphicData>
            </a:graphic>
          </wp:inline>
        </w:drawing>
      </w:r>
    </w:p>
    <w:p w14:paraId="4FDC2C65" w14:textId="283D4407" w:rsidR="007838FF" w:rsidRPr="003A1860" w:rsidRDefault="007838FF" w:rsidP="007838FF">
      <w:pPr>
        <w:rPr>
          <w:i/>
          <w:sz w:val="18"/>
        </w:rPr>
      </w:pPr>
      <w:r w:rsidRPr="003A1860">
        <w:rPr>
          <w:i/>
          <w:sz w:val="18"/>
        </w:rPr>
        <w:t xml:space="preserve">*** left PLCM in despite appearing to be an outlier because there is not enough data to be </w:t>
      </w:r>
      <w:r w:rsidR="003A1860" w:rsidRPr="003A1860">
        <w:rPr>
          <w:i/>
          <w:sz w:val="18"/>
        </w:rPr>
        <w:t>confident</w:t>
      </w:r>
      <w:r w:rsidRPr="003A1860">
        <w:rPr>
          <w:i/>
          <w:sz w:val="18"/>
        </w:rPr>
        <w:t>.</w:t>
      </w:r>
    </w:p>
    <w:p w14:paraId="05DED77F" w14:textId="6F2876FA" w:rsidR="00FF5D43" w:rsidRDefault="00FF5D43"/>
    <w:p w14:paraId="7E694429" w14:textId="1B9BB8DC" w:rsidR="003A1860" w:rsidRDefault="003A1860">
      <w:r>
        <w:rPr>
          <w:noProof/>
        </w:rPr>
        <w:drawing>
          <wp:inline distT="0" distB="0" distL="0" distR="0" wp14:anchorId="3AE9F649" wp14:editId="73EB0E97">
            <wp:extent cx="3603279" cy="1304636"/>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08-04 at 5.10.01 PM.png"/>
                    <pic:cNvPicPr/>
                  </pic:nvPicPr>
                  <pic:blipFill>
                    <a:blip r:embed="rId10">
                      <a:extLst>
                        <a:ext uri="{28A0092B-C50C-407E-A947-70E740481C1C}">
                          <a14:useLocalDpi xmlns:a14="http://schemas.microsoft.com/office/drawing/2010/main" val="0"/>
                        </a:ext>
                      </a:extLst>
                    </a:blip>
                    <a:stretch>
                      <a:fillRect/>
                    </a:stretch>
                  </pic:blipFill>
                  <pic:spPr>
                    <a:xfrm>
                      <a:off x="0" y="0"/>
                      <a:ext cx="3635580" cy="1316331"/>
                    </a:xfrm>
                    <a:prstGeom prst="rect">
                      <a:avLst/>
                    </a:prstGeom>
                  </pic:spPr>
                </pic:pic>
              </a:graphicData>
            </a:graphic>
          </wp:inline>
        </w:drawing>
      </w:r>
    </w:p>
    <w:p w14:paraId="400F8918" w14:textId="782B860E" w:rsidR="003A1860" w:rsidRDefault="00B438D8">
      <w:r>
        <w:tab/>
        <w:t xml:space="preserve">The interesting part about the yearly price trend being the largest factor in a litigation settlement is the relationship to </w:t>
      </w:r>
      <w:r w:rsidRPr="00B438D8">
        <w:rPr>
          <w:i/>
        </w:rPr>
        <w:t>Maximum Probable Loss</w:t>
      </w:r>
      <w:r>
        <w:t xml:space="preserve"> and it appears the accepted relationship between MPL and litigation settlement holds true in this market sector.  Using this linear model, a dollar value could be very roughly estimated should a lawsuit end in settlement.</w:t>
      </w:r>
    </w:p>
    <w:p w14:paraId="38C2BAB3" w14:textId="09587FA9" w:rsidR="00B438D8" w:rsidRDefault="00B438D8"/>
    <w:p w14:paraId="3424431E" w14:textId="521242B3" w:rsidR="00B438D8" w:rsidRDefault="00B438D8">
      <w:r>
        <w:rPr>
          <w:noProof/>
        </w:rPr>
        <w:lastRenderedPageBreak/>
        <w:drawing>
          <wp:inline distT="0" distB="0" distL="0" distR="0" wp14:anchorId="2195A97E" wp14:editId="4CDFE508">
            <wp:extent cx="5943600" cy="29641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8-08-04 at 5.22.11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64180"/>
                    </a:xfrm>
                    <a:prstGeom prst="rect">
                      <a:avLst/>
                    </a:prstGeom>
                  </pic:spPr>
                </pic:pic>
              </a:graphicData>
            </a:graphic>
          </wp:inline>
        </w:drawing>
      </w:r>
    </w:p>
    <w:p w14:paraId="2DDCC403" w14:textId="77777777" w:rsidR="00B438D8" w:rsidRDefault="00B438D8"/>
    <w:p w14:paraId="36752751" w14:textId="5AD65D4F" w:rsidR="00FF5D43" w:rsidRDefault="00B438D8" w:rsidP="00B438D8">
      <w:pPr>
        <w:ind w:firstLine="720"/>
      </w:pPr>
      <w:r>
        <w:t xml:space="preserve">Of the three records available for DLB, one of them was a very big losing year for the organization.  Because none of the six companies used for the simple model ended a year worse-off, the prediction fails as a settlement cannot end in dollars paid out.  What it does indicate is that a company is much less likely to be litigated if it is doing badly (it probably is not lying on SEC filings).  </w:t>
      </w:r>
    </w:p>
    <w:p w14:paraId="020F679F" w14:textId="0C30DF5E" w:rsidR="00B438D8" w:rsidRDefault="00B438D8"/>
    <w:p w14:paraId="49F5D9A9" w14:textId="38BEAB86" w:rsidR="004316BE" w:rsidRDefault="004316BE">
      <w:r>
        <w:t>Applying the formula to the 2017 DLB data yielded a dollar settlement of $111,609,543 or 1.649% of market-cap.</w:t>
      </w:r>
    </w:p>
    <w:p w14:paraId="05C6F7A5" w14:textId="77777777" w:rsidR="004316BE" w:rsidRDefault="004316BE"/>
    <w:p w14:paraId="4D812E61" w14:textId="49564BD3" w:rsidR="008E6ACC" w:rsidRPr="00882572" w:rsidRDefault="008E6ACC">
      <w:pPr>
        <w:rPr>
          <w:b/>
          <w:sz w:val="36"/>
        </w:rPr>
      </w:pPr>
      <w:r w:rsidRPr="00882572">
        <w:rPr>
          <w:b/>
          <w:sz w:val="36"/>
        </w:rPr>
        <w:t>Limitations</w:t>
      </w:r>
    </w:p>
    <w:p w14:paraId="0EA7BE17" w14:textId="54342310" w:rsidR="00882572" w:rsidRDefault="00882572"/>
    <w:p w14:paraId="6F320B2E" w14:textId="3703454B" w:rsidR="00882572" w:rsidRDefault="00882572">
      <w:r>
        <w:tab/>
        <w:t>The underlying data quality was the largest limitation toward the goals of predicting the chance of litigation and the possible settlement amount.  The number of companies litigated against during this window in GICS 45 that had data to match with across the delivered sets was far from sufficient.  Increasing the time window across the entire data set would probably remedy the situation.  Rather than a four-year window for data analysis, a ten or twenty-year span would yield far more litigations within GICS 45.</w:t>
      </w:r>
    </w:p>
    <w:p w14:paraId="202A174A" w14:textId="2CA273F8" w:rsidR="00882572" w:rsidRDefault="00882572">
      <w:r>
        <w:tab/>
        <w:t xml:space="preserve">More detailed information regarding the litigations and event timing would allow for a deeper investigation than simply possible settlement amounts.  Certainly, there are effects to public sentiment and employee intangibles that a lawsuit has an effect on.  With greater details regarding lawsuit settlement/dismissal time and the financial data spanning the duration, an investigation to quantify the broad spanning effects of litigations during and after for settlements and for dismissals could be modeled and predicted.  This type of detailed investigation could result in a negotiation with the insurance company to provide insurance to cover side-effect monetary losses while </w:t>
      </w:r>
      <w:r w:rsidR="004316BE">
        <w:t>a</w:t>
      </w:r>
      <w:r>
        <w:t xml:space="preserve"> lawsuit is taking place.</w:t>
      </w:r>
    </w:p>
    <w:p w14:paraId="581ED709" w14:textId="322C5C7F" w:rsidR="00882572" w:rsidRDefault="00882572"/>
    <w:p w14:paraId="6AE54103" w14:textId="77777777" w:rsidR="00882572" w:rsidRDefault="00882572"/>
    <w:p w14:paraId="295AC094" w14:textId="4F87BCF5" w:rsidR="00C4293E" w:rsidRPr="003349F0" w:rsidRDefault="00844B03">
      <w:pPr>
        <w:rPr>
          <w:b/>
          <w:sz w:val="36"/>
        </w:rPr>
      </w:pPr>
      <w:r w:rsidRPr="003349F0">
        <w:rPr>
          <w:b/>
          <w:sz w:val="36"/>
        </w:rPr>
        <w:t>Results Summary</w:t>
      </w:r>
    </w:p>
    <w:p w14:paraId="721B18E1" w14:textId="77777777" w:rsidR="00C4293E" w:rsidRDefault="00C4293E"/>
    <w:tbl>
      <w:tblPr>
        <w:tblW w:w="7834" w:type="dxa"/>
        <w:tblLook w:val="04A0" w:firstRow="1" w:lastRow="0" w:firstColumn="1" w:lastColumn="0" w:noHBand="0" w:noVBand="1"/>
      </w:tblPr>
      <w:tblGrid>
        <w:gridCol w:w="2162"/>
        <w:gridCol w:w="5672"/>
      </w:tblGrid>
      <w:tr w:rsidR="004316BE" w:rsidRPr="004316BE" w14:paraId="554EB33A" w14:textId="77777777" w:rsidTr="004316BE">
        <w:trPr>
          <w:trHeight w:val="282"/>
        </w:trPr>
        <w:tc>
          <w:tcPr>
            <w:tcW w:w="7834" w:type="dxa"/>
            <w:gridSpan w:val="2"/>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2EE654C4" w14:textId="77777777" w:rsidR="004316BE" w:rsidRPr="004316BE" w:rsidRDefault="004316BE" w:rsidP="004316BE">
            <w:pPr>
              <w:jc w:val="center"/>
              <w:rPr>
                <w:rFonts w:ascii="Calibri" w:eastAsia="Times New Roman" w:hAnsi="Calibri" w:cs="Calibri"/>
                <w:b/>
                <w:bCs/>
                <w:color w:val="000000"/>
                <w:sz w:val="32"/>
                <w:szCs w:val="32"/>
              </w:rPr>
            </w:pPr>
            <w:r w:rsidRPr="004316BE">
              <w:rPr>
                <w:rFonts w:ascii="Calibri" w:eastAsia="Times New Roman" w:hAnsi="Calibri" w:cs="Calibri"/>
                <w:b/>
                <w:bCs/>
                <w:color w:val="000000"/>
                <w:sz w:val="32"/>
                <w:szCs w:val="32"/>
              </w:rPr>
              <w:t>Results Summary</w:t>
            </w:r>
          </w:p>
        </w:tc>
      </w:tr>
      <w:tr w:rsidR="004316BE" w:rsidRPr="004316BE" w14:paraId="4664E9D5" w14:textId="77777777" w:rsidTr="004316BE">
        <w:trPr>
          <w:trHeight w:val="255"/>
        </w:trPr>
        <w:tc>
          <w:tcPr>
            <w:tcW w:w="7834" w:type="dxa"/>
            <w:gridSpan w:val="2"/>
            <w:tcBorders>
              <w:top w:val="single" w:sz="4" w:space="0" w:color="auto"/>
              <w:left w:val="single" w:sz="4" w:space="0" w:color="auto"/>
              <w:bottom w:val="single" w:sz="4" w:space="0" w:color="auto"/>
              <w:right w:val="single" w:sz="4" w:space="0" w:color="auto"/>
            </w:tcBorders>
            <w:shd w:val="clear" w:color="000000" w:fill="D6DCE4"/>
            <w:noWrap/>
            <w:vAlign w:val="bottom"/>
            <w:hideMark/>
          </w:tcPr>
          <w:p w14:paraId="473E919C" w14:textId="77777777" w:rsidR="004316BE" w:rsidRPr="004316BE" w:rsidRDefault="004316BE" w:rsidP="004316BE">
            <w:pPr>
              <w:jc w:val="center"/>
              <w:rPr>
                <w:rFonts w:ascii="Calibri" w:eastAsia="Times New Roman" w:hAnsi="Calibri" w:cs="Calibri"/>
                <w:color w:val="000000"/>
                <w:sz w:val="28"/>
                <w:szCs w:val="28"/>
              </w:rPr>
            </w:pPr>
            <w:r w:rsidRPr="004316BE">
              <w:rPr>
                <w:rFonts w:ascii="Calibri" w:eastAsia="Times New Roman" w:hAnsi="Calibri" w:cs="Calibri"/>
                <w:color w:val="000000"/>
                <w:sz w:val="28"/>
                <w:szCs w:val="28"/>
              </w:rPr>
              <w:t>Unified Data Set Description</w:t>
            </w:r>
          </w:p>
        </w:tc>
      </w:tr>
      <w:tr w:rsidR="004316BE" w:rsidRPr="004316BE" w14:paraId="663ACF71" w14:textId="77777777" w:rsidTr="004316BE">
        <w:trPr>
          <w:trHeight w:val="215"/>
        </w:trPr>
        <w:tc>
          <w:tcPr>
            <w:tcW w:w="2162" w:type="dxa"/>
            <w:tcBorders>
              <w:top w:val="nil"/>
              <w:left w:val="single" w:sz="4" w:space="0" w:color="auto"/>
              <w:bottom w:val="single" w:sz="4" w:space="0" w:color="auto"/>
              <w:right w:val="single" w:sz="4" w:space="0" w:color="auto"/>
            </w:tcBorders>
            <w:shd w:val="clear" w:color="000000" w:fill="203764"/>
            <w:noWrap/>
            <w:vAlign w:val="bottom"/>
            <w:hideMark/>
          </w:tcPr>
          <w:p w14:paraId="286B7A41" w14:textId="77777777" w:rsidR="004316BE" w:rsidRPr="004316BE" w:rsidRDefault="004316BE" w:rsidP="004316BE">
            <w:pPr>
              <w:rPr>
                <w:rFonts w:ascii="Calibri" w:eastAsia="Times New Roman" w:hAnsi="Calibri" w:cs="Calibri"/>
                <w:i/>
                <w:iCs/>
                <w:color w:val="FFFFFF"/>
              </w:rPr>
            </w:pPr>
            <w:r w:rsidRPr="004316BE">
              <w:rPr>
                <w:rFonts w:ascii="Calibri" w:eastAsia="Times New Roman" w:hAnsi="Calibri" w:cs="Calibri"/>
                <w:i/>
                <w:iCs/>
                <w:color w:val="FFFFFF"/>
              </w:rPr>
              <w:t>tic</w:t>
            </w:r>
          </w:p>
        </w:tc>
        <w:tc>
          <w:tcPr>
            <w:tcW w:w="5672" w:type="dxa"/>
            <w:tcBorders>
              <w:top w:val="nil"/>
              <w:left w:val="nil"/>
              <w:bottom w:val="single" w:sz="4" w:space="0" w:color="auto"/>
              <w:right w:val="single" w:sz="4" w:space="0" w:color="auto"/>
            </w:tcBorders>
            <w:shd w:val="clear" w:color="000000" w:fill="D9D9D9"/>
            <w:noWrap/>
            <w:vAlign w:val="bottom"/>
            <w:hideMark/>
          </w:tcPr>
          <w:p w14:paraId="3E3DDC57" w14:textId="77777777" w:rsidR="004316BE" w:rsidRPr="004316BE" w:rsidRDefault="004316BE" w:rsidP="004316BE">
            <w:pPr>
              <w:rPr>
                <w:rFonts w:ascii="Calibri" w:eastAsia="Times New Roman" w:hAnsi="Calibri" w:cs="Calibri"/>
                <w:color w:val="000000"/>
              </w:rPr>
            </w:pPr>
            <w:r w:rsidRPr="004316BE">
              <w:rPr>
                <w:rFonts w:ascii="Calibri" w:eastAsia="Times New Roman" w:hAnsi="Calibri" w:cs="Calibri"/>
                <w:color w:val="000000"/>
              </w:rPr>
              <w:t>ticker symbol</w:t>
            </w:r>
          </w:p>
        </w:tc>
      </w:tr>
      <w:tr w:rsidR="004316BE" w:rsidRPr="004316BE" w14:paraId="1A5A58E7" w14:textId="77777777" w:rsidTr="004316BE">
        <w:trPr>
          <w:trHeight w:val="215"/>
        </w:trPr>
        <w:tc>
          <w:tcPr>
            <w:tcW w:w="2162" w:type="dxa"/>
            <w:tcBorders>
              <w:top w:val="nil"/>
              <w:left w:val="single" w:sz="4" w:space="0" w:color="auto"/>
              <w:bottom w:val="single" w:sz="4" w:space="0" w:color="auto"/>
              <w:right w:val="single" w:sz="4" w:space="0" w:color="auto"/>
            </w:tcBorders>
            <w:shd w:val="clear" w:color="000000" w:fill="203764"/>
            <w:noWrap/>
            <w:vAlign w:val="bottom"/>
            <w:hideMark/>
          </w:tcPr>
          <w:p w14:paraId="79351A15" w14:textId="77777777" w:rsidR="004316BE" w:rsidRPr="004316BE" w:rsidRDefault="004316BE" w:rsidP="004316BE">
            <w:pPr>
              <w:rPr>
                <w:rFonts w:ascii="Calibri" w:eastAsia="Times New Roman" w:hAnsi="Calibri" w:cs="Calibri"/>
                <w:i/>
                <w:iCs/>
                <w:color w:val="FFFFFF"/>
              </w:rPr>
            </w:pPr>
            <w:r w:rsidRPr="004316BE">
              <w:rPr>
                <w:rFonts w:ascii="Calibri" w:eastAsia="Times New Roman" w:hAnsi="Calibri" w:cs="Calibri"/>
                <w:i/>
                <w:iCs/>
                <w:color w:val="FFFFFF"/>
              </w:rPr>
              <w:t>year</w:t>
            </w:r>
          </w:p>
        </w:tc>
        <w:tc>
          <w:tcPr>
            <w:tcW w:w="5672" w:type="dxa"/>
            <w:tcBorders>
              <w:top w:val="nil"/>
              <w:left w:val="nil"/>
              <w:bottom w:val="single" w:sz="4" w:space="0" w:color="auto"/>
              <w:right w:val="single" w:sz="4" w:space="0" w:color="auto"/>
            </w:tcBorders>
            <w:shd w:val="clear" w:color="000000" w:fill="D9D9D9"/>
            <w:noWrap/>
            <w:vAlign w:val="bottom"/>
            <w:hideMark/>
          </w:tcPr>
          <w:p w14:paraId="05369763" w14:textId="77777777" w:rsidR="004316BE" w:rsidRPr="004316BE" w:rsidRDefault="004316BE" w:rsidP="004316BE">
            <w:pPr>
              <w:rPr>
                <w:rFonts w:ascii="Calibri" w:eastAsia="Times New Roman" w:hAnsi="Calibri" w:cs="Calibri"/>
                <w:color w:val="000000"/>
              </w:rPr>
            </w:pPr>
            <w:r w:rsidRPr="004316BE">
              <w:rPr>
                <w:rFonts w:ascii="Calibri" w:eastAsia="Times New Roman" w:hAnsi="Calibri" w:cs="Calibri"/>
                <w:color w:val="000000"/>
              </w:rPr>
              <w:t>year of data</w:t>
            </w:r>
          </w:p>
        </w:tc>
      </w:tr>
      <w:tr w:rsidR="004316BE" w:rsidRPr="004316BE" w14:paraId="11A43A96" w14:textId="77777777" w:rsidTr="004316BE">
        <w:trPr>
          <w:trHeight w:val="215"/>
        </w:trPr>
        <w:tc>
          <w:tcPr>
            <w:tcW w:w="2162" w:type="dxa"/>
            <w:tcBorders>
              <w:top w:val="nil"/>
              <w:left w:val="single" w:sz="4" w:space="0" w:color="auto"/>
              <w:bottom w:val="single" w:sz="4" w:space="0" w:color="auto"/>
              <w:right w:val="single" w:sz="4" w:space="0" w:color="auto"/>
            </w:tcBorders>
            <w:shd w:val="clear" w:color="000000" w:fill="203764"/>
            <w:noWrap/>
            <w:vAlign w:val="bottom"/>
            <w:hideMark/>
          </w:tcPr>
          <w:p w14:paraId="171168A4" w14:textId="77777777" w:rsidR="004316BE" w:rsidRPr="004316BE" w:rsidRDefault="004316BE" w:rsidP="004316BE">
            <w:pPr>
              <w:rPr>
                <w:rFonts w:ascii="Calibri" w:eastAsia="Times New Roman" w:hAnsi="Calibri" w:cs="Calibri"/>
                <w:i/>
                <w:iCs/>
                <w:color w:val="FFFFFF"/>
              </w:rPr>
            </w:pPr>
            <w:proofErr w:type="spellStart"/>
            <w:proofErr w:type="gramStart"/>
            <w:r w:rsidRPr="004316BE">
              <w:rPr>
                <w:rFonts w:ascii="Calibri" w:eastAsia="Times New Roman" w:hAnsi="Calibri" w:cs="Calibri"/>
                <w:i/>
                <w:iCs/>
                <w:color w:val="FFFFFF"/>
              </w:rPr>
              <w:t>acc.loss</w:t>
            </w:r>
            <w:proofErr w:type="spellEnd"/>
            <w:proofErr w:type="gramEnd"/>
          </w:p>
        </w:tc>
        <w:tc>
          <w:tcPr>
            <w:tcW w:w="5672" w:type="dxa"/>
            <w:tcBorders>
              <w:top w:val="nil"/>
              <w:left w:val="nil"/>
              <w:bottom w:val="single" w:sz="4" w:space="0" w:color="auto"/>
              <w:right w:val="single" w:sz="4" w:space="0" w:color="auto"/>
            </w:tcBorders>
            <w:shd w:val="clear" w:color="000000" w:fill="D9D9D9"/>
            <w:noWrap/>
            <w:vAlign w:val="bottom"/>
            <w:hideMark/>
          </w:tcPr>
          <w:p w14:paraId="11E82370" w14:textId="77777777" w:rsidR="004316BE" w:rsidRPr="004316BE" w:rsidRDefault="004316BE" w:rsidP="004316BE">
            <w:pPr>
              <w:rPr>
                <w:rFonts w:ascii="Calibri" w:eastAsia="Times New Roman" w:hAnsi="Calibri" w:cs="Calibri"/>
                <w:color w:val="000000"/>
              </w:rPr>
            </w:pPr>
            <w:r w:rsidRPr="004316BE">
              <w:rPr>
                <w:rFonts w:ascii="Calibri" w:eastAsia="Times New Roman" w:hAnsi="Calibri" w:cs="Calibri"/>
                <w:color w:val="000000"/>
              </w:rPr>
              <w:t>accumulated losses</w:t>
            </w:r>
          </w:p>
        </w:tc>
      </w:tr>
      <w:tr w:rsidR="004316BE" w:rsidRPr="004316BE" w14:paraId="607C0F7E" w14:textId="77777777" w:rsidTr="004316BE">
        <w:trPr>
          <w:trHeight w:val="215"/>
        </w:trPr>
        <w:tc>
          <w:tcPr>
            <w:tcW w:w="2162" w:type="dxa"/>
            <w:tcBorders>
              <w:top w:val="nil"/>
              <w:left w:val="single" w:sz="4" w:space="0" w:color="auto"/>
              <w:bottom w:val="single" w:sz="4" w:space="0" w:color="auto"/>
              <w:right w:val="single" w:sz="4" w:space="0" w:color="auto"/>
            </w:tcBorders>
            <w:shd w:val="clear" w:color="000000" w:fill="203764"/>
            <w:noWrap/>
            <w:vAlign w:val="bottom"/>
            <w:hideMark/>
          </w:tcPr>
          <w:p w14:paraId="64683720" w14:textId="77777777" w:rsidR="004316BE" w:rsidRPr="004316BE" w:rsidRDefault="004316BE" w:rsidP="004316BE">
            <w:pPr>
              <w:rPr>
                <w:rFonts w:ascii="Calibri" w:eastAsia="Times New Roman" w:hAnsi="Calibri" w:cs="Calibri"/>
                <w:i/>
                <w:iCs/>
                <w:color w:val="FFFFFF"/>
              </w:rPr>
            </w:pPr>
            <w:proofErr w:type="spellStart"/>
            <w:proofErr w:type="gramStart"/>
            <w:r w:rsidRPr="004316BE">
              <w:rPr>
                <w:rFonts w:ascii="Calibri" w:eastAsia="Times New Roman" w:hAnsi="Calibri" w:cs="Calibri"/>
                <w:i/>
                <w:iCs/>
                <w:color w:val="FFFFFF"/>
              </w:rPr>
              <w:t>price.trend</w:t>
            </w:r>
            <w:proofErr w:type="spellEnd"/>
            <w:proofErr w:type="gramEnd"/>
          </w:p>
        </w:tc>
        <w:tc>
          <w:tcPr>
            <w:tcW w:w="5672" w:type="dxa"/>
            <w:tcBorders>
              <w:top w:val="nil"/>
              <w:left w:val="nil"/>
              <w:bottom w:val="single" w:sz="4" w:space="0" w:color="auto"/>
              <w:right w:val="single" w:sz="4" w:space="0" w:color="auto"/>
            </w:tcBorders>
            <w:shd w:val="clear" w:color="000000" w:fill="D9D9D9"/>
            <w:noWrap/>
            <w:vAlign w:val="bottom"/>
            <w:hideMark/>
          </w:tcPr>
          <w:p w14:paraId="0D17AE08" w14:textId="77777777" w:rsidR="004316BE" w:rsidRPr="004316BE" w:rsidRDefault="004316BE" w:rsidP="004316BE">
            <w:pPr>
              <w:rPr>
                <w:rFonts w:ascii="Calibri" w:eastAsia="Times New Roman" w:hAnsi="Calibri" w:cs="Calibri"/>
                <w:color w:val="000000"/>
              </w:rPr>
            </w:pPr>
            <w:r w:rsidRPr="004316BE">
              <w:rPr>
                <w:rFonts w:ascii="Calibri" w:eastAsia="Times New Roman" w:hAnsi="Calibri" w:cs="Calibri"/>
                <w:color w:val="000000"/>
              </w:rPr>
              <w:t>closing price of last month of a year less the first month</w:t>
            </w:r>
          </w:p>
        </w:tc>
      </w:tr>
      <w:tr w:rsidR="004316BE" w:rsidRPr="004316BE" w14:paraId="744676A3" w14:textId="77777777" w:rsidTr="004316BE">
        <w:trPr>
          <w:trHeight w:val="215"/>
        </w:trPr>
        <w:tc>
          <w:tcPr>
            <w:tcW w:w="2162" w:type="dxa"/>
            <w:tcBorders>
              <w:top w:val="nil"/>
              <w:left w:val="single" w:sz="4" w:space="0" w:color="auto"/>
              <w:bottom w:val="single" w:sz="4" w:space="0" w:color="auto"/>
              <w:right w:val="single" w:sz="4" w:space="0" w:color="auto"/>
            </w:tcBorders>
            <w:shd w:val="clear" w:color="000000" w:fill="203764"/>
            <w:noWrap/>
            <w:vAlign w:val="bottom"/>
            <w:hideMark/>
          </w:tcPr>
          <w:p w14:paraId="126B4385" w14:textId="77777777" w:rsidR="004316BE" w:rsidRPr="004316BE" w:rsidRDefault="004316BE" w:rsidP="004316BE">
            <w:pPr>
              <w:rPr>
                <w:rFonts w:ascii="Calibri" w:eastAsia="Times New Roman" w:hAnsi="Calibri" w:cs="Calibri"/>
                <w:i/>
                <w:iCs/>
                <w:color w:val="FFFFFF"/>
              </w:rPr>
            </w:pPr>
            <w:proofErr w:type="spellStart"/>
            <w:proofErr w:type="gramStart"/>
            <w:r w:rsidRPr="004316BE">
              <w:rPr>
                <w:rFonts w:ascii="Calibri" w:eastAsia="Times New Roman" w:hAnsi="Calibri" w:cs="Calibri"/>
                <w:i/>
                <w:iCs/>
                <w:color w:val="FFFFFF"/>
              </w:rPr>
              <w:t>company.rating</w:t>
            </w:r>
            <w:proofErr w:type="spellEnd"/>
            <w:proofErr w:type="gramEnd"/>
          </w:p>
        </w:tc>
        <w:tc>
          <w:tcPr>
            <w:tcW w:w="5672" w:type="dxa"/>
            <w:tcBorders>
              <w:top w:val="nil"/>
              <w:left w:val="nil"/>
              <w:bottom w:val="single" w:sz="4" w:space="0" w:color="auto"/>
              <w:right w:val="single" w:sz="4" w:space="0" w:color="auto"/>
            </w:tcBorders>
            <w:shd w:val="clear" w:color="000000" w:fill="D9D9D9"/>
            <w:noWrap/>
            <w:vAlign w:val="bottom"/>
            <w:hideMark/>
          </w:tcPr>
          <w:p w14:paraId="380A0AA0" w14:textId="77777777" w:rsidR="004316BE" w:rsidRPr="004316BE" w:rsidRDefault="004316BE" w:rsidP="004316BE">
            <w:pPr>
              <w:rPr>
                <w:rFonts w:ascii="Calibri" w:eastAsia="Times New Roman" w:hAnsi="Calibri" w:cs="Calibri"/>
                <w:color w:val="000000"/>
              </w:rPr>
            </w:pPr>
            <w:r w:rsidRPr="004316BE">
              <w:rPr>
                <w:rFonts w:ascii="Calibri" w:eastAsia="Times New Roman" w:hAnsi="Calibri" w:cs="Calibri"/>
                <w:color w:val="000000"/>
              </w:rPr>
              <w:t>S&amp;P's quality rating</w:t>
            </w:r>
          </w:p>
        </w:tc>
      </w:tr>
      <w:tr w:rsidR="004316BE" w:rsidRPr="004316BE" w14:paraId="13FD331F" w14:textId="77777777" w:rsidTr="004316BE">
        <w:trPr>
          <w:trHeight w:val="215"/>
        </w:trPr>
        <w:tc>
          <w:tcPr>
            <w:tcW w:w="2162" w:type="dxa"/>
            <w:tcBorders>
              <w:top w:val="nil"/>
              <w:left w:val="single" w:sz="4" w:space="0" w:color="auto"/>
              <w:bottom w:val="single" w:sz="4" w:space="0" w:color="auto"/>
              <w:right w:val="single" w:sz="4" w:space="0" w:color="auto"/>
            </w:tcBorders>
            <w:shd w:val="clear" w:color="000000" w:fill="203764"/>
            <w:noWrap/>
            <w:vAlign w:val="bottom"/>
            <w:hideMark/>
          </w:tcPr>
          <w:p w14:paraId="4E42353D" w14:textId="77777777" w:rsidR="004316BE" w:rsidRPr="004316BE" w:rsidRDefault="004316BE" w:rsidP="004316BE">
            <w:pPr>
              <w:rPr>
                <w:rFonts w:ascii="Calibri" w:eastAsia="Times New Roman" w:hAnsi="Calibri" w:cs="Calibri"/>
                <w:i/>
                <w:iCs/>
                <w:color w:val="FFFFFF"/>
              </w:rPr>
            </w:pPr>
            <w:r w:rsidRPr="004316BE">
              <w:rPr>
                <w:rFonts w:ascii="Calibri" w:eastAsia="Times New Roman" w:hAnsi="Calibri" w:cs="Calibri"/>
                <w:i/>
                <w:iCs/>
                <w:color w:val="FFFFFF"/>
              </w:rPr>
              <w:t>eps</w:t>
            </w:r>
          </w:p>
        </w:tc>
        <w:tc>
          <w:tcPr>
            <w:tcW w:w="5672" w:type="dxa"/>
            <w:tcBorders>
              <w:top w:val="nil"/>
              <w:left w:val="nil"/>
              <w:bottom w:val="single" w:sz="4" w:space="0" w:color="auto"/>
              <w:right w:val="single" w:sz="4" w:space="0" w:color="auto"/>
            </w:tcBorders>
            <w:shd w:val="clear" w:color="000000" w:fill="D9D9D9"/>
            <w:noWrap/>
            <w:vAlign w:val="bottom"/>
            <w:hideMark/>
          </w:tcPr>
          <w:p w14:paraId="5D013FE6" w14:textId="77777777" w:rsidR="004316BE" w:rsidRPr="004316BE" w:rsidRDefault="004316BE" w:rsidP="004316BE">
            <w:pPr>
              <w:rPr>
                <w:rFonts w:ascii="Calibri" w:eastAsia="Times New Roman" w:hAnsi="Calibri" w:cs="Calibri"/>
                <w:color w:val="000000"/>
              </w:rPr>
            </w:pPr>
            <w:r w:rsidRPr="004316BE">
              <w:rPr>
                <w:rFonts w:ascii="Calibri" w:eastAsia="Times New Roman" w:hAnsi="Calibri" w:cs="Calibri"/>
                <w:color w:val="000000"/>
              </w:rPr>
              <w:t>earnings per share</w:t>
            </w:r>
          </w:p>
        </w:tc>
      </w:tr>
      <w:tr w:rsidR="004316BE" w:rsidRPr="004316BE" w14:paraId="3E3BD620" w14:textId="77777777" w:rsidTr="004316BE">
        <w:trPr>
          <w:trHeight w:val="215"/>
        </w:trPr>
        <w:tc>
          <w:tcPr>
            <w:tcW w:w="2162" w:type="dxa"/>
            <w:tcBorders>
              <w:top w:val="nil"/>
              <w:left w:val="single" w:sz="4" w:space="0" w:color="auto"/>
              <w:bottom w:val="single" w:sz="4" w:space="0" w:color="auto"/>
              <w:right w:val="single" w:sz="4" w:space="0" w:color="auto"/>
            </w:tcBorders>
            <w:shd w:val="clear" w:color="000000" w:fill="203764"/>
            <w:noWrap/>
            <w:vAlign w:val="bottom"/>
            <w:hideMark/>
          </w:tcPr>
          <w:p w14:paraId="739EFA8F" w14:textId="77777777" w:rsidR="004316BE" w:rsidRPr="004316BE" w:rsidRDefault="004316BE" w:rsidP="004316BE">
            <w:pPr>
              <w:rPr>
                <w:rFonts w:ascii="Calibri" w:eastAsia="Times New Roman" w:hAnsi="Calibri" w:cs="Calibri"/>
                <w:i/>
                <w:iCs/>
                <w:color w:val="FFFFFF"/>
              </w:rPr>
            </w:pPr>
            <w:proofErr w:type="spellStart"/>
            <w:proofErr w:type="gramStart"/>
            <w:r w:rsidRPr="004316BE">
              <w:rPr>
                <w:rFonts w:ascii="Calibri" w:eastAsia="Times New Roman" w:hAnsi="Calibri" w:cs="Calibri"/>
                <w:i/>
                <w:iCs/>
                <w:color w:val="FFFFFF"/>
              </w:rPr>
              <w:t>log.shares</w:t>
            </w:r>
            <w:proofErr w:type="spellEnd"/>
            <w:proofErr w:type="gramEnd"/>
          </w:p>
        </w:tc>
        <w:tc>
          <w:tcPr>
            <w:tcW w:w="5672" w:type="dxa"/>
            <w:tcBorders>
              <w:top w:val="nil"/>
              <w:left w:val="nil"/>
              <w:bottom w:val="single" w:sz="4" w:space="0" w:color="auto"/>
              <w:right w:val="single" w:sz="4" w:space="0" w:color="auto"/>
            </w:tcBorders>
            <w:shd w:val="clear" w:color="000000" w:fill="D9D9D9"/>
            <w:noWrap/>
            <w:vAlign w:val="bottom"/>
            <w:hideMark/>
          </w:tcPr>
          <w:p w14:paraId="34FF3909" w14:textId="77777777" w:rsidR="004316BE" w:rsidRPr="004316BE" w:rsidRDefault="004316BE" w:rsidP="004316BE">
            <w:pPr>
              <w:rPr>
                <w:rFonts w:ascii="Calibri" w:eastAsia="Times New Roman" w:hAnsi="Calibri" w:cs="Calibri"/>
                <w:color w:val="000000"/>
              </w:rPr>
            </w:pPr>
            <w:r w:rsidRPr="004316BE">
              <w:rPr>
                <w:rFonts w:ascii="Calibri" w:eastAsia="Times New Roman" w:hAnsi="Calibri" w:cs="Calibri"/>
                <w:color w:val="000000"/>
              </w:rPr>
              <w:t>logarithm of shares outstanding</w:t>
            </w:r>
          </w:p>
        </w:tc>
      </w:tr>
      <w:tr w:rsidR="004316BE" w:rsidRPr="004316BE" w14:paraId="6237737B" w14:textId="77777777" w:rsidTr="004316BE">
        <w:trPr>
          <w:trHeight w:val="215"/>
        </w:trPr>
        <w:tc>
          <w:tcPr>
            <w:tcW w:w="2162" w:type="dxa"/>
            <w:tcBorders>
              <w:top w:val="nil"/>
              <w:left w:val="single" w:sz="4" w:space="0" w:color="auto"/>
              <w:bottom w:val="single" w:sz="4" w:space="0" w:color="auto"/>
              <w:right w:val="single" w:sz="4" w:space="0" w:color="auto"/>
            </w:tcBorders>
            <w:shd w:val="clear" w:color="000000" w:fill="203764"/>
            <w:noWrap/>
            <w:vAlign w:val="bottom"/>
            <w:hideMark/>
          </w:tcPr>
          <w:p w14:paraId="18926AE2" w14:textId="77777777" w:rsidR="004316BE" w:rsidRPr="004316BE" w:rsidRDefault="004316BE" w:rsidP="004316BE">
            <w:pPr>
              <w:rPr>
                <w:rFonts w:ascii="Calibri" w:eastAsia="Times New Roman" w:hAnsi="Calibri" w:cs="Calibri"/>
                <w:i/>
                <w:iCs/>
                <w:color w:val="FFFFFF"/>
              </w:rPr>
            </w:pPr>
            <w:proofErr w:type="spellStart"/>
            <w:proofErr w:type="gramStart"/>
            <w:r w:rsidRPr="004316BE">
              <w:rPr>
                <w:rFonts w:ascii="Calibri" w:eastAsia="Times New Roman" w:hAnsi="Calibri" w:cs="Calibri"/>
                <w:i/>
                <w:iCs/>
                <w:color w:val="FFFFFF"/>
              </w:rPr>
              <w:t>cap.reserve</w:t>
            </w:r>
            <w:proofErr w:type="spellEnd"/>
            <w:proofErr w:type="gramEnd"/>
          </w:p>
        </w:tc>
        <w:tc>
          <w:tcPr>
            <w:tcW w:w="5672" w:type="dxa"/>
            <w:tcBorders>
              <w:top w:val="nil"/>
              <w:left w:val="nil"/>
              <w:bottom w:val="single" w:sz="4" w:space="0" w:color="auto"/>
              <w:right w:val="single" w:sz="4" w:space="0" w:color="auto"/>
            </w:tcBorders>
            <w:shd w:val="clear" w:color="000000" w:fill="D9D9D9"/>
            <w:noWrap/>
            <w:vAlign w:val="bottom"/>
            <w:hideMark/>
          </w:tcPr>
          <w:p w14:paraId="441B3119" w14:textId="77777777" w:rsidR="004316BE" w:rsidRPr="004316BE" w:rsidRDefault="004316BE" w:rsidP="004316BE">
            <w:pPr>
              <w:rPr>
                <w:rFonts w:ascii="Calibri" w:eastAsia="Times New Roman" w:hAnsi="Calibri" w:cs="Calibri"/>
                <w:color w:val="000000"/>
              </w:rPr>
            </w:pPr>
            <w:r w:rsidRPr="004316BE">
              <w:rPr>
                <w:rFonts w:ascii="Calibri" w:eastAsia="Times New Roman" w:hAnsi="Calibri" w:cs="Calibri"/>
                <w:color w:val="000000"/>
              </w:rPr>
              <w:t>logarithm of reserve capital</w:t>
            </w:r>
          </w:p>
        </w:tc>
      </w:tr>
      <w:tr w:rsidR="004316BE" w:rsidRPr="004316BE" w14:paraId="6F5B4DE8" w14:textId="77777777" w:rsidTr="004316BE">
        <w:trPr>
          <w:trHeight w:val="215"/>
        </w:trPr>
        <w:tc>
          <w:tcPr>
            <w:tcW w:w="2162" w:type="dxa"/>
            <w:tcBorders>
              <w:top w:val="nil"/>
              <w:left w:val="single" w:sz="4" w:space="0" w:color="auto"/>
              <w:bottom w:val="single" w:sz="4" w:space="0" w:color="auto"/>
              <w:right w:val="single" w:sz="4" w:space="0" w:color="auto"/>
            </w:tcBorders>
            <w:shd w:val="clear" w:color="000000" w:fill="203764"/>
            <w:noWrap/>
            <w:vAlign w:val="bottom"/>
            <w:hideMark/>
          </w:tcPr>
          <w:p w14:paraId="04562901" w14:textId="77777777" w:rsidR="004316BE" w:rsidRPr="004316BE" w:rsidRDefault="004316BE" w:rsidP="004316BE">
            <w:pPr>
              <w:rPr>
                <w:rFonts w:ascii="Calibri" w:eastAsia="Times New Roman" w:hAnsi="Calibri" w:cs="Calibri"/>
                <w:i/>
                <w:iCs/>
                <w:color w:val="FFFFFF"/>
              </w:rPr>
            </w:pPr>
            <w:r w:rsidRPr="004316BE">
              <w:rPr>
                <w:rFonts w:ascii="Calibri" w:eastAsia="Times New Roman" w:hAnsi="Calibri" w:cs="Calibri"/>
                <w:i/>
                <w:iCs/>
                <w:color w:val="FFFFFF"/>
              </w:rPr>
              <w:t>cash</w:t>
            </w:r>
          </w:p>
        </w:tc>
        <w:tc>
          <w:tcPr>
            <w:tcW w:w="5672" w:type="dxa"/>
            <w:tcBorders>
              <w:top w:val="nil"/>
              <w:left w:val="nil"/>
              <w:bottom w:val="single" w:sz="4" w:space="0" w:color="auto"/>
              <w:right w:val="single" w:sz="4" w:space="0" w:color="auto"/>
            </w:tcBorders>
            <w:shd w:val="clear" w:color="000000" w:fill="D9D9D9"/>
            <w:noWrap/>
            <w:vAlign w:val="bottom"/>
            <w:hideMark/>
          </w:tcPr>
          <w:p w14:paraId="786FAD61" w14:textId="77777777" w:rsidR="004316BE" w:rsidRPr="004316BE" w:rsidRDefault="004316BE" w:rsidP="004316BE">
            <w:pPr>
              <w:rPr>
                <w:rFonts w:ascii="Calibri" w:eastAsia="Times New Roman" w:hAnsi="Calibri" w:cs="Calibri"/>
                <w:color w:val="000000"/>
              </w:rPr>
            </w:pPr>
            <w:r w:rsidRPr="004316BE">
              <w:rPr>
                <w:rFonts w:ascii="Calibri" w:eastAsia="Times New Roman" w:hAnsi="Calibri" w:cs="Calibri"/>
                <w:color w:val="000000"/>
              </w:rPr>
              <w:t>company cash</w:t>
            </w:r>
          </w:p>
        </w:tc>
      </w:tr>
      <w:tr w:rsidR="004316BE" w:rsidRPr="004316BE" w14:paraId="3D9CE203" w14:textId="77777777" w:rsidTr="004316BE">
        <w:trPr>
          <w:trHeight w:val="215"/>
        </w:trPr>
        <w:tc>
          <w:tcPr>
            <w:tcW w:w="2162" w:type="dxa"/>
            <w:tcBorders>
              <w:top w:val="nil"/>
              <w:left w:val="single" w:sz="4" w:space="0" w:color="auto"/>
              <w:bottom w:val="single" w:sz="4" w:space="0" w:color="auto"/>
              <w:right w:val="single" w:sz="4" w:space="0" w:color="auto"/>
            </w:tcBorders>
            <w:shd w:val="clear" w:color="000000" w:fill="203764"/>
            <w:noWrap/>
            <w:vAlign w:val="bottom"/>
            <w:hideMark/>
          </w:tcPr>
          <w:p w14:paraId="1CC8BE3C" w14:textId="77777777" w:rsidR="004316BE" w:rsidRPr="004316BE" w:rsidRDefault="004316BE" w:rsidP="004316BE">
            <w:pPr>
              <w:rPr>
                <w:rFonts w:ascii="Calibri" w:eastAsia="Times New Roman" w:hAnsi="Calibri" w:cs="Calibri"/>
                <w:i/>
                <w:iCs/>
                <w:color w:val="FFFFFF"/>
              </w:rPr>
            </w:pPr>
            <w:proofErr w:type="spellStart"/>
            <w:proofErr w:type="gramStart"/>
            <w:r w:rsidRPr="004316BE">
              <w:rPr>
                <w:rFonts w:ascii="Calibri" w:eastAsia="Times New Roman" w:hAnsi="Calibri" w:cs="Calibri"/>
                <w:i/>
                <w:iCs/>
                <w:color w:val="FFFFFF"/>
              </w:rPr>
              <w:t>log.common</w:t>
            </w:r>
            <w:proofErr w:type="gramEnd"/>
            <w:r w:rsidRPr="004316BE">
              <w:rPr>
                <w:rFonts w:ascii="Calibri" w:eastAsia="Times New Roman" w:hAnsi="Calibri" w:cs="Calibri"/>
                <w:i/>
                <w:iCs/>
                <w:color w:val="FFFFFF"/>
              </w:rPr>
              <w:t>.stocks</w:t>
            </w:r>
            <w:proofErr w:type="spellEnd"/>
          </w:p>
        </w:tc>
        <w:tc>
          <w:tcPr>
            <w:tcW w:w="5672" w:type="dxa"/>
            <w:tcBorders>
              <w:top w:val="nil"/>
              <w:left w:val="nil"/>
              <w:bottom w:val="single" w:sz="4" w:space="0" w:color="auto"/>
              <w:right w:val="single" w:sz="4" w:space="0" w:color="auto"/>
            </w:tcBorders>
            <w:shd w:val="clear" w:color="000000" w:fill="D9D9D9"/>
            <w:noWrap/>
            <w:vAlign w:val="bottom"/>
            <w:hideMark/>
          </w:tcPr>
          <w:p w14:paraId="5C36CE80" w14:textId="77777777" w:rsidR="004316BE" w:rsidRPr="004316BE" w:rsidRDefault="004316BE" w:rsidP="004316BE">
            <w:pPr>
              <w:rPr>
                <w:rFonts w:ascii="Calibri" w:eastAsia="Times New Roman" w:hAnsi="Calibri" w:cs="Calibri"/>
                <w:color w:val="000000"/>
              </w:rPr>
            </w:pPr>
            <w:r w:rsidRPr="004316BE">
              <w:rPr>
                <w:rFonts w:ascii="Calibri" w:eastAsia="Times New Roman" w:hAnsi="Calibri" w:cs="Calibri"/>
                <w:color w:val="000000"/>
              </w:rPr>
              <w:t>logarithm of common stock</w:t>
            </w:r>
          </w:p>
        </w:tc>
      </w:tr>
      <w:tr w:rsidR="004316BE" w:rsidRPr="004316BE" w14:paraId="0F41E53D" w14:textId="77777777" w:rsidTr="004316BE">
        <w:trPr>
          <w:trHeight w:val="215"/>
        </w:trPr>
        <w:tc>
          <w:tcPr>
            <w:tcW w:w="2162" w:type="dxa"/>
            <w:tcBorders>
              <w:top w:val="nil"/>
              <w:left w:val="single" w:sz="4" w:space="0" w:color="auto"/>
              <w:bottom w:val="single" w:sz="4" w:space="0" w:color="auto"/>
              <w:right w:val="single" w:sz="4" w:space="0" w:color="auto"/>
            </w:tcBorders>
            <w:shd w:val="clear" w:color="000000" w:fill="203764"/>
            <w:noWrap/>
            <w:vAlign w:val="bottom"/>
            <w:hideMark/>
          </w:tcPr>
          <w:p w14:paraId="46975AF1" w14:textId="77777777" w:rsidR="004316BE" w:rsidRPr="004316BE" w:rsidRDefault="004316BE" w:rsidP="004316BE">
            <w:pPr>
              <w:rPr>
                <w:rFonts w:ascii="Calibri" w:eastAsia="Times New Roman" w:hAnsi="Calibri" w:cs="Calibri"/>
                <w:i/>
                <w:iCs/>
                <w:color w:val="FFFFFF"/>
              </w:rPr>
            </w:pPr>
            <w:proofErr w:type="spellStart"/>
            <w:proofErr w:type="gramStart"/>
            <w:r w:rsidRPr="004316BE">
              <w:rPr>
                <w:rFonts w:ascii="Calibri" w:eastAsia="Times New Roman" w:hAnsi="Calibri" w:cs="Calibri"/>
                <w:i/>
                <w:iCs/>
                <w:color w:val="FFFFFF"/>
              </w:rPr>
              <w:t>other.finance</w:t>
            </w:r>
            <w:proofErr w:type="spellEnd"/>
            <w:proofErr w:type="gramEnd"/>
          </w:p>
        </w:tc>
        <w:tc>
          <w:tcPr>
            <w:tcW w:w="5672" w:type="dxa"/>
            <w:tcBorders>
              <w:top w:val="nil"/>
              <w:left w:val="nil"/>
              <w:bottom w:val="single" w:sz="4" w:space="0" w:color="auto"/>
              <w:right w:val="single" w:sz="4" w:space="0" w:color="auto"/>
            </w:tcBorders>
            <w:shd w:val="clear" w:color="000000" w:fill="D9D9D9"/>
            <w:noWrap/>
            <w:vAlign w:val="bottom"/>
            <w:hideMark/>
          </w:tcPr>
          <w:p w14:paraId="37889ED3" w14:textId="77777777" w:rsidR="004316BE" w:rsidRPr="004316BE" w:rsidRDefault="004316BE" w:rsidP="004316BE">
            <w:pPr>
              <w:rPr>
                <w:rFonts w:ascii="Calibri" w:eastAsia="Times New Roman" w:hAnsi="Calibri" w:cs="Calibri"/>
                <w:color w:val="000000"/>
              </w:rPr>
            </w:pPr>
            <w:r w:rsidRPr="004316BE">
              <w:rPr>
                <w:rFonts w:ascii="Calibri" w:eastAsia="Times New Roman" w:hAnsi="Calibri" w:cs="Calibri"/>
                <w:color w:val="000000"/>
              </w:rPr>
              <w:t>finance (other)</w:t>
            </w:r>
          </w:p>
        </w:tc>
      </w:tr>
      <w:tr w:rsidR="004316BE" w:rsidRPr="004316BE" w14:paraId="0AF73663" w14:textId="77777777" w:rsidTr="004316BE">
        <w:trPr>
          <w:trHeight w:val="215"/>
        </w:trPr>
        <w:tc>
          <w:tcPr>
            <w:tcW w:w="2162" w:type="dxa"/>
            <w:tcBorders>
              <w:top w:val="nil"/>
              <w:left w:val="single" w:sz="4" w:space="0" w:color="auto"/>
              <w:bottom w:val="single" w:sz="4" w:space="0" w:color="auto"/>
              <w:right w:val="single" w:sz="4" w:space="0" w:color="auto"/>
            </w:tcBorders>
            <w:shd w:val="clear" w:color="000000" w:fill="203764"/>
            <w:noWrap/>
            <w:vAlign w:val="bottom"/>
            <w:hideMark/>
          </w:tcPr>
          <w:p w14:paraId="6E040DCE" w14:textId="77777777" w:rsidR="004316BE" w:rsidRPr="004316BE" w:rsidRDefault="004316BE" w:rsidP="004316BE">
            <w:pPr>
              <w:rPr>
                <w:rFonts w:ascii="Calibri" w:eastAsia="Times New Roman" w:hAnsi="Calibri" w:cs="Calibri"/>
                <w:i/>
                <w:iCs/>
                <w:color w:val="FFFFFF"/>
              </w:rPr>
            </w:pPr>
            <w:proofErr w:type="spellStart"/>
            <w:proofErr w:type="gramStart"/>
            <w:r w:rsidRPr="004316BE">
              <w:rPr>
                <w:rFonts w:ascii="Calibri" w:eastAsia="Times New Roman" w:hAnsi="Calibri" w:cs="Calibri"/>
                <w:i/>
                <w:iCs/>
                <w:color w:val="FFFFFF"/>
              </w:rPr>
              <w:t>finance.cash</w:t>
            </w:r>
            <w:proofErr w:type="gramEnd"/>
            <w:r w:rsidRPr="004316BE">
              <w:rPr>
                <w:rFonts w:ascii="Calibri" w:eastAsia="Times New Roman" w:hAnsi="Calibri" w:cs="Calibri"/>
                <w:i/>
                <w:iCs/>
                <w:color w:val="FFFFFF"/>
              </w:rPr>
              <w:t>.flow</w:t>
            </w:r>
            <w:proofErr w:type="spellEnd"/>
          </w:p>
        </w:tc>
        <w:tc>
          <w:tcPr>
            <w:tcW w:w="5672" w:type="dxa"/>
            <w:tcBorders>
              <w:top w:val="nil"/>
              <w:left w:val="nil"/>
              <w:bottom w:val="single" w:sz="4" w:space="0" w:color="auto"/>
              <w:right w:val="single" w:sz="4" w:space="0" w:color="auto"/>
            </w:tcBorders>
            <w:shd w:val="clear" w:color="000000" w:fill="D9D9D9"/>
            <w:noWrap/>
            <w:vAlign w:val="bottom"/>
            <w:hideMark/>
          </w:tcPr>
          <w:p w14:paraId="2C927DF7" w14:textId="77777777" w:rsidR="004316BE" w:rsidRPr="004316BE" w:rsidRDefault="004316BE" w:rsidP="004316BE">
            <w:pPr>
              <w:rPr>
                <w:rFonts w:ascii="Calibri" w:eastAsia="Times New Roman" w:hAnsi="Calibri" w:cs="Calibri"/>
                <w:color w:val="000000"/>
              </w:rPr>
            </w:pPr>
            <w:r w:rsidRPr="004316BE">
              <w:rPr>
                <w:rFonts w:ascii="Calibri" w:eastAsia="Times New Roman" w:hAnsi="Calibri" w:cs="Calibri"/>
                <w:color w:val="000000"/>
              </w:rPr>
              <w:t>cash finance</w:t>
            </w:r>
          </w:p>
        </w:tc>
      </w:tr>
      <w:tr w:rsidR="004316BE" w:rsidRPr="004316BE" w14:paraId="761600A7" w14:textId="77777777" w:rsidTr="004316BE">
        <w:trPr>
          <w:trHeight w:val="215"/>
        </w:trPr>
        <w:tc>
          <w:tcPr>
            <w:tcW w:w="2162" w:type="dxa"/>
            <w:tcBorders>
              <w:top w:val="nil"/>
              <w:left w:val="single" w:sz="4" w:space="0" w:color="auto"/>
              <w:bottom w:val="single" w:sz="4" w:space="0" w:color="auto"/>
              <w:right w:val="single" w:sz="4" w:space="0" w:color="auto"/>
            </w:tcBorders>
            <w:shd w:val="clear" w:color="000000" w:fill="203764"/>
            <w:noWrap/>
            <w:vAlign w:val="bottom"/>
            <w:hideMark/>
          </w:tcPr>
          <w:p w14:paraId="48EE3CA5" w14:textId="77777777" w:rsidR="004316BE" w:rsidRPr="004316BE" w:rsidRDefault="004316BE" w:rsidP="004316BE">
            <w:pPr>
              <w:rPr>
                <w:rFonts w:ascii="Calibri" w:eastAsia="Times New Roman" w:hAnsi="Calibri" w:cs="Calibri"/>
                <w:i/>
                <w:iCs/>
                <w:color w:val="FFFFFF"/>
              </w:rPr>
            </w:pPr>
            <w:proofErr w:type="spellStart"/>
            <w:proofErr w:type="gramStart"/>
            <w:r w:rsidRPr="004316BE">
              <w:rPr>
                <w:rFonts w:ascii="Calibri" w:eastAsia="Times New Roman" w:hAnsi="Calibri" w:cs="Calibri"/>
                <w:i/>
                <w:iCs/>
                <w:color w:val="FFFFFF"/>
              </w:rPr>
              <w:t>other.funds</w:t>
            </w:r>
            <w:proofErr w:type="spellEnd"/>
            <w:proofErr w:type="gramEnd"/>
          </w:p>
        </w:tc>
        <w:tc>
          <w:tcPr>
            <w:tcW w:w="5672" w:type="dxa"/>
            <w:tcBorders>
              <w:top w:val="nil"/>
              <w:left w:val="nil"/>
              <w:bottom w:val="single" w:sz="4" w:space="0" w:color="auto"/>
              <w:right w:val="single" w:sz="4" w:space="0" w:color="auto"/>
            </w:tcBorders>
            <w:shd w:val="clear" w:color="000000" w:fill="D9D9D9"/>
            <w:noWrap/>
            <w:vAlign w:val="bottom"/>
            <w:hideMark/>
          </w:tcPr>
          <w:p w14:paraId="7699671F" w14:textId="77777777" w:rsidR="004316BE" w:rsidRPr="004316BE" w:rsidRDefault="004316BE" w:rsidP="004316BE">
            <w:pPr>
              <w:rPr>
                <w:rFonts w:ascii="Calibri" w:eastAsia="Times New Roman" w:hAnsi="Calibri" w:cs="Calibri"/>
                <w:color w:val="000000"/>
              </w:rPr>
            </w:pPr>
            <w:r w:rsidRPr="004316BE">
              <w:rPr>
                <w:rFonts w:ascii="Calibri" w:eastAsia="Times New Roman" w:hAnsi="Calibri" w:cs="Calibri"/>
                <w:color w:val="000000"/>
              </w:rPr>
              <w:t>broad/other funds</w:t>
            </w:r>
          </w:p>
        </w:tc>
      </w:tr>
      <w:tr w:rsidR="004316BE" w:rsidRPr="004316BE" w14:paraId="4FAA4B03" w14:textId="77777777" w:rsidTr="004316BE">
        <w:trPr>
          <w:trHeight w:val="215"/>
        </w:trPr>
        <w:tc>
          <w:tcPr>
            <w:tcW w:w="2162" w:type="dxa"/>
            <w:tcBorders>
              <w:top w:val="nil"/>
              <w:left w:val="single" w:sz="4" w:space="0" w:color="auto"/>
              <w:bottom w:val="single" w:sz="4" w:space="0" w:color="auto"/>
              <w:right w:val="single" w:sz="4" w:space="0" w:color="auto"/>
            </w:tcBorders>
            <w:shd w:val="clear" w:color="000000" w:fill="203764"/>
            <w:noWrap/>
            <w:vAlign w:val="bottom"/>
            <w:hideMark/>
          </w:tcPr>
          <w:p w14:paraId="4523F231" w14:textId="77777777" w:rsidR="004316BE" w:rsidRPr="004316BE" w:rsidRDefault="004316BE" w:rsidP="004316BE">
            <w:pPr>
              <w:rPr>
                <w:rFonts w:ascii="Calibri" w:eastAsia="Times New Roman" w:hAnsi="Calibri" w:cs="Calibri"/>
                <w:i/>
                <w:iCs/>
                <w:color w:val="FFFFFF"/>
              </w:rPr>
            </w:pPr>
            <w:proofErr w:type="spellStart"/>
            <w:proofErr w:type="gramStart"/>
            <w:r w:rsidRPr="004316BE">
              <w:rPr>
                <w:rFonts w:ascii="Calibri" w:eastAsia="Times New Roman" w:hAnsi="Calibri" w:cs="Calibri"/>
                <w:i/>
                <w:iCs/>
                <w:color w:val="FFFFFF"/>
              </w:rPr>
              <w:t>inventory.diff</w:t>
            </w:r>
            <w:proofErr w:type="spellEnd"/>
            <w:proofErr w:type="gramEnd"/>
          </w:p>
        </w:tc>
        <w:tc>
          <w:tcPr>
            <w:tcW w:w="5672" w:type="dxa"/>
            <w:tcBorders>
              <w:top w:val="nil"/>
              <w:left w:val="nil"/>
              <w:bottom w:val="single" w:sz="4" w:space="0" w:color="auto"/>
              <w:right w:val="single" w:sz="4" w:space="0" w:color="auto"/>
            </w:tcBorders>
            <w:shd w:val="clear" w:color="000000" w:fill="D9D9D9"/>
            <w:noWrap/>
            <w:vAlign w:val="bottom"/>
            <w:hideMark/>
          </w:tcPr>
          <w:p w14:paraId="0F0F0E75" w14:textId="77777777" w:rsidR="004316BE" w:rsidRPr="004316BE" w:rsidRDefault="004316BE" w:rsidP="004316BE">
            <w:pPr>
              <w:rPr>
                <w:rFonts w:ascii="Calibri" w:eastAsia="Times New Roman" w:hAnsi="Calibri" w:cs="Calibri"/>
                <w:color w:val="000000"/>
              </w:rPr>
            </w:pPr>
            <w:r w:rsidRPr="004316BE">
              <w:rPr>
                <w:rFonts w:ascii="Calibri" w:eastAsia="Times New Roman" w:hAnsi="Calibri" w:cs="Calibri"/>
                <w:color w:val="000000"/>
              </w:rPr>
              <w:t>inventory differential</w:t>
            </w:r>
          </w:p>
        </w:tc>
      </w:tr>
      <w:tr w:rsidR="004316BE" w:rsidRPr="004316BE" w14:paraId="17B4CAA6" w14:textId="77777777" w:rsidTr="004316BE">
        <w:trPr>
          <w:trHeight w:val="215"/>
        </w:trPr>
        <w:tc>
          <w:tcPr>
            <w:tcW w:w="2162" w:type="dxa"/>
            <w:tcBorders>
              <w:top w:val="nil"/>
              <w:left w:val="single" w:sz="4" w:space="0" w:color="auto"/>
              <w:bottom w:val="single" w:sz="4" w:space="0" w:color="auto"/>
              <w:right w:val="single" w:sz="4" w:space="0" w:color="auto"/>
            </w:tcBorders>
            <w:shd w:val="clear" w:color="000000" w:fill="203764"/>
            <w:noWrap/>
            <w:vAlign w:val="bottom"/>
            <w:hideMark/>
          </w:tcPr>
          <w:p w14:paraId="530C87E2" w14:textId="77777777" w:rsidR="004316BE" w:rsidRPr="004316BE" w:rsidRDefault="004316BE" w:rsidP="004316BE">
            <w:pPr>
              <w:rPr>
                <w:rFonts w:ascii="Calibri" w:eastAsia="Times New Roman" w:hAnsi="Calibri" w:cs="Calibri"/>
                <w:i/>
                <w:iCs/>
                <w:color w:val="FFFFFF"/>
              </w:rPr>
            </w:pPr>
            <w:proofErr w:type="spellStart"/>
            <w:proofErr w:type="gramStart"/>
            <w:r w:rsidRPr="004316BE">
              <w:rPr>
                <w:rFonts w:ascii="Calibri" w:eastAsia="Times New Roman" w:hAnsi="Calibri" w:cs="Calibri"/>
                <w:i/>
                <w:iCs/>
                <w:color w:val="FFFFFF"/>
              </w:rPr>
              <w:t>investing.other</w:t>
            </w:r>
            <w:proofErr w:type="spellEnd"/>
            <w:proofErr w:type="gramEnd"/>
          </w:p>
        </w:tc>
        <w:tc>
          <w:tcPr>
            <w:tcW w:w="5672" w:type="dxa"/>
            <w:tcBorders>
              <w:top w:val="nil"/>
              <w:left w:val="nil"/>
              <w:bottom w:val="single" w:sz="4" w:space="0" w:color="auto"/>
              <w:right w:val="single" w:sz="4" w:space="0" w:color="auto"/>
            </w:tcBorders>
            <w:shd w:val="clear" w:color="000000" w:fill="D9D9D9"/>
            <w:noWrap/>
            <w:vAlign w:val="bottom"/>
            <w:hideMark/>
          </w:tcPr>
          <w:p w14:paraId="22C5C21E" w14:textId="77777777" w:rsidR="004316BE" w:rsidRPr="004316BE" w:rsidRDefault="004316BE" w:rsidP="004316BE">
            <w:pPr>
              <w:rPr>
                <w:rFonts w:ascii="Calibri" w:eastAsia="Times New Roman" w:hAnsi="Calibri" w:cs="Calibri"/>
                <w:color w:val="000000"/>
              </w:rPr>
            </w:pPr>
            <w:r w:rsidRPr="004316BE">
              <w:rPr>
                <w:rFonts w:ascii="Calibri" w:eastAsia="Times New Roman" w:hAnsi="Calibri" w:cs="Calibri"/>
                <w:color w:val="000000"/>
              </w:rPr>
              <w:t>investments (other)</w:t>
            </w:r>
          </w:p>
        </w:tc>
      </w:tr>
      <w:tr w:rsidR="004316BE" w:rsidRPr="004316BE" w14:paraId="3AEE2B65" w14:textId="77777777" w:rsidTr="004316BE">
        <w:trPr>
          <w:trHeight w:val="215"/>
        </w:trPr>
        <w:tc>
          <w:tcPr>
            <w:tcW w:w="2162" w:type="dxa"/>
            <w:tcBorders>
              <w:top w:val="nil"/>
              <w:left w:val="single" w:sz="4" w:space="0" w:color="auto"/>
              <w:bottom w:val="single" w:sz="4" w:space="0" w:color="auto"/>
              <w:right w:val="single" w:sz="4" w:space="0" w:color="auto"/>
            </w:tcBorders>
            <w:shd w:val="clear" w:color="000000" w:fill="203764"/>
            <w:noWrap/>
            <w:vAlign w:val="bottom"/>
            <w:hideMark/>
          </w:tcPr>
          <w:p w14:paraId="0DCEFC4D" w14:textId="77777777" w:rsidR="004316BE" w:rsidRPr="004316BE" w:rsidRDefault="004316BE" w:rsidP="004316BE">
            <w:pPr>
              <w:rPr>
                <w:rFonts w:ascii="Calibri" w:eastAsia="Times New Roman" w:hAnsi="Calibri" w:cs="Calibri"/>
                <w:i/>
                <w:iCs/>
                <w:color w:val="FFFFFF"/>
              </w:rPr>
            </w:pPr>
            <w:proofErr w:type="spellStart"/>
            <w:proofErr w:type="gramStart"/>
            <w:r w:rsidRPr="004316BE">
              <w:rPr>
                <w:rFonts w:ascii="Calibri" w:eastAsia="Times New Roman" w:hAnsi="Calibri" w:cs="Calibri"/>
                <w:i/>
                <w:iCs/>
                <w:color w:val="FFFFFF"/>
              </w:rPr>
              <w:t>options.granted</w:t>
            </w:r>
            <w:proofErr w:type="spellEnd"/>
            <w:proofErr w:type="gramEnd"/>
          </w:p>
        </w:tc>
        <w:tc>
          <w:tcPr>
            <w:tcW w:w="5672" w:type="dxa"/>
            <w:tcBorders>
              <w:top w:val="nil"/>
              <w:left w:val="nil"/>
              <w:bottom w:val="single" w:sz="4" w:space="0" w:color="auto"/>
              <w:right w:val="single" w:sz="4" w:space="0" w:color="auto"/>
            </w:tcBorders>
            <w:shd w:val="clear" w:color="000000" w:fill="D9D9D9"/>
            <w:noWrap/>
            <w:vAlign w:val="bottom"/>
            <w:hideMark/>
          </w:tcPr>
          <w:p w14:paraId="58B1E013" w14:textId="77777777" w:rsidR="004316BE" w:rsidRPr="004316BE" w:rsidRDefault="004316BE" w:rsidP="004316BE">
            <w:pPr>
              <w:rPr>
                <w:rFonts w:ascii="Calibri" w:eastAsia="Times New Roman" w:hAnsi="Calibri" w:cs="Calibri"/>
                <w:color w:val="000000"/>
              </w:rPr>
            </w:pPr>
            <w:r w:rsidRPr="004316BE">
              <w:rPr>
                <w:rFonts w:ascii="Calibri" w:eastAsia="Times New Roman" w:hAnsi="Calibri" w:cs="Calibri"/>
                <w:color w:val="000000"/>
              </w:rPr>
              <w:t>options granted</w:t>
            </w:r>
          </w:p>
        </w:tc>
      </w:tr>
      <w:tr w:rsidR="004316BE" w:rsidRPr="004316BE" w14:paraId="13251C06" w14:textId="77777777" w:rsidTr="004316BE">
        <w:trPr>
          <w:trHeight w:val="215"/>
        </w:trPr>
        <w:tc>
          <w:tcPr>
            <w:tcW w:w="2162" w:type="dxa"/>
            <w:tcBorders>
              <w:top w:val="nil"/>
              <w:left w:val="single" w:sz="4" w:space="0" w:color="auto"/>
              <w:bottom w:val="single" w:sz="4" w:space="0" w:color="auto"/>
              <w:right w:val="single" w:sz="4" w:space="0" w:color="auto"/>
            </w:tcBorders>
            <w:shd w:val="clear" w:color="000000" w:fill="203764"/>
            <w:noWrap/>
            <w:vAlign w:val="bottom"/>
            <w:hideMark/>
          </w:tcPr>
          <w:p w14:paraId="5E038A25" w14:textId="77777777" w:rsidR="004316BE" w:rsidRPr="004316BE" w:rsidRDefault="004316BE" w:rsidP="004316BE">
            <w:pPr>
              <w:rPr>
                <w:rFonts w:ascii="Calibri" w:eastAsia="Times New Roman" w:hAnsi="Calibri" w:cs="Calibri"/>
                <w:i/>
                <w:iCs/>
                <w:color w:val="FFFFFF"/>
              </w:rPr>
            </w:pPr>
            <w:proofErr w:type="spellStart"/>
            <w:proofErr w:type="gramStart"/>
            <w:r w:rsidRPr="004316BE">
              <w:rPr>
                <w:rFonts w:ascii="Calibri" w:eastAsia="Times New Roman" w:hAnsi="Calibri" w:cs="Calibri"/>
                <w:i/>
                <w:iCs/>
                <w:color w:val="FFFFFF"/>
              </w:rPr>
              <w:t>risk.free</w:t>
            </w:r>
            <w:proofErr w:type="gramEnd"/>
            <w:r w:rsidRPr="004316BE">
              <w:rPr>
                <w:rFonts w:ascii="Calibri" w:eastAsia="Times New Roman" w:hAnsi="Calibri" w:cs="Calibri"/>
                <w:i/>
                <w:iCs/>
                <w:color w:val="FFFFFF"/>
              </w:rPr>
              <w:t>.rate</w:t>
            </w:r>
            <w:proofErr w:type="spellEnd"/>
          </w:p>
        </w:tc>
        <w:tc>
          <w:tcPr>
            <w:tcW w:w="5672" w:type="dxa"/>
            <w:tcBorders>
              <w:top w:val="nil"/>
              <w:left w:val="nil"/>
              <w:bottom w:val="single" w:sz="4" w:space="0" w:color="auto"/>
              <w:right w:val="single" w:sz="4" w:space="0" w:color="auto"/>
            </w:tcBorders>
            <w:shd w:val="clear" w:color="000000" w:fill="D9D9D9"/>
            <w:noWrap/>
            <w:vAlign w:val="bottom"/>
            <w:hideMark/>
          </w:tcPr>
          <w:p w14:paraId="48D7A015" w14:textId="77777777" w:rsidR="004316BE" w:rsidRPr="004316BE" w:rsidRDefault="004316BE" w:rsidP="004316BE">
            <w:pPr>
              <w:rPr>
                <w:rFonts w:ascii="Calibri" w:eastAsia="Times New Roman" w:hAnsi="Calibri" w:cs="Calibri"/>
                <w:color w:val="000000"/>
              </w:rPr>
            </w:pPr>
            <w:r w:rsidRPr="004316BE">
              <w:rPr>
                <w:rFonts w:ascii="Calibri" w:eastAsia="Times New Roman" w:hAnsi="Calibri" w:cs="Calibri"/>
                <w:color w:val="000000"/>
              </w:rPr>
              <w:t>risk free rate</w:t>
            </w:r>
          </w:p>
        </w:tc>
      </w:tr>
      <w:tr w:rsidR="004316BE" w:rsidRPr="004316BE" w14:paraId="2EAE2F9E" w14:textId="77777777" w:rsidTr="004316BE">
        <w:trPr>
          <w:trHeight w:val="215"/>
        </w:trPr>
        <w:tc>
          <w:tcPr>
            <w:tcW w:w="2162" w:type="dxa"/>
            <w:tcBorders>
              <w:top w:val="nil"/>
              <w:left w:val="single" w:sz="4" w:space="0" w:color="auto"/>
              <w:bottom w:val="single" w:sz="4" w:space="0" w:color="auto"/>
              <w:right w:val="single" w:sz="4" w:space="0" w:color="auto"/>
            </w:tcBorders>
            <w:shd w:val="clear" w:color="000000" w:fill="203764"/>
            <w:noWrap/>
            <w:vAlign w:val="bottom"/>
            <w:hideMark/>
          </w:tcPr>
          <w:p w14:paraId="11B0D638" w14:textId="77777777" w:rsidR="004316BE" w:rsidRPr="004316BE" w:rsidRDefault="004316BE" w:rsidP="004316BE">
            <w:pPr>
              <w:rPr>
                <w:rFonts w:ascii="Calibri" w:eastAsia="Times New Roman" w:hAnsi="Calibri" w:cs="Calibri"/>
                <w:i/>
                <w:iCs/>
                <w:color w:val="FFFFFF"/>
              </w:rPr>
            </w:pPr>
            <w:proofErr w:type="spellStart"/>
            <w:proofErr w:type="gramStart"/>
            <w:r w:rsidRPr="004316BE">
              <w:rPr>
                <w:rFonts w:ascii="Calibri" w:eastAsia="Times New Roman" w:hAnsi="Calibri" w:cs="Calibri"/>
                <w:i/>
                <w:iCs/>
                <w:color w:val="FFFFFF"/>
              </w:rPr>
              <w:t>assumed.volatility</w:t>
            </w:r>
            <w:proofErr w:type="spellEnd"/>
            <w:proofErr w:type="gramEnd"/>
          </w:p>
        </w:tc>
        <w:tc>
          <w:tcPr>
            <w:tcW w:w="5672" w:type="dxa"/>
            <w:tcBorders>
              <w:top w:val="nil"/>
              <w:left w:val="nil"/>
              <w:bottom w:val="single" w:sz="4" w:space="0" w:color="auto"/>
              <w:right w:val="single" w:sz="4" w:space="0" w:color="auto"/>
            </w:tcBorders>
            <w:shd w:val="clear" w:color="000000" w:fill="D9D9D9"/>
            <w:noWrap/>
            <w:vAlign w:val="bottom"/>
            <w:hideMark/>
          </w:tcPr>
          <w:p w14:paraId="4816D31F" w14:textId="77777777" w:rsidR="004316BE" w:rsidRPr="004316BE" w:rsidRDefault="004316BE" w:rsidP="004316BE">
            <w:pPr>
              <w:rPr>
                <w:rFonts w:ascii="Calibri" w:eastAsia="Times New Roman" w:hAnsi="Calibri" w:cs="Calibri"/>
                <w:color w:val="000000"/>
              </w:rPr>
            </w:pPr>
            <w:r w:rsidRPr="004316BE">
              <w:rPr>
                <w:rFonts w:ascii="Calibri" w:eastAsia="Times New Roman" w:hAnsi="Calibri" w:cs="Calibri"/>
                <w:color w:val="000000"/>
              </w:rPr>
              <w:t>assumed volatility</w:t>
            </w:r>
          </w:p>
        </w:tc>
      </w:tr>
      <w:tr w:rsidR="004316BE" w:rsidRPr="004316BE" w14:paraId="0FA213DD" w14:textId="77777777" w:rsidTr="004316BE">
        <w:trPr>
          <w:trHeight w:val="215"/>
        </w:trPr>
        <w:tc>
          <w:tcPr>
            <w:tcW w:w="2162" w:type="dxa"/>
            <w:tcBorders>
              <w:top w:val="nil"/>
              <w:left w:val="single" w:sz="4" w:space="0" w:color="auto"/>
              <w:bottom w:val="single" w:sz="4" w:space="0" w:color="auto"/>
              <w:right w:val="single" w:sz="4" w:space="0" w:color="auto"/>
            </w:tcBorders>
            <w:shd w:val="clear" w:color="000000" w:fill="203764"/>
            <w:noWrap/>
            <w:vAlign w:val="bottom"/>
            <w:hideMark/>
          </w:tcPr>
          <w:p w14:paraId="6B6594B1" w14:textId="77777777" w:rsidR="004316BE" w:rsidRPr="004316BE" w:rsidRDefault="004316BE" w:rsidP="004316BE">
            <w:pPr>
              <w:rPr>
                <w:rFonts w:ascii="Calibri" w:eastAsia="Times New Roman" w:hAnsi="Calibri" w:cs="Calibri"/>
                <w:i/>
                <w:iCs/>
                <w:color w:val="FFFFFF"/>
              </w:rPr>
            </w:pPr>
            <w:proofErr w:type="spellStart"/>
            <w:proofErr w:type="gramStart"/>
            <w:r w:rsidRPr="004316BE">
              <w:rPr>
                <w:rFonts w:ascii="Calibri" w:eastAsia="Times New Roman" w:hAnsi="Calibri" w:cs="Calibri"/>
                <w:i/>
                <w:iCs/>
                <w:color w:val="FFFFFF"/>
              </w:rPr>
              <w:t>sale.investements</w:t>
            </w:r>
            <w:proofErr w:type="spellEnd"/>
            <w:proofErr w:type="gramEnd"/>
          </w:p>
        </w:tc>
        <w:tc>
          <w:tcPr>
            <w:tcW w:w="5672" w:type="dxa"/>
            <w:tcBorders>
              <w:top w:val="nil"/>
              <w:left w:val="nil"/>
              <w:bottom w:val="single" w:sz="4" w:space="0" w:color="auto"/>
              <w:right w:val="single" w:sz="4" w:space="0" w:color="auto"/>
            </w:tcBorders>
            <w:shd w:val="clear" w:color="000000" w:fill="D9D9D9"/>
            <w:noWrap/>
            <w:vAlign w:val="bottom"/>
            <w:hideMark/>
          </w:tcPr>
          <w:p w14:paraId="33063167" w14:textId="77777777" w:rsidR="004316BE" w:rsidRPr="004316BE" w:rsidRDefault="004316BE" w:rsidP="004316BE">
            <w:pPr>
              <w:rPr>
                <w:rFonts w:ascii="Calibri" w:eastAsia="Times New Roman" w:hAnsi="Calibri" w:cs="Calibri"/>
                <w:color w:val="000000"/>
              </w:rPr>
            </w:pPr>
            <w:r w:rsidRPr="004316BE">
              <w:rPr>
                <w:rFonts w:ascii="Calibri" w:eastAsia="Times New Roman" w:hAnsi="Calibri" w:cs="Calibri"/>
                <w:color w:val="000000"/>
              </w:rPr>
              <w:t>investment sales</w:t>
            </w:r>
          </w:p>
        </w:tc>
      </w:tr>
      <w:tr w:rsidR="004316BE" w:rsidRPr="004316BE" w14:paraId="4C973466" w14:textId="77777777" w:rsidTr="004316BE">
        <w:trPr>
          <w:trHeight w:val="215"/>
        </w:trPr>
        <w:tc>
          <w:tcPr>
            <w:tcW w:w="2162" w:type="dxa"/>
            <w:tcBorders>
              <w:top w:val="nil"/>
              <w:left w:val="single" w:sz="4" w:space="0" w:color="auto"/>
              <w:bottom w:val="single" w:sz="4" w:space="0" w:color="auto"/>
              <w:right w:val="single" w:sz="4" w:space="0" w:color="auto"/>
            </w:tcBorders>
            <w:shd w:val="clear" w:color="000000" w:fill="203764"/>
            <w:noWrap/>
            <w:vAlign w:val="bottom"/>
            <w:hideMark/>
          </w:tcPr>
          <w:p w14:paraId="57E0B7C9" w14:textId="77777777" w:rsidR="004316BE" w:rsidRPr="004316BE" w:rsidRDefault="004316BE" w:rsidP="004316BE">
            <w:pPr>
              <w:rPr>
                <w:rFonts w:ascii="Calibri" w:eastAsia="Times New Roman" w:hAnsi="Calibri" w:cs="Calibri"/>
                <w:i/>
                <w:iCs/>
                <w:color w:val="FFFFFF"/>
              </w:rPr>
            </w:pPr>
            <w:proofErr w:type="spellStart"/>
            <w:r w:rsidRPr="004316BE">
              <w:rPr>
                <w:rFonts w:ascii="Calibri" w:eastAsia="Times New Roman" w:hAnsi="Calibri" w:cs="Calibri"/>
                <w:i/>
                <w:iCs/>
                <w:color w:val="FFFFFF"/>
              </w:rPr>
              <w:t>log.long.tax</w:t>
            </w:r>
            <w:proofErr w:type="spellEnd"/>
          </w:p>
        </w:tc>
        <w:tc>
          <w:tcPr>
            <w:tcW w:w="5672" w:type="dxa"/>
            <w:tcBorders>
              <w:top w:val="nil"/>
              <w:left w:val="nil"/>
              <w:bottom w:val="single" w:sz="4" w:space="0" w:color="auto"/>
              <w:right w:val="single" w:sz="4" w:space="0" w:color="auto"/>
            </w:tcBorders>
            <w:shd w:val="clear" w:color="000000" w:fill="D9D9D9"/>
            <w:noWrap/>
            <w:vAlign w:val="bottom"/>
            <w:hideMark/>
          </w:tcPr>
          <w:p w14:paraId="62F78431" w14:textId="77777777" w:rsidR="004316BE" w:rsidRPr="004316BE" w:rsidRDefault="004316BE" w:rsidP="004316BE">
            <w:pPr>
              <w:rPr>
                <w:rFonts w:ascii="Calibri" w:eastAsia="Times New Roman" w:hAnsi="Calibri" w:cs="Calibri"/>
                <w:color w:val="000000"/>
              </w:rPr>
            </w:pPr>
            <w:r w:rsidRPr="004316BE">
              <w:rPr>
                <w:rFonts w:ascii="Calibri" w:eastAsia="Times New Roman" w:hAnsi="Calibri" w:cs="Calibri"/>
                <w:color w:val="000000"/>
              </w:rPr>
              <w:t>logarithm of long term taxable assets</w:t>
            </w:r>
          </w:p>
        </w:tc>
      </w:tr>
      <w:tr w:rsidR="004316BE" w:rsidRPr="004316BE" w14:paraId="2A6ECFC0" w14:textId="77777777" w:rsidTr="004316BE">
        <w:trPr>
          <w:trHeight w:val="215"/>
        </w:trPr>
        <w:tc>
          <w:tcPr>
            <w:tcW w:w="2162" w:type="dxa"/>
            <w:tcBorders>
              <w:top w:val="nil"/>
              <w:left w:val="single" w:sz="4" w:space="0" w:color="auto"/>
              <w:bottom w:val="single" w:sz="4" w:space="0" w:color="auto"/>
              <w:right w:val="single" w:sz="4" w:space="0" w:color="auto"/>
            </w:tcBorders>
            <w:shd w:val="clear" w:color="000000" w:fill="203764"/>
            <w:noWrap/>
            <w:vAlign w:val="bottom"/>
            <w:hideMark/>
          </w:tcPr>
          <w:p w14:paraId="5FC21CC5" w14:textId="77777777" w:rsidR="004316BE" w:rsidRPr="004316BE" w:rsidRDefault="004316BE" w:rsidP="004316BE">
            <w:pPr>
              <w:rPr>
                <w:rFonts w:ascii="Calibri" w:eastAsia="Times New Roman" w:hAnsi="Calibri" w:cs="Calibri"/>
                <w:i/>
                <w:iCs/>
                <w:color w:val="FFFFFF"/>
              </w:rPr>
            </w:pPr>
            <w:proofErr w:type="spellStart"/>
            <w:proofErr w:type="gramStart"/>
            <w:r w:rsidRPr="004316BE">
              <w:rPr>
                <w:rFonts w:ascii="Calibri" w:eastAsia="Times New Roman" w:hAnsi="Calibri" w:cs="Calibri"/>
                <w:i/>
                <w:iCs/>
                <w:color w:val="FFFFFF"/>
              </w:rPr>
              <w:t>net.tax.liability</w:t>
            </w:r>
            <w:proofErr w:type="spellEnd"/>
            <w:proofErr w:type="gramEnd"/>
          </w:p>
        </w:tc>
        <w:tc>
          <w:tcPr>
            <w:tcW w:w="5672" w:type="dxa"/>
            <w:tcBorders>
              <w:top w:val="nil"/>
              <w:left w:val="nil"/>
              <w:bottom w:val="single" w:sz="4" w:space="0" w:color="auto"/>
              <w:right w:val="single" w:sz="4" w:space="0" w:color="auto"/>
            </w:tcBorders>
            <w:shd w:val="clear" w:color="000000" w:fill="D9D9D9"/>
            <w:noWrap/>
            <w:vAlign w:val="bottom"/>
            <w:hideMark/>
          </w:tcPr>
          <w:p w14:paraId="34D6AB1A" w14:textId="77777777" w:rsidR="004316BE" w:rsidRPr="004316BE" w:rsidRDefault="004316BE" w:rsidP="004316BE">
            <w:pPr>
              <w:rPr>
                <w:rFonts w:ascii="Calibri" w:eastAsia="Times New Roman" w:hAnsi="Calibri" w:cs="Calibri"/>
                <w:color w:val="000000"/>
              </w:rPr>
            </w:pPr>
            <w:r w:rsidRPr="004316BE">
              <w:rPr>
                <w:rFonts w:ascii="Calibri" w:eastAsia="Times New Roman" w:hAnsi="Calibri" w:cs="Calibri"/>
                <w:color w:val="000000"/>
              </w:rPr>
              <w:t>net tax liability</w:t>
            </w:r>
          </w:p>
        </w:tc>
      </w:tr>
      <w:tr w:rsidR="004316BE" w:rsidRPr="004316BE" w14:paraId="6A56D3C3" w14:textId="77777777" w:rsidTr="004316BE">
        <w:trPr>
          <w:trHeight w:val="215"/>
        </w:trPr>
        <w:tc>
          <w:tcPr>
            <w:tcW w:w="2162" w:type="dxa"/>
            <w:tcBorders>
              <w:top w:val="nil"/>
              <w:left w:val="single" w:sz="4" w:space="0" w:color="auto"/>
              <w:bottom w:val="single" w:sz="4" w:space="0" w:color="auto"/>
              <w:right w:val="single" w:sz="4" w:space="0" w:color="auto"/>
            </w:tcBorders>
            <w:shd w:val="clear" w:color="000000" w:fill="203764"/>
            <w:noWrap/>
            <w:vAlign w:val="bottom"/>
            <w:hideMark/>
          </w:tcPr>
          <w:p w14:paraId="7824C147" w14:textId="77777777" w:rsidR="004316BE" w:rsidRPr="004316BE" w:rsidRDefault="004316BE" w:rsidP="004316BE">
            <w:pPr>
              <w:rPr>
                <w:rFonts w:ascii="Calibri" w:eastAsia="Times New Roman" w:hAnsi="Calibri" w:cs="Calibri"/>
                <w:i/>
                <w:iCs/>
                <w:color w:val="FFFFFF"/>
              </w:rPr>
            </w:pPr>
            <w:r w:rsidRPr="004316BE">
              <w:rPr>
                <w:rFonts w:ascii="Calibri" w:eastAsia="Times New Roman" w:hAnsi="Calibri" w:cs="Calibri"/>
                <w:i/>
                <w:iCs/>
                <w:color w:val="FFFFFF"/>
              </w:rPr>
              <w:t>settlement.pct</w:t>
            </w:r>
          </w:p>
        </w:tc>
        <w:tc>
          <w:tcPr>
            <w:tcW w:w="5672" w:type="dxa"/>
            <w:tcBorders>
              <w:top w:val="nil"/>
              <w:left w:val="nil"/>
              <w:bottom w:val="single" w:sz="4" w:space="0" w:color="auto"/>
              <w:right w:val="single" w:sz="4" w:space="0" w:color="auto"/>
            </w:tcBorders>
            <w:shd w:val="clear" w:color="000000" w:fill="D9D9D9"/>
            <w:noWrap/>
            <w:vAlign w:val="bottom"/>
            <w:hideMark/>
          </w:tcPr>
          <w:p w14:paraId="3517BA67" w14:textId="77777777" w:rsidR="004316BE" w:rsidRPr="004316BE" w:rsidRDefault="004316BE" w:rsidP="004316BE">
            <w:pPr>
              <w:rPr>
                <w:rFonts w:ascii="Calibri" w:eastAsia="Times New Roman" w:hAnsi="Calibri" w:cs="Calibri"/>
                <w:color w:val="000000"/>
              </w:rPr>
            </w:pPr>
            <w:r w:rsidRPr="004316BE">
              <w:rPr>
                <w:rFonts w:ascii="Calibri" w:eastAsia="Times New Roman" w:hAnsi="Calibri" w:cs="Calibri"/>
                <w:color w:val="000000"/>
              </w:rPr>
              <w:t>settlement amount as a percent of market-cap</w:t>
            </w:r>
          </w:p>
        </w:tc>
      </w:tr>
      <w:tr w:rsidR="004316BE" w:rsidRPr="004316BE" w14:paraId="4AC1BF9D" w14:textId="77777777" w:rsidTr="004316BE">
        <w:trPr>
          <w:trHeight w:val="215"/>
        </w:trPr>
        <w:tc>
          <w:tcPr>
            <w:tcW w:w="2162" w:type="dxa"/>
            <w:tcBorders>
              <w:top w:val="nil"/>
              <w:left w:val="single" w:sz="4" w:space="0" w:color="auto"/>
              <w:bottom w:val="single" w:sz="4" w:space="0" w:color="auto"/>
              <w:right w:val="single" w:sz="4" w:space="0" w:color="auto"/>
            </w:tcBorders>
            <w:shd w:val="clear" w:color="000000" w:fill="203764"/>
            <w:noWrap/>
            <w:vAlign w:val="bottom"/>
            <w:hideMark/>
          </w:tcPr>
          <w:p w14:paraId="2006D195" w14:textId="77777777" w:rsidR="004316BE" w:rsidRPr="004316BE" w:rsidRDefault="004316BE" w:rsidP="004316BE">
            <w:pPr>
              <w:rPr>
                <w:rFonts w:ascii="Calibri" w:eastAsia="Times New Roman" w:hAnsi="Calibri" w:cs="Calibri"/>
                <w:i/>
                <w:iCs/>
                <w:color w:val="FFFFFF"/>
              </w:rPr>
            </w:pPr>
            <w:proofErr w:type="spellStart"/>
            <w:proofErr w:type="gramStart"/>
            <w:r w:rsidRPr="004316BE">
              <w:rPr>
                <w:rFonts w:ascii="Calibri" w:eastAsia="Times New Roman" w:hAnsi="Calibri" w:cs="Calibri"/>
                <w:i/>
                <w:iCs/>
                <w:color w:val="FFFFFF"/>
              </w:rPr>
              <w:t>market.valuation</w:t>
            </w:r>
            <w:proofErr w:type="spellEnd"/>
            <w:proofErr w:type="gramEnd"/>
          </w:p>
        </w:tc>
        <w:tc>
          <w:tcPr>
            <w:tcW w:w="5672" w:type="dxa"/>
            <w:tcBorders>
              <w:top w:val="nil"/>
              <w:left w:val="nil"/>
              <w:bottom w:val="single" w:sz="4" w:space="0" w:color="auto"/>
              <w:right w:val="single" w:sz="4" w:space="0" w:color="auto"/>
            </w:tcBorders>
            <w:shd w:val="clear" w:color="000000" w:fill="D9D9D9"/>
            <w:noWrap/>
            <w:vAlign w:val="bottom"/>
            <w:hideMark/>
          </w:tcPr>
          <w:p w14:paraId="40A310A1" w14:textId="77777777" w:rsidR="004316BE" w:rsidRPr="004316BE" w:rsidRDefault="004316BE" w:rsidP="004316BE">
            <w:pPr>
              <w:rPr>
                <w:rFonts w:ascii="Calibri" w:eastAsia="Times New Roman" w:hAnsi="Calibri" w:cs="Calibri"/>
                <w:color w:val="000000"/>
              </w:rPr>
            </w:pPr>
            <w:r w:rsidRPr="004316BE">
              <w:rPr>
                <w:rFonts w:ascii="Calibri" w:eastAsia="Times New Roman" w:hAnsi="Calibri" w:cs="Calibri"/>
                <w:color w:val="000000"/>
              </w:rPr>
              <w:t>closing price multiplied by outstanding shares</w:t>
            </w:r>
          </w:p>
        </w:tc>
      </w:tr>
      <w:tr w:rsidR="004316BE" w:rsidRPr="004316BE" w14:paraId="0DA30240" w14:textId="77777777" w:rsidTr="00DF7540">
        <w:trPr>
          <w:trHeight w:val="215"/>
        </w:trPr>
        <w:tc>
          <w:tcPr>
            <w:tcW w:w="2162" w:type="dxa"/>
            <w:tcBorders>
              <w:top w:val="nil"/>
              <w:left w:val="single" w:sz="4" w:space="0" w:color="auto"/>
              <w:bottom w:val="nil"/>
              <w:right w:val="single" w:sz="4" w:space="0" w:color="auto"/>
            </w:tcBorders>
            <w:shd w:val="clear" w:color="000000" w:fill="203764"/>
            <w:noWrap/>
            <w:vAlign w:val="bottom"/>
            <w:hideMark/>
          </w:tcPr>
          <w:p w14:paraId="05E0BCAF" w14:textId="77777777" w:rsidR="004316BE" w:rsidRPr="004316BE" w:rsidRDefault="004316BE" w:rsidP="004316BE">
            <w:pPr>
              <w:rPr>
                <w:rFonts w:ascii="Calibri" w:eastAsia="Times New Roman" w:hAnsi="Calibri" w:cs="Calibri"/>
                <w:i/>
                <w:iCs/>
                <w:color w:val="FFFFFF"/>
              </w:rPr>
            </w:pPr>
            <w:proofErr w:type="spellStart"/>
            <w:proofErr w:type="gramStart"/>
            <w:r w:rsidRPr="004316BE">
              <w:rPr>
                <w:rFonts w:ascii="Calibri" w:eastAsia="Times New Roman" w:hAnsi="Calibri" w:cs="Calibri"/>
                <w:i/>
                <w:iCs/>
                <w:color w:val="FFFFFF"/>
              </w:rPr>
              <w:t>was.litigated</w:t>
            </w:r>
            <w:proofErr w:type="spellEnd"/>
            <w:proofErr w:type="gramEnd"/>
          </w:p>
        </w:tc>
        <w:tc>
          <w:tcPr>
            <w:tcW w:w="5672" w:type="dxa"/>
            <w:tcBorders>
              <w:top w:val="nil"/>
              <w:left w:val="nil"/>
              <w:bottom w:val="nil"/>
              <w:right w:val="single" w:sz="4" w:space="0" w:color="auto"/>
            </w:tcBorders>
            <w:shd w:val="clear" w:color="000000" w:fill="D9D9D9"/>
            <w:noWrap/>
            <w:vAlign w:val="bottom"/>
            <w:hideMark/>
          </w:tcPr>
          <w:p w14:paraId="19B34677" w14:textId="77777777" w:rsidR="004316BE" w:rsidRPr="004316BE" w:rsidRDefault="004316BE" w:rsidP="004316BE">
            <w:pPr>
              <w:rPr>
                <w:rFonts w:ascii="Calibri" w:eastAsia="Times New Roman" w:hAnsi="Calibri" w:cs="Calibri"/>
                <w:color w:val="000000"/>
              </w:rPr>
            </w:pPr>
            <w:r w:rsidRPr="004316BE">
              <w:rPr>
                <w:rFonts w:ascii="Calibri" w:eastAsia="Times New Roman" w:hAnsi="Calibri" w:cs="Calibri"/>
                <w:color w:val="000000"/>
              </w:rPr>
              <w:t>Boolean TRUE if lawsuit was filed</w:t>
            </w:r>
          </w:p>
        </w:tc>
      </w:tr>
      <w:tr w:rsidR="00DF7540" w:rsidRPr="004316BE" w14:paraId="2AFBED14" w14:textId="77777777" w:rsidTr="004316BE">
        <w:trPr>
          <w:trHeight w:val="215"/>
        </w:trPr>
        <w:tc>
          <w:tcPr>
            <w:tcW w:w="2162" w:type="dxa"/>
            <w:tcBorders>
              <w:top w:val="nil"/>
              <w:left w:val="single" w:sz="4" w:space="0" w:color="auto"/>
              <w:bottom w:val="single" w:sz="4" w:space="0" w:color="auto"/>
              <w:right w:val="single" w:sz="4" w:space="0" w:color="auto"/>
            </w:tcBorders>
            <w:shd w:val="clear" w:color="000000" w:fill="203764"/>
            <w:noWrap/>
            <w:vAlign w:val="bottom"/>
          </w:tcPr>
          <w:p w14:paraId="4F69E940" w14:textId="65608243" w:rsidR="00DF7540" w:rsidRPr="004316BE" w:rsidRDefault="00DF7540" w:rsidP="004316BE">
            <w:pPr>
              <w:rPr>
                <w:rFonts w:ascii="Calibri" w:eastAsia="Times New Roman" w:hAnsi="Calibri" w:cs="Calibri"/>
                <w:i/>
                <w:iCs/>
                <w:color w:val="FFFFFF"/>
              </w:rPr>
            </w:pPr>
          </w:p>
        </w:tc>
        <w:tc>
          <w:tcPr>
            <w:tcW w:w="5672" w:type="dxa"/>
            <w:tcBorders>
              <w:top w:val="nil"/>
              <w:left w:val="nil"/>
              <w:bottom w:val="single" w:sz="4" w:space="0" w:color="auto"/>
              <w:right w:val="single" w:sz="4" w:space="0" w:color="auto"/>
            </w:tcBorders>
            <w:shd w:val="clear" w:color="000000" w:fill="D9D9D9"/>
            <w:noWrap/>
            <w:vAlign w:val="bottom"/>
          </w:tcPr>
          <w:p w14:paraId="2D26223B" w14:textId="77777777" w:rsidR="00DF7540" w:rsidRPr="004316BE" w:rsidRDefault="00DF7540" w:rsidP="004316BE">
            <w:pPr>
              <w:rPr>
                <w:rFonts w:ascii="Calibri" w:eastAsia="Times New Roman" w:hAnsi="Calibri" w:cs="Calibri"/>
                <w:color w:val="000000"/>
              </w:rPr>
            </w:pPr>
          </w:p>
        </w:tc>
      </w:tr>
    </w:tbl>
    <w:p w14:paraId="2EA0AEB9" w14:textId="42723F13" w:rsidR="00C4293E" w:rsidRDefault="00C4293E"/>
    <w:p w14:paraId="33EA839C" w14:textId="46C7CAFE" w:rsidR="00DF7540" w:rsidRDefault="00DF7540"/>
    <w:p w14:paraId="79C34B83" w14:textId="5434C73E" w:rsidR="00DF7540" w:rsidRDefault="00DF7540"/>
    <w:p w14:paraId="07CC69AC" w14:textId="47FE9E49" w:rsidR="00DF7540" w:rsidRDefault="00DF7540"/>
    <w:p w14:paraId="766D6C96" w14:textId="12540D48" w:rsidR="00DF7540" w:rsidRDefault="00DF7540">
      <w:bookmarkStart w:id="0" w:name="_GoBack"/>
      <w:bookmarkEnd w:id="0"/>
    </w:p>
    <w:tbl>
      <w:tblPr>
        <w:tblW w:w="5140" w:type="dxa"/>
        <w:tblLook w:val="04A0" w:firstRow="1" w:lastRow="0" w:firstColumn="1" w:lastColumn="0" w:noHBand="0" w:noVBand="1"/>
      </w:tblPr>
      <w:tblGrid>
        <w:gridCol w:w="1548"/>
        <w:gridCol w:w="2034"/>
        <w:gridCol w:w="1558"/>
      </w:tblGrid>
      <w:tr w:rsidR="003349F0" w:rsidRPr="003349F0" w14:paraId="5193BC82" w14:textId="77777777" w:rsidTr="003349F0">
        <w:trPr>
          <w:trHeight w:val="420"/>
        </w:trPr>
        <w:tc>
          <w:tcPr>
            <w:tcW w:w="5140" w:type="dxa"/>
            <w:gridSpan w:val="3"/>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4885D6F1" w14:textId="77777777" w:rsidR="003349F0" w:rsidRPr="003349F0" w:rsidRDefault="003349F0" w:rsidP="003349F0">
            <w:pPr>
              <w:jc w:val="center"/>
              <w:rPr>
                <w:rFonts w:ascii="Calibri" w:eastAsia="Times New Roman" w:hAnsi="Calibri" w:cs="Calibri"/>
                <w:b/>
                <w:bCs/>
                <w:color w:val="000000"/>
                <w:sz w:val="32"/>
                <w:szCs w:val="32"/>
              </w:rPr>
            </w:pPr>
            <w:r w:rsidRPr="003349F0">
              <w:rPr>
                <w:rFonts w:ascii="Calibri" w:eastAsia="Times New Roman" w:hAnsi="Calibri" w:cs="Calibri"/>
                <w:b/>
                <w:bCs/>
                <w:color w:val="000000"/>
                <w:sz w:val="32"/>
                <w:szCs w:val="32"/>
              </w:rPr>
              <w:t>Litigation Findings</w:t>
            </w:r>
          </w:p>
        </w:tc>
      </w:tr>
      <w:tr w:rsidR="003349F0" w:rsidRPr="003349F0" w14:paraId="5C168D64" w14:textId="77777777" w:rsidTr="003349F0">
        <w:trPr>
          <w:trHeight w:val="380"/>
        </w:trPr>
        <w:tc>
          <w:tcPr>
            <w:tcW w:w="1548" w:type="dxa"/>
            <w:tcBorders>
              <w:top w:val="nil"/>
              <w:left w:val="single" w:sz="4" w:space="0" w:color="auto"/>
              <w:bottom w:val="single" w:sz="4" w:space="0" w:color="auto"/>
              <w:right w:val="single" w:sz="4" w:space="0" w:color="auto"/>
            </w:tcBorders>
            <w:shd w:val="clear" w:color="000000" w:fill="BFBFBF"/>
            <w:noWrap/>
            <w:vAlign w:val="bottom"/>
            <w:hideMark/>
          </w:tcPr>
          <w:p w14:paraId="2BB3A2B7" w14:textId="77777777" w:rsidR="003349F0" w:rsidRPr="003349F0" w:rsidRDefault="003349F0" w:rsidP="003349F0">
            <w:pPr>
              <w:rPr>
                <w:rFonts w:ascii="Calibri" w:eastAsia="Times New Roman" w:hAnsi="Calibri" w:cs="Calibri"/>
                <w:color w:val="000000"/>
              </w:rPr>
            </w:pPr>
            <w:r w:rsidRPr="003349F0">
              <w:rPr>
                <w:rFonts w:ascii="Calibri" w:eastAsia="Times New Roman" w:hAnsi="Calibri" w:cs="Calibri"/>
                <w:color w:val="000000"/>
              </w:rPr>
              <w:t> </w:t>
            </w:r>
          </w:p>
        </w:tc>
        <w:tc>
          <w:tcPr>
            <w:tcW w:w="2034" w:type="dxa"/>
            <w:tcBorders>
              <w:top w:val="nil"/>
              <w:left w:val="nil"/>
              <w:bottom w:val="single" w:sz="4" w:space="0" w:color="auto"/>
              <w:right w:val="single" w:sz="4" w:space="0" w:color="auto"/>
            </w:tcBorders>
            <w:shd w:val="clear" w:color="000000" w:fill="D0CECE"/>
            <w:noWrap/>
            <w:vAlign w:val="bottom"/>
            <w:hideMark/>
          </w:tcPr>
          <w:p w14:paraId="25761801" w14:textId="77777777" w:rsidR="003349F0" w:rsidRPr="003349F0" w:rsidRDefault="003349F0" w:rsidP="003349F0">
            <w:pPr>
              <w:rPr>
                <w:rFonts w:ascii="Calibri" w:eastAsia="Times New Roman" w:hAnsi="Calibri" w:cs="Calibri"/>
                <w:color w:val="000000"/>
              </w:rPr>
            </w:pPr>
            <w:r w:rsidRPr="003349F0">
              <w:rPr>
                <w:rFonts w:ascii="Calibri" w:eastAsia="Times New Roman" w:hAnsi="Calibri" w:cs="Calibri"/>
                <w:color w:val="000000"/>
              </w:rPr>
              <w:t>Count</w:t>
            </w:r>
          </w:p>
        </w:tc>
        <w:tc>
          <w:tcPr>
            <w:tcW w:w="1558" w:type="dxa"/>
            <w:tcBorders>
              <w:top w:val="nil"/>
              <w:left w:val="nil"/>
              <w:bottom w:val="single" w:sz="4" w:space="0" w:color="auto"/>
              <w:right w:val="single" w:sz="4" w:space="0" w:color="auto"/>
            </w:tcBorders>
            <w:shd w:val="clear" w:color="000000" w:fill="D0CECE"/>
            <w:noWrap/>
            <w:vAlign w:val="bottom"/>
            <w:hideMark/>
          </w:tcPr>
          <w:p w14:paraId="3E83A9D1" w14:textId="77777777" w:rsidR="003349F0" w:rsidRPr="003349F0" w:rsidRDefault="003349F0" w:rsidP="003349F0">
            <w:pPr>
              <w:rPr>
                <w:rFonts w:ascii="Calibri" w:eastAsia="Times New Roman" w:hAnsi="Calibri" w:cs="Calibri"/>
                <w:color w:val="000000"/>
              </w:rPr>
            </w:pPr>
            <w:r w:rsidRPr="003349F0">
              <w:rPr>
                <w:rFonts w:ascii="Calibri" w:eastAsia="Times New Roman" w:hAnsi="Calibri" w:cs="Calibri"/>
                <w:color w:val="000000"/>
              </w:rPr>
              <w:t>Percent</w:t>
            </w:r>
          </w:p>
        </w:tc>
      </w:tr>
      <w:tr w:rsidR="003349F0" w:rsidRPr="003349F0" w14:paraId="13397F1D" w14:textId="77777777" w:rsidTr="003349F0">
        <w:trPr>
          <w:trHeight w:val="320"/>
        </w:trPr>
        <w:tc>
          <w:tcPr>
            <w:tcW w:w="1548" w:type="dxa"/>
            <w:tcBorders>
              <w:top w:val="nil"/>
              <w:left w:val="single" w:sz="4" w:space="0" w:color="auto"/>
              <w:bottom w:val="single" w:sz="4" w:space="0" w:color="auto"/>
              <w:right w:val="single" w:sz="4" w:space="0" w:color="auto"/>
            </w:tcBorders>
            <w:shd w:val="clear" w:color="000000" w:fill="BFBFBF"/>
            <w:noWrap/>
            <w:vAlign w:val="bottom"/>
            <w:hideMark/>
          </w:tcPr>
          <w:p w14:paraId="683B26B1" w14:textId="77777777" w:rsidR="003349F0" w:rsidRPr="003349F0" w:rsidRDefault="003349F0" w:rsidP="003349F0">
            <w:pPr>
              <w:rPr>
                <w:rFonts w:ascii="Calibri" w:eastAsia="Times New Roman" w:hAnsi="Calibri" w:cs="Calibri"/>
                <w:color w:val="000000"/>
              </w:rPr>
            </w:pPr>
            <w:r w:rsidRPr="003349F0">
              <w:rPr>
                <w:rFonts w:ascii="Calibri" w:eastAsia="Times New Roman" w:hAnsi="Calibri" w:cs="Calibri"/>
                <w:color w:val="000000"/>
              </w:rPr>
              <w:t>Total Cases</w:t>
            </w:r>
          </w:p>
        </w:tc>
        <w:tc>
          <w:tcPr>
            <w:tcW w:w="2034" w:type="dxa"/>
            <w:tcBorders>
              <w:top w:val="nil"/>
              <w:left w:val="nil"/>
              <w:bottom w:val="single" w:sz="4" w:space="0" w:color="auto"/>
              <w:right w:val="single" w:sz="4" w:space="0" w:color="auto"/>
            </w:tcBorders>
            <w:shd w:val="clear" w:color="auto" w:fill="auto"/>
            <w:noWrap/>
            <w:vAlign w:val="bottom"/>
            <w:hideMark/>
          </w:tcPr>
          <w:p w14:paraId="40484DAF" w14:textId="77777777" w:rsidR="003349F0" w:rsidRPr="003349F0" w:rsidRDefault="003349F0" w:rsidP="003349F0">
            <w:pPr>
              <w:jc w:val="right"/>
              <w:rPr>
                <w:rFonts w:ascii="Calibri" w:eastAsia="Times New Roman" w:hAnsi="Calibri" w:cs="Calibri"/>
                <w:color w:val="000000"/>
              </w:rPr>
            </w:pPr>
            <w:r w:rsidRPr="003349F0">
              <w:rPr>
                <w:rFonts w:ascii="Calibri" w:eastAsia="Times New Roman" w:hAnsi="Calibri" w:cs="Calibri"/>
                <w:color w:val="000000"/>
              </w:rPr>
              <w:t>1297</w:t>
            </w:r>
          </w:p>
        </w:tc>
        <w:tc>
          <w:tcPr>
            <w:tcW w:w="1558" w:type="dxa"/>
            <w:tcBorders>
              <w:top w:val="nil"/>
              <w:left w:val="nil"/>
              <w:bottom w:val="single" w:sz="4" w:space="0" w:color="auto"/>
              <w:right w:val="single" w:sz="4" w:space="0" w:color="auto"/>
            </w:tcBorders>
            <w:shd w:val="clear" w:color="auto" w:fill="auto"/>
            <w:noWrap/>
            <w:vAlign w:val="bottom"/>
            <w:hideMark/>
          </w:tcPr>
          <w:p w14:paraId="30D9164E" w14:textId="77777777" w:rsidR="003349F0" w:rsidRPr="003349F0" w:rsidRDefault="003349F0" w:rsidP="003349F0">
            <w:pPr>
              <w:rPr>
                <w:rFonts w:ascii="Calibri" w:eastAsia="Times New Roman" w:hAnsi="Calibri" w:cs="Calibri"/>
                <w:color w:val="000000"/>
              </w:rPr>
            </w:pPr>
            <w:r w:rsidRPr="003349F0">
              <w:rPr>
                <w:rFonts w:ascii="Calibri" w:eastAsia="Times New Roman" w:hAnsi="Calibri" w:cs="Calibri"/>
                <w:color w:val="000000"/>
              </w:rPr>
              <w:t> </w:t>
            </w:r>
          </w:p>
        </w:tc>
      </w:tr>
      <w:tr w:rsidR="003349F0" w:rsidRPr="003349F0" w14:paraId="2A30CACA" w14:textId="77777777" w:rsidTr="003349F0">
        <w:trPr>
          <w:trHeight w:val="320"/>
        </w:trPr>
        <w:tc>
          <w:tcPr>
            <w:tcW w:w="1548" w:type="dxa"/>
            <w:tcBorders>
              <w:top w:val="nil"/>
              <w:left w:val="single" w:sz="4" w:space="0" w:color="auto"/>
              <w:bottom w:val="single" w:sz="4" w:space="0" w:color="auto"/>
              <w:right w:val="single" w:sz="4" w:space="0" w:color="auto"/>
            </w:tcBorders>
            <w:shd w:val="clear" w:color="000000" w:fill="BFBFBF"/>
            <w:noWrap/>
            <w:vAlign w:val="bottom"/>
            <w:hideMark/>
          </w:tcPr>
          <w:p w14:paraId="1FCE27AC" w14:textId="77777777" w:rsidR="003349F0" w:rsidRPr="003349F0" w:rsidRDefault="003349F0" w:rsidP="003349F0">
            <w:pPr>
              <w:rPr>
                <w:rFonts w:ascii="Calibri" w:eastAsia="Times New Roman" w:hAnsi="Calibri" w:cs="Calibri"/>
                <w:color w:val="000000"/>
              </w:rPr>
            </w:pPr>
            <w:r w:rsidRPr="003349F0">
              <w:rPr>
                <w:rFonts w:ascii="Calibri" w:eastAsia="Times New Roman" w:hAnsi="Calibri" w:cs="Calibri"/>
                <w:color w:val="000000"/>
              </w:rPr>
              <w:t>Litigated</w:t>
            </w:r>
          </w:p>
        </w:tc>
        <w:tc>
          <w:tcPr>
            <w:tcW w:w="2034" w:type="dxa"/>
            <w:tcBorders>
              <w:top w:val="nil"/>
              <w:left w:val="nil"/>
              <w:bottom w:val="single" w:sz="4" w:space="0" w:color="auto"/>
              <w:right w:val="single" w:sz="4" w:space="0" w:color="auto"/>
            </w:tcBorders>
            <w:shd w:val="clear" w:color="auto" w:fill="auto"/>
            <w:noWrap/>
            <w:vAlign w:val="bottom"/>
            <w:hideMark/>
          </w:tcPr>
          <w:p w14:paraId="42D4A470" w14:textId="77777777" w:rsidR="003349F0" w:rsidRPr="003349F0" w:rsidRDefault="003349F0" w:rsidP="003349F0">
            <w:pPr>
              <w:jc w:val="right"/>
              <w:rPr>
                <w:rFonts w:ascii="Calibri" w:eastAsia="Times New Roman" w:hAnsi="Calibri" w:cs="Calibri"/>
                <w:color w:val="000000"/>
              </w:rPr>
            </w:pPr>
            <w:r w:rsidRPr="003349F0">
              <w:rPr>
                <w:rFonts w:ascii="Calibri" w:eastAsia="Times New Roman" w:hAnsi="Calibri" w:cs="Calibri"/>
                <w:color w:val="000000"/>
              </w:rPr>
              <w:t>22</w:t>
            </w:r>
          </w:p>
        </w:tc>
        <w:tc>
          <w:tcPr>
            <w:tcW w:w="1558" w:type="dxa"/>
            <w:tcBorders>
              <w:top w:val="nil"/>
              <w:left w:val="nil"/>
              <w:bottom w:val="single" w:sz="4" w:space="0" w:color="auto"/>
              <w:right w:val="single" w:sz="4" w:space="0" w:color="auto"/>
            </w:tcBorders>
            <w:shd w:val="clear" w:color="auto" w:fill="auto"/>
            <w:noWrap/>
            <w:vAlign w:val="bottom"/>
            <w:hideMark/>
          </w:tcPr>
          <w:p w14:paraId="72B523F1" w14:textId="77777777" w:rsidR="003349F0" w:rsidRPr="003349F0" w:rsidRDefault="003349F0" w:rsidP="003349F0">
            <w:pPr>
              <w:jc w:val="right"/>
              <w:rPr>
                <w:rFonts w:ascii="Calibri" w:eastAsia="Times New Roman" w:hAnsi="Calibri" w:cs="Calibri"/>
                <w:color w:val="000000"/>
              </w:rPr>
            </w:pPr>
            <w:r w:rsidRPr="003349F0">
              <w:rPr>
                <w:rFonts w:ascii="Calibri" w:eastAsia="Times New Roman" w:hAnsi="Calibri" w:cs="Calibri"/>
                <w:color w:val="000000"/>
              </w:rPr>
              <w:t>1.70%</w:t>
            </w:r>
          </w:p>
        </w:tc>
      </w:tr>
      <w:tr w:rsidR="003349F0" w:rsidRPr="003349F0" w14:paraId="5D746398" w14:textId="77777777" w:rsidTr="003349F0">
        <w:trPr>
          <w:trHeight w:val="320"/>
        </w:trPr>
        <w:tc>
          <w:tcPr>
            <w:tcW w:w="1548" w:type="dxa"/>
            <w:tcBorders>
              <w:top w:val="nil"/>
              <w:left w:val="single" w:sz="4" w:space="0" w:color="auto"/>
              <w:bottom w:val="single" w:sz="4" w:space="0" w:color="auto"/>
              <w:right w:val="single" w:sz="4" w:space="0" w:color="auto"/>
            </w:tcBorders>
            <w:shd w:val="clear" w:color="000000" w:fill="BFBFBF"/>
            <w:noWrap/>
            <w:vAlign w:val="bottom"/>
            <w:hideMark/>
          </w:tcPr>
          <w:p w14:paraId="2CE07323" w14:textId="77777777" w:rsidR="003349F0" w:rsidRPr="003349F0" w:rsidRDefault="003349F0" w:rsidP="003349F0">
            <w:pPr>
              <w:rPr>
                <w:rFonts w:ascii="Calibri" w:eastAsia="Times New Roman" w:hAnsi="Calibri" w:cs="Calibri"/>
                <w:color w:val="000000"/>
              </w:rPr>
            </w:pPr>
            <w:r w:rsidRPr="003349F0">
              <w:rPr>
                <w:rFonts w:ascii="Calibri" w:eastAsia="Times New Roman" w:hAnsi="Calibri" w:cs="Calibri"/>
                <w:color w:val="000000"/>
              </w:rPr>
              <w:t>Not Litigated</w:t>
            </w:r>
          </w:p>
        </w:tc>
        <w:tc>
          <w:tcPr>
            <w:tcW w:w="2034" w:type="dxa"/>
            <w:tcBorders>
              <w:top w:val="nil"/>
              <w:left w:val="nil"/>
              <w:bottom w:val="single" w:sz="4" w:space="0" w:color="auto"/>
              <w:right w:val="single" w:sz="4" w:space="0" w:color="auto"/>
            </w:tcBorders>
            <w:shd w:val="clear" w:color="auto" w:fill="auto"/>
            <w:noWrap/>
            <w:vAlign w:val="bottom"/>
            <w:hideMark/>
          </w:tcPr>
          <w:p w14:paraId="39ADD1B1" w14:textId="77777777" w:rsidR="003349F0" w:rsidRPr="003349F0" w:rsidRDefault="003349F0" w:rsidP="003349F0">
            <w:pPr>
              <w:jc w:val="right"/>
              <w:rPr>
                <w:rFonts w:ascii="Calibri" w:eastAsia="Times New Roman" w:hAnsi="Calibri" w:cs="Calibri"/>
                <w:color w:val="000000"/>
              </w:rPr>
            </w:pPr>
            <w:r w:rsidRPr="003349F0">
              <w:rPr>
                <w:rFonts w:ascii="Calibri" w:eastAsia="Times New Roman" w:hAnsi="Calibri" w:cs="Calibri"/>
                <w:color w:val="000000"/>
              </w:rPr>
              <w:t>1275</w:t>
            </w:r>
          </w:p>
        </w:tc>
        <w:tc>
          <w:tcPr>
            <w:tcW w:w="1558" w:type="dxa"/>
            <w:tcBorders>
              <w:top w:val="nil"/>
              <w:left w:val="nil"/>
              <w:bottom w:val="single" w:sz="4" w:space="0" w:color="auto"/>
              <w:right w:val="single" w:sz="4" w:space="0" w:color="auto"/>
            </w:tcBorders>
            <w:shd w:val="clear" w:color="auto" w:fill="auto"/>
            <w:noWrap/>
            <w:vAlign w:val="bottom"/>
            <w:hideMark/>
          </w:tcPr>
          <w:p w14:paraId="5C52542F" w14:textId="77777777" w:rsidR="003349F0" w:rsidRPr="003349F0" w:rsidRDefault="003349F0" w:rsidP="003349F0">
            <w:pPr>
              <w:jc w:val="right"/>
              <w:rPr>
                <w:rFonts w:ascii="Calibri" w:eastAsia="Times New Roman" w:hAnsi="Calibri" w:cs="Calibri"/>
                <w:color w:val="000000"/>
              </w:rPr>
            </w:pPr>
            <w:r w:rsidRPr="003349F0">
              <w:rPr>
                <w:rFonts w:ascii="Calibri" w:eastAsia="Times New Roman" w:hAnsi="Calibri" w:cs="Calibri"/>
                <w:color w:val="000000"/>
              </w:rPr>
              <w:t>98.30%</w:t>
            </w:r>
          </w:p>
        </w:tc>
      </w:tr>
      <w:tr w:rsidR="003349F0" w:rsidRPr="003349F0" w14:paraId="6E386089" w14:textId="77777777" w:rsidTr="003349F0">
        <w:trPr>
          <w:trHeight w:val="340"/>
        </w:trPr>
        <w:tc>
          <w:tcPr>
            <w:tcW w:w="1548" w:type="dxa"/>
            <w:tcBorders>
              <w:top w:val="nil"/>
              <w:left w:val="nil"/>
              <w:bottom w:val="nil"/>
              <w:right w:val="nil"/>
            </w:tcBorders>
            <w:shd w:val="clear" w:color="auto" w:fill="auto"/>
            <w:noWrap/>
            <w:vAlign w:val="bottom"/>
            <w:hideMark/>
          </w:tcPr>
          <w:p w14:paraId="551D93DC" w14:textId="77777777" w:rsidR="003349F0" w:rsidRPr="003349F0" w:rsidRDefault="003349F0" w:rsidP="003349F0">
            <w:pPr>
              <w:jc w:val="right"/>
              <w:rPr>
                <w:rFonts w:ascii="Calibri" w:eastAsia="Times New Roman" w:hAnsi="Calibri" w:cs="Calibri"/>
                <w:color w:val="000000"/>
              </w:rPr>
            </w:pPr>
          </w:p>
        </w:tc>
        <w:tc>
          <w:tcPr>
            <w:tcW w:w="2034" w:type="dxa"/>
            <w:tcBorders>
              <w:top w:val="nil"/>
              <w:left w:val="nil"/>
              <w:bottom w:val="nil"/>
              <w:right w:val="nil"/>
            </w:tcBorders>
            <w:shd w:val="clear" w:color="auto" w:fill="auto"/>
            <w:noWrap/>
            <w:vAlign w:val="bottom"/>
            <w:hideMark/>
          </w:tcPr>
          <w:p w14:paraId="6ABE505C" w14:textId="77777777" w:rsidR="003349F0" w:rsidRPr="003349F0" w:rsidRDefault="003349F0" w:rsidP="003349F0">
            <w:pPr>
              <w:rPr>
                <w:rFonts w:ascii="Times New Roman" w:eastAsia="Times New Roman" w:hAnsi="Times New Roman" w:cs="Times New Roman"/>
                <w:sz w:val="20"/>
                <w:szCs w:val="20"/>
              </w:rPr>
            </w:pPr>
          </w:p>
        </w:tc>
        <w:tc>
          <w:tcPr>
            <w:tcW w:w="1558" w:type="dxa"/>
            <w:tcBorders>
              <w:top w:val="nil"/>
              <w:left w:val="nil"/>
              <w:bottom w:val="nil"/>
              <w:right w:val="nil"/>
            </w:tcBorders>
            <w:shd w:val="clear" w:color="auto" w:fill="auto"/>
            <w:noWrap/>
            <w:vAlign w:val="bottom"/>
            <w:hideMark/>
          </w:tcPr>
          <w:p w14:paraId="221DD9C7" w14:textId="77777777" w:rsidR="003349F0" w:rsidRPr="003349F0" w:rsidRDefault="003349F0" w:rsidP="003349F0">
            <w:pPr>
              <w:rPr>
                <w:rFonts w:ascii="Times New Roman" w:eastAsia="Times New Roman" w:hAnsi="Times New Roman" w:cs="Times New Roman"/>
                <w:sz w:val="20"/>
                <w:szCs w:val="20"/>
              </w:rPr>
            </w:pPr>
          </w:p>
        </w:tc>
      </w:tr>
      <w:tr w:rsidR="003349F0" w:rsidRPr="003349F0" w14:paraId="38401C35" w14:textId="77777777" w:rsidTr="003349F0">
        <w:trPr>
          <w:trHeight w:val="760"/>
        </w:trPr>
        <w:tc>
          <w:tcPr>
            <w:tcW w:w="5140" w:type="dxa"/>
            <w:gridSpan w:val="3"/>
            <w:tcBorders>
              <w:top w:val="single" w:sz="8" w:space="0" w:color="auto"/>
              <w:left w:val="single" w:sz="8" w:space="0" w:color="auto"/>
              <w:bottom w:val="single" w:sz="8" w:space="0" w:color="auto"/>
              <w:right w:val="single" w:sz="8" w:space="0" w:color="000000"/>
            </w:tcBorders>
            <w:shd w:val="clear" w:color="000000" w:fill="C6E0B4"/>
            <w:vAlign w:val="center"/>
            <w:hideMark/>
          </w:tcPr>
          <w:p w14:paraId="03DC5F49" w14:textId="77777777" w:rsidR="003349F0" w:rsidRPr="003349F0" w:rsidRDefault="003349F0" w:rsidP="003349F0">
            <w:pPr>
              <w:jc w:val="center"/>
              <w:rPr>
                <w:rFonts w:ascii="Calibri" w:eastAsia="Times New Roman" w:hAnsi="Calibri" w:cs="Calibri"/>
                <w:b/>
                <w:bCs/>
                <w:color w:val="000000"/>
                <w:sz w:val="28"/>
                <w:szCs w:val="28"/>
              </w:rPr>
            </w:pPr>
            <w:r w:rsidRPr="003349F0">
              <w:rPr>
                <w:rFonts w:ascii="Calibri" w:eastAsia="Times New Roman" w:hAnsi="Calibri" w:cs="Calibri"/>
                <w:b/>
                <w:bCs/>
                <w:color w:val="000000"/>
                <w:sz w:val="28"/>
                <w:szCs w:val="28"/>
              </w:rPr>
              <w:t>Prediction Function for Settlement Amount</w:t>
            </w:r>
          </w:p>
        </w:tc>
      </w:tr>
      <w:tr w:rsidR="003349F0" w:rsidRPr="003349F0" w14:paraId="68A2DDD5" w14:textId="77777777" w:rsidTr="003349F0">
        <w:trPr>
          <w:trHeight w:val="320"/>
        </w:trPr>
        <w:tc>
          <w:tcPr>
            <w:tcW w:w="5140" w:type="dxa"/>
            <w:gridSpan w:val="3"/>
            <w:vMerge w:val="restart"/>
            <w:tcBorders>
              <w:top w:val="single" w:sz="8" w:space="0" w:color="auto"/>
              <w:left w:val="single" w:sz="8" w:space="0" w:color="auto"/>
              <w:bottom w:val="nil"/>
              <w:right w:val="single" w:sz="8" w:space="0" w:color="000000"/>
            </w:tcBorders>
            <w:shd w:val="clear" w:color="auto" w:fill="auto"/>
            <w:vAlign w:val="bottom"/>
            <w:hideMark/>
          </w:tcPr>
          <w:p w14:paraId="0E86E8EF" w14:textId="77777777" w:rsidR="003349F0" w:rsidRPr="003349F0" w:rsidRDefault="003349F0" w:rsidP="003349F0">
            <w:pPr>
              <w:jc w:val="center"/>
              <w:rPr>
                <w:rFonts w:ascii="Calibri" w:eastAsia="Times New Roman" w:hAnsi="Calibri" w:cs="Calibri"/>
                <w:i/>
                <w:iCs/>
                <w:color w:val="000000"/>
              </w:rPr>
            </w:pPr>
            <w:proofErr w:type="spellStart"/>
            <w:r w:rsidRPr="003349F0">
              <w:rPr>
                <w:rFonts w:ascii="Calibri" w:eastAsia="Times New Roman" w:hAnsi="Calibri" w:cs="Calibri"/>
                <w:i/>
                <w:iCs/>
                <w:color w:val="000000"/>
              </w:rPr>
              <w:t>pct</w:t>
            </w:r>
            <w:proofErr w:type="spellEnd"/>
            <w:r w:rsidRPr="003349F0">
              <w:rPr>
                <w:rFonts w:ascii="Calibri" w:eastAsia="Times New Roman" w:hAnsi="Calibri" w:cs="Calibri"/>
                <w:i/>
                <w:iCs/>
                <w:color w:val="000000"/>
              </w:rPr>
              <w:t xml:space="preserve"> market-cap = 0.4 x (high-price - low-price) + 1.08379</w:t>
            </w:r>
          </w:p>
        </w:tc>
      </w:tr>
      <w:tr w:rsidR="003349F0" w:rsidRPr="003349F0" w14:paraId="694B98BE" w14:textId="77777777" w:rsidTr="003349F0">
        <w:trPr>
          <w:trHeight w:val="320"/>
        </w:trPr>
        <w:tc>
          <w:tcPr>
            <w:tcW w:w="5140" w:type="dxa"/>
            <w:gridSpan w:val="3"/>
            <w:vMerge/>
            <w:tcBorders>
              <w:top w:val="single" w:sz="8" w:space="0" w:color="auto"/>
              <w:left w:val="single" w:sz="8" w:space="0" w:color="auto"/>
              <w:bottom w:val="nil"/>
              <w:right w:val="single" w:sz="8" w:space="0" w:color="000000"/>
            </w:tcBorders>
            <w:vAlign w:val="center"/>
            <w:hideMark/>
          </w:tcPr>
          <w:p w14:paraId="4B251962" w14:textId="77777777" w:rsidR="003349F0" w:rsidRPr="003349F0" w:rsidRDefault="003349F0" w:rsidP="003349F0">
            <w:pPr>
              <w:rPr>
                <w:rFonts w:ascii="Calibri" w:eastAsia="Times New Roman" w:hAnsi="Calibri" w:cs="Calibri"/>
                <w:i/>
                <w:iCs/>
                <w:color w:val="000000"/>
              </w:rPr>
            </w:pPr>
          </w:p>
        </w:tc>
      </w:tr>
      <w:tr w:rsidR="003349F0" w:rsidRPr="003349F0" w14:paraId="0494F0E9" w14:textId="77777777" w:rsidTr="003349F0">
        <w:trPr>
          <w:trHeight w:val="380"/>
        </w:trPr>
        <w:tc>
          <w:tcPr>
            <w:tcW w:w="5140" w:type="dxa"/>
            <w:gridSpan w:val="3"/>
            <w:tcBorders>
              <w:top w:val="single" w:sz="4" w:space="0" w:color="auto"/>
              <w:left w:val="single" w:sz="4" w:space="0" w:color="auto"/>
              <w:bottom w:val="single" w:sz="4" w:space="0" w:color="auto"/>
              <w:right w:val="single" w:sz="4" w:space="0" w:color="auto"/>
            </w:tcBorders>
            <w:shd w:val="clear" w:color="000000" w:fill="FFE699"/>
            <w:noWrap/>
            <w:vAlign w:val="bottom"/>
            <w:hideMark/>
          </w:tcPr>
          <w:p w14:paraId="142FB08E" w14:textId="77777777" w:rsidR="003349F0" w:rsidRPr="003349F0" w:rsidRDefault="003349F0" w:rsidP="003349F0">
            <w:pPr>
              <w:jc w:val="center"/>
              <w:rPr>
                <w:rFonts w:ascii="Calibri" w:eastAsia="Times New Roman" w:hAnsi="Calibri" w:cs="Calibri"/>
                <w:color w:val="000000"/>
                <w:sz w:val="28"/>
                <w:szCs w:val="28"/>
              </w:rPr>
            </w:pPr>
            <w:r w:rsidRPr="003349F0">
              <w:rPr>
                <w:rFonts w:ascii="Calibri" w:eastAsia="Times New Roman" w:hAnsi="Calibri" w:cs="Calibri"/>
                <w:color w:val="000000"/>
                <w:sz w:val="28"/>
                <w:szCs w:val="28"/>
              </w:rPr>
              <w:t xml:space="preserve">Prediction for Dolby </w:t>
            </w:r>
            <w:proofErr w:type="spellStart"/>
            <w:r w:rsidRPr="003349F0">
              <w:rPr>
                <w:rFonts w:ascii="Calibri" w:eastAsia="Times New Roman" w:hAnsi="Calibri" w:cs="Calibri"/>
                <w:color w:val="000000"/>
                <w:sz w:val="28"/>
                <w:szCs w:val="28"/>
              </w:rPr>
              <w:t>Labratories</w:t>
            </w:r>
            <w:proofErr w:type="spellEnd"/>
            <w:r w:rsidRPr="003349F0">
              <w:rPr>
                <w:rFonts w:ascii="Calibri" w:eastAsia="Times New Roman" w:hAnsi="Calibri" w:cs="Calibri"/>
                <w:color w:val="000000"/>
                <w:sz w:val="28"/>
                <w:szCs w:val="28"/>
              </w:rPr>
              <w:t xml:space="preserve"> Settlement</w:t>
            </w:r>
          </w:p>
        </w:tc>
      </w:tr>
      <w:tr w:rsidR="003349F0" w:rsidRPr="003349F0" w14:paraId="377D458B" w14:textId="77777777" w:rsidTr="003349F0">
        <w:trPr>
          <w:trHeight w:val="320"/>
        </w:trPr>
        <w:tc>
          <w:tcPr>
            <w:tcW w:w="1548" w:type="dxa"/>
            <w:tcBorders>
              <w:top w:val="nil"/>
              <w:left w:val="single" w:sz="4" w:space="0" w:color="auto"/>
              <w:bottom w:val="single" w:sz="4" w:space="0" w:color="auto"/>
              <w:right w:val="single" w:sz="4" w:space="0" w:color="auto"/>
            </w:tcBorders>
            <w:shd w:val="clear" w:color="000000" w:fill="FFF2CC"/>
            <w:noWrap/>
            <w:vAlign w:val="bottom"/>
            <w:hideMark/>
          </w:tcPr>
          <w:p w14:paraId="60EACC65" w14:textId="77777777" w:rsidR="003349F0" w:rsidRPr="003349F0" w:rsidRDefault="003349F0" w:rsidP="003349F0">
            <w:pPr>
              <w:rPr>
                <w:rFonts w:ascii="Calibri" w:eastAsia="Times New Roman" w:hAnsi="Calibri" w:cs="Calibri"/>
                <w:color w:val="000000"/>
              </w:rPr>
            </w:pPr>
            <w:r w:rsidRPr="003349F0">
              <w:rPr>
                <w:rFonts w:ascii="Calibri" w:eastAsia="Times New Roman" w:hAnsi="Calibri" w:cs="Calibri"/>
                <w:color w:val="000000"/>
              </w:rPr>
              <w:t>Year</w:t>
            </w:r>
          </w:p>
        </w:tc>
        <w:tc>
          <w:tcPr>
            <w:tcW w:w="2034" w:type="dxa"/>
            <w:tcBorders>
              <w:top w:val="nil"/>
              <w:left w:val="nil"/>
              <w:bottom w:val="single" w:sz="4" w:space="0" w:color="auto"/>
              <w:right w:val="single" w:sz="4" w:space="0" w:color="auto"/>
            </w:tcBorders>
            <w:shd w:val="clear" w:color="000000" w:fill="FFF2CC"/>
            <w:noWrap/>
            <w:vAlign w:val="bottom"/>
            <w:hideMark/>
          </w:tcPr>
          <w:p w14:paraId="2AB02FE9" w14:textId="77777777" w:rsidR="003349F0" w:rsidRPr="003349F0" w:rsidRDefault="003349F0" w:rsidP="003349F0">
            <w:pPr>
              <w:rPr>
                <w:rFonts w:ascii="Calibri" w:eastAsia="Times New Roman" w:hAnsi="Calibri" w:cs="Calibri"/>
                <w:color w:val="000000"/>
              </w:rPr>
            </w:pPr>
            <w:r w:rsidRPr="003349F0">
              <w:rPr>
                <w:rFonts w:ascii="Calibri" w:eastAsia="Times New Roman" w:hAnsi="Calibri" w:cs="Calibri"/>
                <w:color w:val="000000"/>
              </w:rPr>
              <w:t>Predicted ($)</w:t>
            </w:r>
          </w:p>
        </w:tc>
        <w:tc>
          <w:tcPr>
            <w:tcW w:w="1558" w:type="dxa"/>
            <w:tcBorders>
              <w:top w:val="nil"/>
              <w:left w:val="nil"/>
              <w:bottom w:val="single" w:sz="4" w:space="0" w:color="auto"/>
              <w:right w:val="single" w:sz="4" w:space="0" w:color="auto"/>
            </w:tcBorders>
            <w:shd w:val="clear" w:color="000000" w:fill="FFF2CC"/>
            <w:noWrap/>
            <w:vAlign w:val="bottom"/>
            <w:hideMark/>
          </w:tcPr>
          <w:p w14:paraId="442AC2BA" w14:textId="77777777" w:rsidR="003349F0" w:rsidRPr="003349F0" w:rsidRDefault="003349F0" w:rsidP="003349F0">
            <w:pPr>
              <w:rPr>
                <w:rFonts w:ascii="Calibri" w:eastAsia="Times New Roman" w:hAnsi="Calibri" w:cs="Calibri"/>
                <w:color w:val="000000"/>
              </w:rPr>
            </w:pPr>
            <w:r w:rsidRPr="003349F0">
              <w:rPr>
                <w:rFonts w:ascii="Calibri" w:eastAsia="Times New Roman" w:hAnsi="Calibri" w:cs="Calibri"/>
                <w:color w:val="000000"/>
              </w:rPr>
              <w:t>Predicted (%)</w:t>
            </w:r>
          </w:p>
        </w:tc>
      </w:tr>
      <w:tr w:rsidR="003349F0" w:rsidRPr="003349F0" w14:paraId="0AE61DDF" w14:textId="77777777" w:rsidTr="003349F0">
        <w:trPr>
          <w:trHeight w:val="320"/>
        </w:trPr>
        <w:tc>
          <w:tcPr>
            <w:tcW w:w="1548" w:type="dxa"/>
            <w:tcBorders>
              <w:top w:val="nil"/>
              <w:left w:val="single" w:sz="4" w:space="0" w:color="auto"/>
              <w:bottom w:val="single" w:sz="4" w:space="0" w:color="auto"/>
              <w:right w:val="single" w:sz="4" w:space="0" w:color="auto"/>
            </w:tcBorders>
            <w:shd w:val="clear" w:color="000000" w:fill="BFBFBF"/>
            <w:noWrap/>
            <w:vAlign w:val="bottom"/>
            <w:hideMark/>
          </w:tcPr>
          <w:p w14:paraId="5BE1B585" w14:textId="77777777" w:rsidR="003349F0" w:rsidRPr="003349F0" w:rsidRDefault="003349F0" w:rsidP="003349F0">
            <w:pPr>
              <w:jc w:val="right"/>
              <w:rPr>
                <w:rFonts w:ascii="Calibri" w:eastAsia="Times New Roman" w:hAnsi="Calibri" w:cs="Calibri"/>
                <w:color w:val="000000"/>
              </w:rPr>
            </w:pPr>
            <w:r w:rsidRPr="003349F0">
              <w:rPr>
                <w:rFonts w:ascii="Calibri" w:eastAsia="Times New Roman" w:hAnsi="Calibri" w:cs="Calibri"/>
                <w:color w:val="000000"/>
              </w:rPr>
              <w:t>2010</w:t>
            </w:r>
          </w:p>
        </w:tc>
        <w:tc>
          <w:tcPr>
            <w:tcW w:w="2034" w:type="dxa"/>
            <w:tcBorders>
              <w:top w:val="nil"/>
              <w:left w:val="nil"/>
              <w:bottom w:val="single" w:sz="4" w:space="0" w:color="auto"/>
              <w:right w:val="single" w:sz="4" w:space="0" w:color="auto"/>
            </w:tcBorders>
            <w:shd w:val="clear" w:color="auto" w:fill="auto"/>
            <w:noWrap/>
            <w:vAlign w:val="bottom"/>
            <w:hideMark/>
          </w:tcPr>
          <w:p w14:paraId="7CFD88DA" w14:textId="77777777" w:rsidR="003349F0" w:rsidRPr="003349F0" w:rsidRDefault="003349F0" w:rsidP="003349F0">
            <w:pPr>
              <w:rPr>
                <w:rFonts w:ascii="Calibri" w:eastAsia="Times New Roman" w:hAnsi="Calibri" w:cs="Calibri"/>
                <w:color w:val="000000"/>
              </w:rPr>
            </w:pPr>
            <w:r w:rsidRPr="003349F0">
              <w:rPr>
                <w:rFonts w:ascii="Calibri" w:eastAsia="Times New Roman" w:hAnsi="Calibri" w:cs="Calibri"/>
                <w:color w:val="000000"/>
              </w:rPr>
              <w:t xml:space="preserve"> $        56,142,339 </w:t>
            </w:r>
          </w:p>
        </w:tc>
        <w:tc>
          <w:tcPr>
            <w:tcW w:w="1558" w:type="dxa"/>
            <w:tcBorders>
              <w:top w:val="nil"/>
              <w:left w:val="nil"/>
              <w:bottom w:val="single" w:sz="4" w:space="0" w:color="auto"/>
              <w:right w:val="single" w:sz="4" w:space="0" w:color="auto"/>
            </w:tcBorders>
            <w:shd w:val="clear" w:color="auto" w:fill="auto"/>
            <w:noWrap/>
            <w:vAlign w:val="bottom"/>
            <w:hideMark/>
          </w:tcPr>
          <w:p w14:paraId="257815B9" w14:textId="77777777" w:rsidR="003349F0" w:rsidRPr="003349F0" w:rsidRDefault="003349F0" w:rsidP="003349F0">
            <w:pPr>
              <w:jc w:val="right"/>
              <w:rPr>
                <w:rFonts w:ascii="Calibri" w:eastAsia="Times New Roman" w:hAnsi="Calibri" w:cs="Calibri"/>
                <w:color w:val="000000"/>
              </w:rPr>
            </w:pPr>
            <w:r w:rsidRPr="003349F0">
              <w:rPr>
                <w:rFonts w:ascii="Calibri" w:eastAsia="Times New Roman" w:hAnsi="Calibri" w:cs="Calibri"/>
                <w:color w:val="000000"/>
              </w:rPr>
              <w:t>1.740%</w:t>
            </w:r>
          </w:p>
        </w:tc>
      </w:tr>
      <w:tr w:rsidR="003349F0" w:rsidRPr="003349F0" w14:paraId="22BC9B46" w14:textId="77777777" w:rsidTr="003349F0">
        <w:trPr>
          <w:trHeight w:val="320"/>
        </w:trPr>
        <w:tc>
          <w:tcPr>
            <w:tcW w:w="1548" w:type="dxa"/>
            <w:tcBorders>
              <w:top w:val="nil"/>
              <w:left w:val="single" w:sz="4" w:space="0" w:color="auto"/>
              <w:bottom w:val="single" w:sz="4" w:space="0" w:color="auto"/>
              <w:right w:val="single" w:sz="4" w:space="0" w:color="auto"/>
            </w:tcBorders>
            <w:shd w:val="clear" w:color="000000" w:fill="BFBFBF"/>
            <w:noWrap/>
            <w:vAlign w:val="bottom"/>
            <w:hideMark/>
          </w:tcPr>
          <w:p w14:paraId="3914A850" w14:textId="77777777" w:rsidR="003349F0" w:rsidRPr="003349F0" w:rsidRDefault="003349F0" w:rsidP="003349F0">
            <w:pPr>
              <w:jc w:val="right"/>
              <w:rPr>
                <w:rFonts w:ascii="Calibri" w:eastAsia="Times New Roman" w:hAnsi="Calibri" w:cs="Calibri"/>
                <w:color w:val="000000"/>
              </w:rPr>
            </w:pPr>
            <w:r w:rsidRPr="003349F0">
              <w:rPr>
                <w:rFonts w:ascii="Calibri" w:eastAsia="Times New Roman" w:hAnsi="Calibri" w:cs="Calibri"/>
                <w:color w:val="000000"/>
              </w:rPr>
              <w:t>2012</w:t>
            </w:r>
          </w:p>
        </w:tc>
        <w:tc>
          <w:tcPr>
            <w:tcW w:w="2034" w:type="dxa"/>
            <w:tcBorders>
              <w:top w:val="nil"/>
              <w:left w:val="nil"/>
              <w:bottom w:val="single" w:sz="4" w:space="0" w:color="auto"/>
              <w:right w:val="single" w:sz="4" w:space="0" w:color="auto"/>
            </w:tcBorders>
            <w:shd w:val="clear" w:color="auto" w:fill="auto"/>
            <w:noWrap/>
            <w:vAlign w:val="bottom"/>
            <w:hideMark/>
          </w:tcPr>
          <w:p w14:paraId="6889D6A8" w14:textId="77777777" w:rsidR="003349F0" w:rsidRPr="003349F0" w:rsidRDefault="003349F0" w:rsidP="003349F0">
            <w:pPr>
              <w:rPr>
                <w:rFonts w:ascii="Calibri" w:eastAsia="Times New Roman" w:hAnsi="Calibri" w:cs="Calibri"/>
                <w:color w:val="000000"/>
              </w:rPr>
            </w:pPr>
            <w:r w:rsidRPr="003349F0">
              <w:rPr>
                <w:rFonts w:ascii="Calibri" w:eastAsia="Times New Roman" w:hAnsi="Calibri" w:cs="Calibri"/>
                <w:color w:val="000000"/>
              </w:rPr>
              <w:t xml:space="preserve"> $        14,204,281 </w:t>
            </w:r>
          </w:p>
        </w:tc>
        <w:tc>
          <w:tcPr>
            <w:tcW w:w="1558" w:type="dxa"/>
            <w:tcBorders>
              <w:top w:val="nil"/>
              <w:left w:val="nil"/>
              <w:bottom w:val="single" w:sz="4" w:space="0" w:color="auto"/>
              <w:right w:val="single" w:sz="4" w:space="0" w:color="auto"/>
            </w:tcBorders>
            <w:shd w:val="clear" w:color="auto" w:fill="auto"/>
            <w:noWrap/>
            <w:vAlign w:val="bottom"/>
            <w:hideMark/>
          </w:tcPr>
          <w:p w14:paraId="0AFCE3D2" w14:textId="77777777" w:rsidR="003349F0" w:rsidRPr="003349F0" w:rsidRDefault="003349F0" w:rsidP="003349F0">
            <w:pPr>
              <w:jc w:val="right"/>
              <w:rPr>
                <w:rFonts w:ascii="Calibri" w:eastAsia="Times New Roman" w:hAnsi="Calibri" w:cs="Calibri"/>
                <w:color w:val="000000"/>
              </w:rPr>
            </w:pPr>
            <w:r w:rsidRPr="003349F0">
              <w:rPr>
                <w:rFonts w:ascii="Calibri" w:eastAsia="Times New Roman" w:hAnsi="Calibri" w:cs="Calibri"/>
                <w:color w:val="000000"/>
              </w:rPr>
              <w:t>0.800%</w:t>
            </w:r>
          </w:p>
        </w:tc>
      </w:tr>
      <w:tr w:rsidR="003349F0" w:rsidRPr="003349F0" w14:paraId="657DEBD0" w14:textId="77777777" w:rsidTr="003349F0">
        <w:trPr>
          <w:trHeight w:val="320"/>
        </w:trPr>
        <w:tc>
          <w:tcPr>
            <w:tcW w:w="1548" w:type="dxa"/>
            <w:tcBorders>
              <w:top w:val="nil"/>
              <w:left w:val="single" w:sz="4" w:space="0" w:color="auto"/>
              <w:bottom w:val="single" w:sz="4" w:space="0" w:color="auto"/>
              <w:right w:val="single" w:sz="4" w:space="0" w:color="auto"/>
            </w:tcBorders>
            <w:shd w:val="clear" w:color="000000" w:fill="BFBFBF"/>
            <w:noWrap/>
            <w:vAlign w:val="bottom"/>
            <w:hideMark/>
          </w:tcPr>
          <w:p w14:paraId="389D97CF" w14:textId="77777777" w:rsidR="003349F0" w:rsidRPr="003349F0" w:rsidRDefault="003349F0" w:rsidP="003349F0">
            <w:pPr>
              <w:jc w:val="right"/>
              <w:rPr>
                <w:rFonts w:ascii="Calibri" w:eastAsia="Times New Roman" w:hAnsi="Calibri" w:cs="Calibri"/>
                <w:color w:val="000000"/>
              </w:rPr>
            </w:pPr>
            <w:r w:rsidRPr="003349F0">
              <w:rPr>
                <w:rFonts w:ascii="Calibri" w:eastAsia="Times New Roman" w:hAnsi="Calibri" w:cs="Calibri"/>
                <w:color w:val="000000"/>
              </w:rPr>
              <w:t>2017</w:t>
            </w:r>
          </w:p>
        </w:tc>
        <w:tc>
          <w:tcPr>
            <w:tcW w:w="2034" w:type="dxa"/>
            <w:tcBorders>
              <w:top w:val="nil"/>
              <w:left w:val="nil"/>
              <w:bottom w:val="single" w:sz="4" w:space="0" w:color="auto"/>
              <w:right w:val="single" w:sz="4" w:space="0" w:color="auto"/>
            </w:tcBorders>
            <w:shd w:val="clear" w:color="auto" w:fill="auto"/>
            <w:noWrap/>
            <w:vAlign w:val="bottom"/>
            <w:hideMark/>
          </w:tcPr>
          <w:p w14:paraId="10D5AFB4" w14:textId="77777777" w:rsidR="003349F0" w:rsidRPr="003349F0" w:rsidRDefault="003349F0" w:rsidP="003349F0">
            <w:pPr>
              <w:rPr>
                <w:rFonts w:ascii="Calibri" w:eastAsia="Times New Roman" w:hAnsi="Calibri" w:cs="Calibri"/>
                <w:color w:val="000000"/>
              </w:rPr>
            </w:pPr>
            <w:r w:rsidRPr="003349F0">
              <w:rPr>
                <w:rFonts w:ascii="Calibri" w:eastAsia="Times New Roman" w:hAnsi="Calibri" w:cs="Calibri"/>
                <w:color w:val="000000"/>
              </w:rPr>
              <w:t xml:space="preserve"> $      111,609,543 </w:t>
            </w:r>
          </w:p>
        </w:tc>
        <w:tc>
          <w:tcPr>
            <w:tcW w:w="1558" w:type="dxa"/>
            <w:tcBorders>
              <w:top w:val="nil"/>
              <w:left w:val="nil"/>
              <w:bottom w:val="single" w:sz="4" w:space="0" w:color="auto"/>
              <w:right w:val="single" w:sz="4" w:space="0" w:color="auto"/>
            </w:tcBorders>
            <w:shd w:val="clear" w:color="auto" w:fill="auto"/>
            <w:noWrap/>
            <w:vAlign w:val="bottom"/>
            <w:hideMark/>
          </w:tcPr>
          <w:p w14:paraId="70C23526" w14:textId="77777777" w:rsidR="003349F0" w:rsidRPr="003349F0" w:rsidRDefault="003349F0" w:rsidP="003349F0">
            <w:pPr>
              <w:jc w:val="right"/>
              <w:rPr>
                <w:rFonts w:ascii="Calibri" w:eastAsia="Times New Roman" w:hAnsi="Calibri" w:cs="Calibri"/>
                <w:color w:val="000000"/>
              </w:rPr>
            </w:pPr>
            <w:r w:rsidRPr="003349F0">
              <w:rPr>
                <w:rFonts w:ascii="Calibri" w:eastAsia="Times New Roman" w:hAnsi="Calibri" w:cs="Calibri"/>
                <w:color w:val="000000"/>
              </w:rPr>
              <w:t>1.649%</w:t>
            </w:r>
          </w:p>
        </w:tc>
      </w:tr>
      <w:tr w:rsidR="003349F0" w:rsidRPr="003349F0" w14:paraId="41290E1D" w14:textId="77777777" w:rsidTr="003349F0">
        <w:trPr>
          <w:trHeight w:val="320"/>
        </w:trPr>
        <w:tc>
          <w:tcPr>
            <w:tcW w:w="1548" w:type="dxa"/>
            <w:tcBorders>
              <w:top w:val="nil"/>
              <w:left w:val="nil"/>
              <w:bottom w:val="nil"/>
              <w:right w:val="nil"/>
            </w:tcBorders>
            <w:shd w:val="clear" w:color="auto" w:fill="auto"/>
            <w:noWrap/>
            <w:vAlign w:val="bottom"/>
            <w:hideMark/>
          </w:tcPr>
          <w:p w14:paraId="2ACC71E4" w14:textId="77777777" w:rsidR="003349F0" w:rsidRPr="003349F0" w:rsidRDefault="003349F0" w:rsidP="003349F0">
            <w:pPr>
              <w:jc w:val="right"/>
              <w:rPr>
                <w:rFonts w:ascii="Calibri" w:eastAsia="Times New Roman" w:hAnsi="Calibri" w:cs="Calibri"/>
                <w:color w:val="000000"/>
              </w:rPr>
            </w:pPr>
          </w:p>
        </w:tc>
        <w:tc>
          <w:tcPr>
            <w:tcW w:w="2034" w:type="dxa"/>
            <w:tcBorders>
              <w:top w:val="nil"/>
              <w:left w:val="nil"/>
              <w:bottom w:val="nil"/>
              <w:right w:val="nil"/>
            </w:tcBorders>
            <w:shd w:val="clear" w:color="auto" w:fill="auto"/>
            <w:noWrap/>
            <w:vAlign w:val="bottom"/>
            <w:hideMark/>
          </w:tcPr>
          <w:p w14:paraId="0039FDD1" w14:textId="77777777" w:rsidR="003349F0" w:rsidRPr="003349F0" w:rsidRDefault="003349F0" w:rsidP="003349F0">
            <w:pPr>
              <w:rPr>
                <w:rFonts w:ascii="Times New Roman" w:eastAsia="Times New Roman" w:hAnsi="Times New Roman" w:cs="Times New Roman"/>
                <w:sz w:val="20"/>
                <w:szCs w:val="20"/>
              </w:rPr>
            </w:pPr>
          </w:p>
        </w:tc>
        <w:tc>
          <w:tcPr>
            <w:tcW w:w="1558" w:type="dxa"/>
            <w:tcBorders>
              <w:top w:val="nil"/>
              <w:left w:val="nil"/>
              <w:bottom w:val="nil"/>
              <w:right w:val="nil"/>
            </w:tcBorders>
            <w:shd w:val="clear" w:color="auto" w:fill="auto"/>
            <w:noWrap/>
            <w:vAlign w:val="bottom"/>
            <w:hideMark/>
          </w:tcPr>
          <w:p w14:paraId="4BCAE110" w14:textId="77777777" w:rsidR="003349F0" w:rsidRPr="003349F0" w:rsidRDefault="003349F0" w:rsidP="003349F0">
            <w:pPr>
              <w:rPr>
                <w:rFonts w:ascii="Times New Roman" w:eastAsia="Times New Roman" w:hAnsi="Times New Roman" w:cs="Times New Roman"/>
                <w:sz w:val="20"/>
                <w:szCs w:val="20"/>
              </w:rPr>
            </w:pPr>
          </w:p>
        </w:tc>
      </w:tr>
      <w:tr w:rsidR="003349F0" w:rsidRPr="003349F0" w14:paraId="68460D1D" w14:textId="77777777" w:rsidTr="003349F0">
        <w:trPr>
          <w:trHeight w:val="380"/>
        </w:trPr>
        <w:tc>
          <w:tcPr>
            <w:tcW w:w="3582" w:type="dxa"/>
            <w:gridSpan w:val="2"/>
            <w:tcBorders>
              <w:top w:val="single" w:sz="4" w:space="0" w:color="auto"/>
              <w:left w:val="single" w:sz="4" w:space="0" w:color="auto"/>
              <w:bottom w:val="single" w:sz="4" w:space="0" w:color="auto"/>
              <w:right w:val="single" w:sz="4" w:space="0" w:color="auto"/>
            </w:tcBorders>
            <w:shd w:val="clear" w:color="000000" w:fill="ACB9CA"/>
            <w:noWrap/>
            <w:vAlign w:val="bottom"/>
            <w:hideMark/>
          </w:tcPr>
          <w:p w14:paraId="5F0F3497" w14:textId="77777777" w:rsidR="003349F0" w:rsidRPr="003349F0" w:rsidRDefault="003349F0" w:rsidP="003349F0">
            <w:pPr>
              <w:jc w:val="center"/>
              <w:rPr>
                <w:rFonts w:ascii="Calibri" w:eastAsia="Times New Roman" w:hAnsi="Calibri" w:cs="Calibri"/>
                <w:b/>
                <w:bCs/>
                <w:color w:val="000000"/>
                <w:sz w:val="28"/>
                <w:szCs w:val="28"/>
              </w:rPr>
            </w:pPr>
            <w:r w:rsidRPr="003349F0">
              <w:rPr>
                <w:rFonts w:ascii="Calibri" w:eastAsia="Times New Roman" w:hAnsi="Calibri" w:cs="Calibri"/>
                <w:b/>
                <w:bCs/>
                <w:color w:val="000000"/>
                <w:sz w:val="28"/>
                <w:szCs w:val="28"/>
              </w:rPr>
              <w:t>Chance of Litigation</w:t>
            </w:r>
          </w:p>
        </w:tc>
        <w:tc>
          <w:tcPr>
            <w:tcW w:w="1558" w:type="dxa"/>
            <w:tcBorders>
              <w:top w:val="nil"/>
              <w:left w:val="nil"/>
              <w:bottom w:val="nil"/>
              <w:right w:val="nil"/>
            </w:tcBorders>
            <w:shd w:val="clear" w:color="auto" w:fill="auto"/>
            <w:noWrap/>
            <w:vAlign w:val="bottom"/>
            <w:hideMark/>
          </w:tcPr>
          <w:p w14:paraId="65617EB0" w14:textId="77777777" w:rsidR="003349F0" w:rsidRPr="003349F0" w:rsidRDefault="003349F0" w:rsidP="003349F0">
            <w:pPr>
              <w:jc w:val="center"/>
              <w:rPr>
                <w:rFonts w:ascii="Calibri" w:eastAsia="Times New Roman" w:hAnsi="Calibri" w:cs="Calibri"/>
                <w:b/>
                <w:bCs/>
                <w:color w:val="000000"/>
                <w:sz w:val="28"/>
                <w:szCs w:val="28"/>
              </w:rPr>
            </w:pPr>
          </w:p>
        </w:tc>
      </w:tr>
      <w:tr w:rsidR="003349F0" w:rsidRPr="003349F0" w14:paraId="0B98F0D9" w14:textId="77777777" w:rsidTr="003349F0">
        <w:trPr>
          <w:trHeight w:val="320"/>
        </w:trPr>
        <w:tc>
          <w:tcPr>
            <w:tcW w:w="1548" w:type="dxa"/>
            <w:tcBorders>
              <w:top w:val="nil"/>
              <w:left w:val="single" w:sz="4" w:space="0" w:color="auto"/>
              <w:bottom w:val="single" w:sz="4" w:space="0" w:color="auto"/>
              <w:right w:val="single" w:sz="4" w:space="0" w:color="auto"/>
            </w:tcBorders>
            <w:shd w:val="clear" w:color="auto" w:fill="auto"/>
            <w:noWrap/>
            <w:vAlign w:val="bottom"/>
            <w:hideMark/>
          </w:tcPr>
          <w:p w14:paraId="6271EFF1" w14:textId="77777777" w:rsidR="003349F0" w:rsidRPr="003349F0" w:rsidRDefault="003349F0" w:rsidP="003349F0">
            <w:pPr>
              <w:rPr>
                <w:rFonts w:ascii="Calibri" w:eastAsia="Times New Roman" w:hAnsi="Calibri" w:cs="Calibri"/>
                <w:color w:val="000000"/>
              </w:rPr>
            </w:pPr>
            <w:r w:rsidRPr="003349F0">
              <w:rPr>
                <w:rFonts w:ascii="Calibri" w:eastAsia="Times New Roman" w:hAnsi="Calibri" w:cs="Calibri"/>
                <w:color w:val="000000"/>
              </w:rPr>
              <w:t>Upper Bound</w:t>
            </w:r>
          </w:p>
        </w:tc>
        <w:tc>
          <w:tcPr>
            <w:tcW w:w="2034" w:type="dxa"/>
            <w:tcBorders>
              <w:top w:val="nil"/>
              <w:left w:val="nil"/>
              <w:bottom w:val="single" w:sz="4" w:space="0" w:color="auto"/>
              <w:right w:val="single" w:sz="4" w:space="0" w:color="auto"/>
            </w:tcBorders>
            <w:shd w:val="clear" w:color="auto" w:fill="auto"/>
            <w:noWrap/>
            <w:vAlign w:val="bottom"/>
            <w:hideMark/>
          </w:tcPr>
          <w:p w14:paraId="480EEBA8" w14:textId="77777777" w:rsidR="003349F0" w:rsidRPr="003349F0" w:rsidRDefault="003349F0" w:rsidP="003349F0">
            <w:pPr>
              <w:jc w:val="right"/>
              <w:rPr>
                <w:rFonts w:ascii="Calibri" w:eastAsia="Times New Roman" w:hAnsi="Calibri" w:cs="Calibri"/>
                <w:color w:val="000000"/>
              </w:rPr>
            </w:pPr>
            <w:r w:rsidRPr="003349F0">
              <w:rPr>
                <w:rFonts w:ascii="Calibri" w:eastAsia="Times New Roman" w:hAnsi="Calibri" w:cs="Calibri"/>
                <w:color w:val="000000"/>
              </w:rPr>
              <w:t>2.40%</w:t>
            </w:r>
          </w:p>
        </w:tc>
        <w:tc>
          <w:tcPr>
            <w:tcW w:w="1558" w:type="dxa"/>
            <w:tcBorders>
              <w:top w:val="nil"/>
              <w:left w:val="nil"/>
              <w:bottom w:val="nil"/>
              <w:right w:val="nil"/>
            </w:tcBorders>
            <w:shd w:val="clear" w:color="auto" w:fill="auto"/>
            <w:noWrap/>
            <w:vAlign w:val="bottom"/>
            <w:hideMark/>
          </w:tcPr>
          <w:p w14:paraId="7F737693" w14:textId="77777777" w:rsidR="003349F0" w:rsidRPr="003349F0" w:rsidRDefault="003349F0" w:rsidP="003349F0">
            <w:pPr>
              <w:jc w:val="right"/>
              <w:rPr>
                <w:rFonts w:ascii="Calibri" w:eastAsia="Times New Roman" w:hAnsi="Calibri" w:cs="Calibri"/>
                <w:color w:val="000000"/>
              </w:rPr>
            </w:pPr>
          </w:p>
        </w:tc>
      </w:tr>
      <w:tr w:rsidR="003349F0" w:rsidRPr="003349F0" w14:paraId="0AF3A0CC" w14:textId="77777777" w:rsidTr="003349F0">
        <w:trPr>
          <w:trHeight w:val="320"/>
        </w:trPr>
        <w:tc>
          <w:tcPr>
            <w:tcW w:w="1548" w:type="dxa"/>
            <w:tcBorders>
              <w:top w:val="nil"/>
              <w:left w:val="single" w:sz="4" w:space="0" w:color="auto"/>
              <w:bottom w:val="single" w:sz="4" w:space="0" w:color="auto"/>
              <w:right w:val="single" w:sz="4" w:space="0" w:color="auto"/>
            </w:tcBorders>
            <w:shd w:val="clear" w:color="auto" w:fill="auto"/>
            <w:noWrap/>
            <w:vAlign w:val="bottom"/>
            <w:hideMark/>
          </w:tcPr>
          <w:p w14:paraId="055C69A9" w14:textId="77777777" w:rsidR="003349F0" w:rsidRPr="003349F0" w:rsidRDefault="003349F0" w:rsidP="003349F0">
            <w:pPr>
              <w:rPr>
                <w:rFonts w:ascii="Calibri" w:eastAsia="Times New Roman" w:hAnsi="Calibri" w:cs="Calibri"/>
                <w:color w:val="000000"/>
              </w:rPr>
            </w:pPr>
            <w:r w:rsidRPr="003349F0">
              <w:rPr>
                <w:rFonts w:ascii="Calibri" w:eastAsia="Times New Roman" w:hAnsi="Calibri" w:cs="Calibri"/>
                <w:color w:val="000000"/>
              </w:rPr>
              <w:t>Lower Bound</w:t>
            </w:r>
          </w:p>
        </w:tc>
        <w:tc>
          <w:tcPr>
            <w:tcW w:w="2034" w:type="dxa"/>
            <w:tcBorders>
              <w:top w:val="nil"/>
              <w:left w:val="nil"/>
              <w:bottom w:val="single" w:sz="4" w:space="0" w:color="auto"/>
              <w:right w:val="single" w:sz="4" w:space="0" w:color="auto"/>
            </w:tcBorders>
            <w:shd w:val="clear" w:color="auto" w:fill="auto"/>
            <w:noWrap/>
            <w:vAlign w:val="bottom"/>
            <w:hideMark/>
          </w:tcPr>
          <w:p w14:paraId="454E2E0B" w14:textId="77777777" w:rsidR="003349F0" w:rsidRPr="003349F0" w:rsidRDefault="003349F0" w:rsidP="003349F0">
            <w:pPr>
              <w:jc w:val="right"/>
              <w:rPr>
                <w:rFonts w:ascii="Calibri" w:eastAsia="Times New Roman" w:hAnsi="Calibri" w:cs="Calibri"/>
                <w:color w:val="000000"/>
              </w:rPr>
            </w:pPr>
            <w:r w:rsidRPr="003349F0">
              <w:rPr>
                <w:rFonts w:ascii="Calibri" w:eastAsia="Times New Roman" w:hAnsi="Calibri" w:cs="Calibri"/>
                <w:color w:val="000000"/>
              </w:rPr>
              <w:t>0.99%</w:t>
            </w:r>
          </w:p>
        </w:tc>
        <w:tc>
          <w:tcPr>
            <w:tcW w:w="1558" w:type="dxa"/>
            <w:tcBorders>
              <w:top w:val="nil"/>
              <w:left w:val="nil"/>
              <w:bottom w:val="nil"/>
              <w:right w:val="nil"/>
            </w:tcBorders>
            <w:shd w:val="clear" w:color="auto" w:fill="auto"/>
            <w:noWrap/>
            <w:vAlign w:val="bottom"/>
            <w:hideMark/>
          </w:tcPr>
          <w:p w14:paraId="634937EE" w14:textId="77777777" w:rsidR="003349F0" w:rsidRPr="003349F0" w:rsidRDefault="003349F0" w:rsidP="003349F0">
            <w:pPr>
              <w:jc w:val="right"/>
              <w:rPr>
                <w:rFonts w:ascii="Calibri" w:eastAsia="Times New Roman" w:hAnsi="Calibri" w:cs="Calibri"/>
                <w:color w:val="000000"/>
              </w:rPr>
            </w:pPr>
          </w:p>
        </w:tc>
      </w:tr>
      <w:tr w:rsidR="003349F0" w:rsidRPr="003349F0" w14:paraId="644F4580" w14:textId="77777777" w:rsidTr="003349F0">
        <w:trPr>
          <w:trHeight w:val="320"/>
        </w:trPr>
        <w:tc>
          <w:tcPr>
            <w:tcW w:w="1548" w:type="dxa"/>
            <w:tcBorders>
              <w:top w:val="nil"/>
              <w:left w:val="nil"/>
              <w:bottom w:val="nil"/>
              <w:right w:val="nil"/>
            </w:tcBorders>
            <w:shd w:val="clear" w:color="auto" w:fill="auto"/>
            <w:noWrap/>
            <w:vAlign w:val="bottom"/>
            <w:hideMark/>
          </w:tcPr>
          <w:p w14:paraId="3F6C64D6" w14:textId="77777777" w:rsidR="003349F0" w:rsidRPr="003349F0" w:rsidRDefault="003349F0" w:rsidP="003349F0">
            <w:pPr>
              <w:rPr>
                <w:rFonts w:ascii="Times New Roman" w:eastAsia="Times New Roman" w:hAnsi="Times New Roman" w:cs="Times New Roman"/>
                <w:sz w:val="20"/>
                <w:szCs w:val="20"/>
              </w:rPr>
            </w:pPr>
          </w:p>
        </w:tc>
        <w:tc>
          <w:tcPr>
            <w:tcW w:w="2034" w:type="dxa"/>
            <w:tcBorders>
              <w:top w:val="nil"/>
              <w:left w:val="nil"/>
              <w:bottom w:val="nil"/>
              <w:right w:val="nil"/>
            </w:tcBorders>
            <w:shd w:val="clear" w:color="auto" w:fill="auto"/>
            <w:noWrap/>
            <w:vAlign w:val="bottom"/>
            <w:hideMark/>
          </w:tcPr>
          <w:p w14:paraId="3C653E75" w14:textId="77777777" w:rsidR="003349F0" w:rsidRPr="003349F0" w:rsidRDefault="003349F0" w:rsidP="003349F0">
            <w:pPr>
              <w:rPr>
                <w:rFonts w:ascii="Times New Roman" w:eastAsia="Times New Roman" w:hAnsi="Times New Roman" w:cs="Times New Roman"/>
                <w:sz w:val="20"/>
                <w:szCs w:val="20"/>
              </w:rPr>
            </w:pPr>
          </w:p>
        </w:tc>
        <w:tc>
          <w:tcPr>
            <w:tcW w:w="1558" w:type="dxa"/>
            <w:tcBorders>
              <w:top w:val="nil"/>
              <w:left w:val="nil"/>
              <w:bottom w:val="nil"/>
              <w:right w:val="nil"/>
            </w:tcBorders>
            <w:shd w:val="clear" w:color="auto" w:fill="auto"/>
            <w:noWrap/>
            <w:vAlign w:val="bottom"/>
            <w:hideMark/>
          </w:tcPr>
          <w:p w14:paraId="1319EABE" w14:textId="77777777" w:rsidR="003349F0" w:rsidRPr="003349F0" w:rsidRDefault="003349F0" w:rsidP="003349F0">
            <w:pPr>
              <w:rPr>
                <w:rFonts w:ascii="Times New Roman" w:eastAsia="Times New Roman" w:hAnsi="Times New Roman" w:cs="Times New Roman"/>
                <w:sz w:val="20"/>
                <w:szCs w:val="20"/>
              </w:rPr>
            </w:pPr>
          </w:p>
        </w:tc>
      </w:tr>
      <w:tr w:rsidR="003349F0" w:rsidRPr="003349F0" w14:paraId="7D458BCE" w14:textId="77777777" w:rsidTr="003349F0">
        <w:trPr>
          <w:trHeight w:val="380"/>
        </w:trPr>
        <w:tc>
          <w:tcPr>
            <w:tcW w:w="5140" w:type="dxa"/>
            <w:gridSpan w:val="3"/>
            <w:tcBorders>
              <w:top w:val="single" w:sz="4" w:space="0" w:color="auto"/>
              <w:left w:val="single" w:sz="4" w:space="0" w:color="auto"/>
              <w:bottom w:val="single" w:sz="4" w:space="0" w:color="auto"/>
              <w:right w:val="single" w:sz="4" w:space="0" w:color="auto"/>
            </w:tcBorders>
            <w:shd w:val="clear" w:color="000000" w:fill="7B7B7B"/>
            <w:noWrap/>
            <w:vAlign w:val="bottom"/>
            <w:hideMark/>
          </w:tcPr>
          <w:p w14:paraId="502A2E78" w14:textId="77777777" w:rsidR="003349F0" w:rsidRPr="003349F0" w:rsidRDefault="003349F0" w:rsidP="003349F0">
            <w:pPr>
              <w:jc w:val="center"/>
              <w:rPr>
                <w:rFonts w:ascii="Calibri" w:eastAsia="Times New Roman" w:hAnsi="Calibri" w:cs="Calibri"/>
                <w:b/>
                <w:bCs/>
                <w:color w:val="FFFFFF"/>
                <w:sz w:val="28"/>
                <w:szCs w:val="28"/>
              </w:rPr>
            </w:pPr>
            <w:r w:rsidRPr="003349F0">
              <w:rPr>
                <w:rFonts w:ascii="Calibri" w:eastAsia="Times New Roman" w:hAnsi="Calibri" w:cs="Calibri"/>
                <w:b/>
                <w:bCs/>
                <w:color w:val="FFFFFF"/>
                <w:sz w:val="28"/>
                <w:szCs w:val="28"/>
              </w:rPr>
              <w:t>Factors that may alter chance of litigation</w:t>
            </w:r>
          </w:p>
        </w:tc>
      </w:tr>
      <w:tr w:rsidR="003349F0" w:rsidRPr="003349F0" w14:paraId="63910B8D" w14:textId="77777777" w:rsidTr="003349F0">
        <w:trPr>
          <w:trHeight w:val="320"/>
        </w:trPr>
        <w:tc>
          <w:tcPr>
            <w:tcW w:w="51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115259" w14:textId="77777777" w:rsidR="003349F0" w:rsidRPr="003349F0" w:rsidRDefault="003349F0" w:rsidP="003349F0">
            <w:pPr>
              <w:jc w:val="center"/>
              <w:rPr>
                <w:rFonts w:ascii="Calibri" w:eastAsia="Times New Roman" w:hAnsi="Calibri" w:cs="Calibri"/>
                <w:color w:val="000000"/>
              </w:rPr>
            </w:pPr>
            <w:r w:rsidRPr="003349F0">
              <w:rPr>
                <w:rFonts w:ascii="Calibri" w:eastAsia="Times New Roman" w:hAnsi="Calibri" w:cs="Calibri"/>
                <w:color w:val="000000"/>
              </w:rPr>
              <w:t>Price-trend or MPL</w:t>
            </w:r>
          </w:p>
        </w:tc>
      </w:tr>
      <w:tr w:rsidR="003349F0" w:rsidRPr="003349F0" w14:paraId="7E024BEC" w14:textId="77777777" w:rsidTr="003349F0">
        <w:trPr>
          <w:trHeight w:val="320"/>
        </w:trPr>
        <w:tc>
          <w:tcPr>
            <w:tcW w:w="51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751DBA" w14:textId="77777777" w:rsidR="003349F0" w:rsidRPr="003349F0" w:rsidRDefault="003349F0" w:rsidP="003349F0">
            <w:pPr>
              <w:jc w:val="center"/>
              <w:rPr>
                <w:rFonts w:ascii="Calibri" w:eastAsia="Times New Roman" w:hAnsi="Calibri" w:cs="Calibri"/>
                <w:color w:val="000000"/>
              </w:rPr>
            </w:pPr>
            <w:r w:rsidRPr="003349F0">
              <w:rPr>
                <w:rFonts w:ascii="Calibri" w:eastAsia="Times New Roman" w:hAnsi="Calibri" w:cs="Calibri"/>
                <w:color w:val="000000"/>
              </w:rPr>
              <w:t xml:space="preserve">Funds </w:t>
            </w:r>
            <w:proofErr w:type="gramStart"/>
            <w:r w:rsidRPr="003349F0">
              <w:rPr>
                <w:rFonts w:ascii="Calibri" w:eastAsia="Times New Roman" w:hAnsi="Calibri" w:cs="Calibri"/>
                <w:color w:val="000000"/>
              </w:rPr>
              <w:t>From</w:t>
            </w:r>
            <w:proofErr w:type="gramEnd"/>
            <w:r w:rsidRPr="003349F0">
              <w:rPr>
                <w:rFonts w:ascii="Calibri" w:eastAsia="Times New Roman" w:hAnsi="Calibri" w:cs="Calibri"/>
                <w:color w:val="000000"/>
              </w:rPr>
              <w:t xml:space="preserve"> Operations (Other)</w:t>
            </w:r>
          </w:p>
        </w:tc>
      </w:tr>
      <w:tr w:rsidR="003349F0" w:rsidRPr="003349F0" w14:paraId="3EE7BE81" w14:textId="77777777" w:rsidTr="003349F0">
        <w:trPr>
          <w:trHeight w:val="320"/>
        </w:trPr>
        <w:tc>
          <w:tcPr>
            <w:tcW w:w="51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279765" w14:textId="77777777" w:rsidR="003349F0" w:rsidRPr="003349F0" w:rsidRDefault="003349F0" w:rsidP="003349F0">
            <w:pPr>
              <w:jc w:val="center"/>
              <w:rPr>
                <w:rFonts w:ascii="Calibri" w:eastAsia="Times New Roman" w:hAnsi="Calibri" w:cs="Calibri"/>
                <w:color w:val="000000"/>
              </w:rPr>
            </w:pPr>
            <w:proofErr w:type="spellStart"/>
            <w:r w:rsidRPr="003349F0">
              <w:rPr>
                <w:rFonts w:ascii="Calibri" w:eastAsia="Times New Roman" w:hAnsi="Calibri" w:cs="Calibri"/>
                <w:color w:val="000000"/>
              </w:rPr>
              <w:t>Accumumlated</w:t>
            </w:r>
            <w:proofErr w:type="spellEnd"/>
            <w:r w:rsidRPr="003349F0">
              <w:rPr>
                <w:rFonts w:ascii="Calibri" w:eastAsia="Times New Roman" w:hAnsi="Calibri" w:cs="Calibri"/>
                <w:color w:val="000000"/>
              </w:rPr>
              <w:t xml:space="preserve"> Other Comprehensive Income (Loss)</w:t>
            </w:r>
          </w:p>
        </w:tc>
      </w:tr>
    </w:tbl>
    <w:p w14:paraId="0C614F6E" w14:textId="77777777" w:rsidR="004316BE" w:rsidRDefault="004316BE"/>
    <w:sectPr w:rsidR="004316BE" w:rsidSect="003E5E38">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0401D5"/>
    <w:multiLevelType w:val="hybridMultilevel"/>
    <w:tmpl w:val="DAAA4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F0053D"/>
    <w:multiLevelType w:val="hybridMultilevel"/>
    <w:tmpl w:val="51A6BD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8BF392B"/>
    <w:multiLevelType w:val="hybridMultilevel"/>
    <w:tmpl w:val="D7989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6336A8"/>
    <w:multiLevelType w:val="hybridMultilevel"/>
    <w:tmpl w:val="23C49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93E"/>
    <w:rsid w:val="000143F2"/>
    <w:rsid w:val="0001632E"/>
    <w:rsid w:val="00056B5D"/>
    <w:rsid w:val="000B65F8"/>
    <w:rsid w:val="000D7BEE"/>
    <w:rsid w:val="00100172"/>
    <w:rsid w:val="00113487"/>
    <w:rsid w:val="00121354"/>
    <w:rsid w:val="00137BF1"/>
    <w:rsid w:val="001750F7"/>
    <w:rsid w:val="00285EDC"/>
    <w:rsid w:val="002876C6"/>
    <w:rsid w:val="003009D9"/>
    <w:rsid w:val="00320C7E"/>
    <w:rsid w:val="003349F0"/>
    <w:rsid w:val="00342FA4"/>
    <w:rsid w:val="00366D0A"/>
    <w:rsid w:val="00393B91"/>
    <w:rsid w:val="003A1860"/>
    <w:rsid w:val="003C0514"/>
    <w:rsid w:val="003E5E38"/>
    <w:rsid w:val="004316BE"/>
    <w:rsid w:val="00432B17"/>
    <w:rsid w:val="004423BB"/>
    <w:rsid w:val="004938C8"/>
    <w:rsid w:val="004E26E0"/>
    <w:rsid w:val="00643A72"/>
    <w:rsid w:val="00662C12"/>
    <w:rsid w:val="00687E6A"/>
    <w:rsid w:val="00691DB5"/>
    <w:rsid w:val="006D0188"/>
    <w:rsid w:val="006F242D"/>
    <w:rsid w:val="00706B92"/>
    <w:rsid w:val="00733707"/>
    <w:rsid w:val="0078072F"/>
    <w:rsid w:val="007838FF"/>
    <w:rsid w:val="008077CA"/>
    <w:rsid w:val="008174A6"/>
    <w:rsid w:val="0083639C"/>
    <w:rsid w:val="00844B03"/>
    <w:rsid w:val="00852F4A"/>
    <w:rsid w:val="00882572"/>
    <w:rsid w:val="008879B0"/>
    <w:rsid w:val="008973A8"/>
    <w:rsid w:val="008E434F"/>
    <w:rsid w:val="008E6ACC"/>
    <w:rsid w:val="0093337D"/>
    <w:rsid w:val="00935952"/>
    <w:rsid w:val="00956D56"/>
    <w:rsid w:val="00987C2F"/>
    <w:rsid w:val="009D1279"/>
    <w:rsid w:val="00A14BED"/>
    <w:rsid w:val="00A30CF0"/>
    <w:rsid w:val="00A348C2"/>
    <w:rsid w:val="00A97A97"/>
    <w:rsid w:val="00B06245"/>
    <w:rsid w:val="00B23D4F"/>
    <w:rsid w:val="00B42755"/>
    <w:rsid w:val="00B438D8"/>
    <w:rsid w:val="00B7390F"/>
    <w:rsid w:val="00BA4081"/>
    <w:rsid w:val="00BC127B"/>
    <w:rsid w:val="00BC66D2"/>
    <w:rsid w:val="00BC6F3A"/>
    <w:rsid w:val="00BF09B6"/>
    <w:rsid w:val="00C03D74"/>
    <w:rsid w:val="00C10A06"/>
    <w:rsid w:val="00C36116"/>
    <w:rsid w:val="00C4293E"/>
    <w:rsid w:val="00C70210"/>
    <w:rsid w:val="00C76CC7"/>
    <w:rsid w:val="00CD666E"/>
    <w:rsid w:val="00CE4603"/>
    <w:rsid w:val="00D040EE"/>
    <w:rsid w:val="00D06550"/>
    <w:rsid w:val="00D96F47"/>
    <w:rsid w:val="00DC4B1C"/>
    <w:rsid w:val="00DF7540"/>
    <w:rsid w:val="00E22839"/>
    <w:rsid w:val="00E3432A"/>
    <w:rsid w:val="00EF52E7"/>
    <w:rsid w:val="00EF678B"/>
    <w:rsid w:val="00F43D29"/>
    <w:rsid w:val="00F46008"/>
    <w:rsid w:val="00F535D3"/>
    <w:rsid w:val="00F82CA9"/>
    <w:rsid w:val="00FD3CCB"/>
    <w:rsid w:val="00FF393B"/>
    <w:rsid w:val="00FF5D43"/>
    <w:rsid w:val="00FF6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ED731"/>
  <w14:defaultImageDpi w14:val="32767"/>
  <w15:chartTrackingRefBased/>
  <w15:docId w15:val="{3FA4EECE-CC25-064F-BC18-025169F21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0CF0"/>
    <w:pPr>
      <w:ind w:left="720"/>
      <w:contextualSpacing/>
    </w:pPr>
  </w:style>
  <w:style w:type="paragraph" w:styleId="Caption">
    <w:name w:val="caption"/>
    <w:basedOn w:val="Normal"/>
    <w:next w:val="Normal"/>
    <w:uiPriority w:val="35"/>
    <w:unhideWhenUsed/>
    <w:qFormat/>
    <w:rsid w:val="000B65F8"/>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77200">
      <w:bodyDiv w:val="1"/>
      <w:marLeft w:val="0"/>
      <w:marRight w:val="0"/>
      <w:marTop w:val="0"/>
      <w:marBottom w:val="0"/>
      <w:divBdr>
        <w:top w:val="none" w:sz="0" w:space="0" w:color="auto"/>
        <w:left w:val="none" w:sz="0" w:space="0" w:color="auto"/>
        <w:bottom w:val="none" w:sz="0" w:space="0" w:color="auto"/>
        <w:right w:val="none" w:sz="0" w:space="0" w:color="auto"/>
      </w:divBdr>
    </w:div>
    <w:div w:id="214512632">
      <w:bodyDiv w:val="1"/>
      <w:marLeft w:val="0"/>
      <w:marRight w:val="0"/>
      <w:marTop w:val="0"/>
      <w:marBottom w:val="0"/>
      <w:divBdr>
        <w:top w:val="none" w:sz="0" w:space="0" w:color="auto"/>
        <w:left w:val="none" w:sz="0" w:space="0" w:color="auto"/>
        <w:bottom w:val="none" w:sz="0" w:space="0" w:color="auto"/>
        <w:right w:val="none" w:sz="0" w:space="0" w:color="auto"/>
      </w:divBdr>
    </w:div>
    <w:div w:id="818501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12</Pages>
  <Words>2304</Words>
  <Characters>13139</Characters>
  <Application>Microsoft Office Word</Application>
  <DocSecurity>0</DocSecurity>
  <Lines>109</Lines>
  <Paragraphs>30</Paragraphs>
  <ScaleCrop>false</ScaleCrop>
  <Company/>
  <LinksUpToDate>false</LinksUpToDate>
  <CharactersWithSpaces>15413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Doyle, Pat</dc:creator>
  <cp:keywords/>
  <dc:description/>
  <cp:lastModifiedBy>Doyle, Pat</cp:lastModifiedBy>
  <cp:revision>55</cp:revision>
  <dcterms:created xsi:type="dcterms:W3CDTF">2018-08-04T01:27:00Z</dcterms:created>
  <dcterms:modified xsi:type="dcterms:W3CDTF">2018-08-05T00:03:00Z</dcterms:modified>
</cp:coreProperties>
</file>