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System Architecture</w:t>
      </w:r>
    </w:p>
    <w:p>
      <w:pPr>
        <w:jc w:val="center"/>
      </w:pPr>
      <w:r>
        <w:rPr>
          <w:i/>
          <w:sz w:val="22"/>
        </w:rPr>
        <w:t>Multimodal Diabetic Retinopathy Screening &amp; Decision Support</w:t>
      </w:r>
    </w:p>
    <w:p>
      <w:pPr>
        <w:pStyle w:val="Heading1"/>
      </w:pPr>
      <w:r>
        <w:t>1. High-Level Architecture</w:t>
      </w:r>
    </w:p>
    <w:p>
      <w:r>
        <w:t>The system uses three major intelligence pipelines—visual analysis, clinical risk prediction, and knowledge retrieval—and combines their outputs before generating a grounded explanation.</w:t>
      </w:r>
    </w:p>
    <w:p>
      <w:pPr>
        <w:pStyle w:val="Heading2"/>
      </w:pPr>
      <w:r>
        <w:t>1. User / Clinician</w:t>
      </w:r>
    </w:p>
    <w:p>
      <w:r>
        <w:t>Uploads retinal image, enters patient information, and asks an optional clinical question.</w:t>
      </w:r>
    </w:p>
    <w:p>
      <w:pPr>
        <w:pStyle w:val="Heading2"/>
      </w:pPr>
      <w:r>
        <w:t>2. Input Processing</w:t>
      </w:r>
    </w:p>
    <w:p>
      <w:r>
        <w:t>Image validation, resizing/normalization, and structured clinical-data preprocessing.</w:t>
      </w:r>
    </w:p>
    <w:p>
      <w:pPr>
        <w:pStyle w:val="Heading2"/>
      </w:pPr>
      <w:r>
        <w:t>3. Computer Vision Pipeline</w:t>
      </w:r>
    </w:p>
    <w:p>
      <w:r>
        <w:t>Deep-learning model predicts diabetic retinopathy class/severity and optionally detects or localizes lesions.</w:t>
      </w:r>
    </w:p>
    <w:p>
      <w:pPr>
        <w:pStyle w:val="Heading2"/>
      </w:pPr>
      <w:r>
        <w:t>4. Clinical ML Pipeline</w:t>
      </w:r>
    </w:p>
    <w:p>
      <w:r>
        <w:t>ML model processes patient variables and produces a risk estimate.</w:t>
      </w:r>
    </w:p>
    <w:p>
      <w:pPr>
        <w:pStyle w:val="Heading2"/>
      </w:pPr>
      <w:r>
        <w:t>5. RAG Pipeline</w:t>
      </w:r>
    </w:p>
    <w:p>
      <w:r>
        <w:t>Retriever searches trusted guidelines and literature stored in a vector database.</w:t>
      </w:r>
    </w:p>
    <w:p>
      <w:pPr>
        <w:pStyle w:val="Heading2"/>
      </w:pPr>
      <w:r>
        <w:t>6. Fusion / Reasoning Layer</w:t>
      </w:r>
    </w:p>
    <w:p>
      <w:r>
        <w:t>Combines CV results, ML risk, and retrieved evidence into structured context.</w:t>
      </w:r>
    </w:p>
    <w:p>
      <w:pPr>
        <w:pStyle w:val="Heading2"/>
      </w:pPr>
      <w:r>
        <w:t>7. LLM Explanation Layer</w:t>
      </w:r>
    </w:p>
    <w:p>
      <w:r>
        <w:t>Generates a source-grounded explanation and clearly separates model findings from medical evidence.</w:t>
      </w:r>
    </w:p>
    <w:p>
      <w:pPr>
        <w:pStyle w:val="Heading2"/>
      </w:pPr>
      <w:r>
        <w:t>8. UI / Report Layer</w:t>
      </w:r>
    </w:p>
    <w:p>
      <w:r>
        <w:t>Displays results, confidence, evidence, and visualizations for the clinician.</w:t>
      </w:r>
    </w:p>
    <w:p>
      <w:pPr>
        <w:pStyle w:val="Heading1"/>
      </w:pPr>
      <w:r>
        <w:t>2. Data Flow</w:t>
      </w:r>
    </w:p>
    <w:p>
      <w:pPr>
        <w:pStyle w:val="ListBullet"/>
      </w:pPr>
      <w:r>
        <w:t>Retinal Image → Preprocessing → CNN/ViT → DR Severity / Visual Findings</w:t>
      </w:r>
    </w:p>
    <w:p>
      <w:pPr>
        <w:pStyle w:val="ListBullet"/>
      </w:pPr>
      <w:r>
        <w:t>Patient Data → Cleaning &amp; Feature Engineering → XGBoost/ML Model → Risk Score</w:t>
      </w:r>
    </w:p>
    <w:p>
      <w:pPr>
        <w:pStyle w:val="ListBullet"/>
      </w:pPr>
      <w:r>
        <w:t>Medical Documents → Chunking → Embeddings → Vector DB → Relevant Evidence</w:t>
      </w:r>
    </w:p>
    <w:p>
      <w:pPr>
        <w:pStyle w:val="ListBullet"/>
      </w:pPr>
      <w:r>
        <w:t>CV Output + ML Output + Retrieved Evidence → Fusion Context → LLM</w:t>
      </w:r>
    </w:p>
    <w:p>
      <w:pPr>
        <w:pStyle w:val="ListBullet"/>
      </w:pPr>
      <w:r>
        <w:t>LLM Output → Safety/format checks → Dashboard / Report</w:t>
      </w:r>
    </w:p>
    <w:p>
      <w:pPr>
        <w:pStyle w:val="Heading1"/>
      </w:pPr>
      <w:r>
        <w:t>3. RAG Architecture</w:t>
      </w:r>
    </w:p>
    <w:p>
      <w:pPr>
        <w:pStyle w:val="ListBullet"/>
      </w:pPr>
      <w:r>
        <w:t>Collect trusted sources such as clinical guidelines, peer-reviewed literature, and institutional documentation.</w:t>
      </w:r>
    </w:p>
    <w:p>
      <w:pPr>
        <w:pStyle w:val="ListBullet"/>
      </w:pPr>
      <w:r>
        <w:t>Extract and clean text, then divide it into meaningful chunks.</w:t>
      </w:r>
    </w:p>
    <w:p>
      <w:pPr>
        <w:pStyle w:val="ListBullet"/>
      </w:pPr>
      <w:r>
        <w:t>Generate embeddings for each chunk and store them in a vector database.</w:t>
      </w:r>
    </w:p>
    <w:p>
      <w:pPr>
        <w:pStyle w:val="ListBullet"/>
      </w:pPr>
      <w:r>
        <w:t>For a user query, retrieve the most relevant chunks using semantic similarity.</w:t>
      </w:r>
    </w:p>
    <w:p>
      <w:pPr>
        <w:pStyle w:val="ListBullet"/>
      </w:pPr>
      <w:r>
        <w:t>Pass retrieved evidence plus model outputs to the LLM.</w:t>
      </w:r>
    </w:p>
    <w:p>
      <w:pPr>
        <w:pStyle w:val="ListBullet"/>
      </w:pPr>
      <w:r>
        <w:t>Display source references alongside the generated explanation.</w:t>
      </w:r>
    </w:p>
    <w:p>
      <w:pPr>
        <w:pStyle w:val="Heading1"/>
      </w:pPr>
      <w:r>
        <w:t>4. Recommended Evaluation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t>Module</w:t>
            </w:r>
          </w:p>
        </w:tc>
        <w:tc>
          <w:tcPr>
            <w:tcW w:type="dxa" w:w="2880"/>
            <w:shd w:fill="D9EAF7"/>
          </w:tcPr>
          <w:p>
            <w:r>
              <w:t>Metrics</w:t>
            </w:r>
          </w:p>
        </w:tc>
        <w:tc>
          <w:tcPr>
            <w:tcW w:type="dxa" w:w="2880"/>
            <w:shd w:fill="D9EAF7"/>
          </w:tcPr>
          <w:p>
            <w:r>
              <w:t>Goal</w:t>
            </w:r>
          </w:p>
        </w:tc>
      </w:tr>
      <w:tr>
        <w:tc>
          <w:tcPr>
            <w:tcW w:type="dxa" w:w="2880"/>
          </w:tcPr>
          <w:p>
            <w:r>
              <w:t>Computer Vision</w:t>
            </w:r>
          </w:p>
        </w:tc>
        <w:tc>
          <w:tcPr>
            <w:tcW w:type="dxa" w:w="2880"/>
          </w:tcPr>
          <w:p>
            <w:r>
              <w:t>Accuracy, Precision, Recall, F1, ROC-AUC, Confusion Matrix</w:t>
            </w:r>
          </w:p>
        </w:tc>
        <w:tc>
          <w:tcPr>
            <w:tcW w:type="dxa" w:w="2880"/>
          </w:tcPr>
          <w:p>
            <w:r>
              <w:t>Reliable DR classification</w:t>
            </w:r>
          </w:p>
        </w:tc>
      </w:tr>
      <w:tr>
        <w:tc>
          <w:tcPr>
            <w:tcW w:type="dxa" w:w="2880"/>
          </w:tcPr>
          <w:p>
            <w:r>
              <w:t>Clinical ML</w:t>
            </w:r>
          </w:p>
        </w:tc>
        <w:tc>
          <w:tcPr>
            <w:tcW w:type="dxa" w:w="2880"/>
          </w:tcPr>
          <w:p>
            <w:r>
              <w:t>F1, ROC-AUC, Precision/Recall, Calibration</w:t>
            </w:r>
          </w:p>
        </w:tc>
        <w:tc>
          <w:tcPr>
            <w:tcW w:type="dxa" w:w="2880"/>
          </w:tcPr>
          <w:p>
            <w:r>
              <w:t>Useful risk estimation</w:t>
            </w:r>
          </w:p>
        </w:tc>
      </w:tr>
      <w:tr>
        <w:tc>
          <w:tcPr>
            <w:tcW w:type="dxa" w:w="2880"/>
          </w:tcPr>
          <w:p>
            <w:r>
              <w:t>RAG</w:t>
            </w:r>
          </w:p>
        </w:tc>
        <w:tc>
          <w:tcPr>
            <w:tcW w:type="dxa" w:w="2880"/>
          </w:tcPr>
          <w:p>
            <w:r>
              <w:t>Retrieval Precision/Recall, Faithfulness, Citation correctness</w:t>
            </w:r>
          </w:p>
        </w:tc>
        <w:tc>
          <w:tcPr>
            <w:tcW w:type="dxa" w:w="2880"/>
          </w:tcPr>
          <w:p>
            <w:r>
              <w:t>Relevant and grounded evidence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Groundedness, factuality, human evaluation</w:t>
            </w:r>
          </w:p>
        </w:tc>
        <w:tc>
          <w:tcPr>
            <w:tcW w:type="dxa" w:w="2880"/>
          </w:tcPr>
          <w:p>
            <w:r>
              <w:t>Safe, understandable explanation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