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F492EC" w14:textId="77777777" w:rsidR="00327A80" w:rsidRDefault="00327A80" w:rsidP="00327A80">
      <w:pPr>
        <w:jc w:val="center"/>
        <w:rPr>
          <w:rFonts w:ascii="Times New Roman" w:hAnsi="Times New Roman" w:cs="Times New Roman"/>
          <w:u w:val="single"/>
        </w:rPr>
      </w:pPr>
      <w:bookmarkStart w:id="0" w:name="_GoBack"/>
      <w:bookmarkEnd w:id="0"/>
      <w:r>
        <w:rPr>
          <w:rFonts w:ascii="Times New Roman" w:hAnsi="Times New Roman" w:cs="Times New Roman"/>
          <w:u w:val="single"/>
        </w:rPr>
        <w:t>For p</w:t>
      </w:r>
      <w:r w:rsidRPr="00433C05">
        <w:rPr>
          <w:rFonts w:ascii="Times New Roman" w:hAnsi="Times New Roman" w:cs="Times New Roman"/>
          <w:u w:val="single"/>
        </w:rPr>
        <w:t xml:space="preserve">ublished </w:t>
      </w:r>
      <w:r>
        <w:rPr>
          <w:rFonts w:ascii="Times New Roman" w:hAnsi="Times New Roman" w:cs="Times New Roman"/>
          <w:u w:val="single"/>
        </w:rPr>
        <w:t xml:space="preserve">version </w:t>
      </w:r>
      <w:r w:rsidRPr="00433C05">
        <w:rPr>
          <w:rFonts w:ascii="Times New Roman" w:hAnsi="Times New Roman" w:cs="Times New Roman"/>
          <w:u w:val="single"/>
        </w:rPr>
        <w:t xml:space="preserve">at Journal of Youth and Adolescence: </w:t>
      </w:r>
    </w:p>
    <w:p w14:paraId="5F3A3F35" w14:textId="59684B94" w:rsidR="00327A80" w:rsidRPr="00433C05" w:rsidRDefault="0038522D" w:rsidP="00327A80">
      <w:pPr>
        <w:jc w:val="center"/>
        <w:rPr>
          <w:rFonts w:ascii="Times New Roman" w:hAnsi="Times New Roman" w:cs="Times New Roman"/>
          <w:u w:val="single"/>
        </w:rPr>
      </w:pPr>
      <w:hyperlink r:id="rId9" w:history="1">
        <w:r w:rsidR="00327A80" w:rsidRPr="006C155A">
          <w:rPr>
            <w:rStyle w:val="Hyperlink"/>
            <w:rFonts w:ascii="Times New Roman" w:hAnsi="Times New Roman"/>
            <w:lang w:val="en-US"/>
          </w:rPr>
          <w:t xml:space="preserve"> http://doi.org/</w:t>
        </w:r>
        <w:r w:rsidR="00327A80" w:rsidRPr="006C155A">
          <w:rPr>
            <w:rStyle w:val="Hyperlink"/>
            <w:rFonts w:ascii="Times New Roman" w:hAnsi="Times New Roman" w:cs="Times New Roman"/>
            <w:lang w:val="en-US"/>
          </w:rPr>
          <w:t>10.1007/s10964-015-0386-x</w:t>
        </w:r>
      </w:hyperlink>
      <w:r w:rsidR="00327A80">
        <w:rPr>
          <w:rFonts w:ascii="Times New Roman" w:hAnsi="Times New Roman" w:cs="Times New Roman"/>
          <w:u w:val="single"/>
          <w:lang w:val="en-US"/>
        </w:rPr>
        <w:t xml:space="preserve"> </w:t>
      </w:r>
    </w:p>
    <w:p w14:paraId="5897C95E" w14:textId="77777777" w:rsidR="00327A80" w:rsidRPr="00B97A75" w:rsidRDefault="00327A80" w:rsidP="00327A80">
      <w:pPr>
        <w:jc w:val="center"/>
        <w:rPr>
          <w:rFonts w:ascii="Times New Roman" w:hAnsi="Times New Roman" w:cs="Times New Roman"/>
          <w:b/>
        </w:rPr>
      </w:pPr>
      <w:r w:rsidRPr="00B97A75">
        <w:rPr>
          <w:rFonts w:ascii="Times New Roman" w:hAnsi="Times New Roman" w:cs="Times New Roman"/>
          <w:b/>
        </w:rPr>
        <w:t>Does Living Closer to a University Increase Educational Attainment? A Longitudinal Study of Aspirations, University Entry, and Elite University Enrolment of Australian Youth</w:t>
      </w:r>
    </w:p>
    <w:p w14:paraId="5214F151" w14:textId="77777777" w:rsidR="00327A80" w:rsidRPr="00BD0EC6" w:rsidRDefault="00327A80" w:rsidP="00327A80">
      <w:pPr>
        <w:jc w:val="center"/>
        <w:rPr>
          <w:rFonts w:ascii="Times New Roman" w:hAnsi="Times New Roman" w:cs="Times New Roman"/>
          <w:b/>
        </w:rPr>
      </w:pPr>
    </w:p>
    <w:p w14:paraId="087A85EC" w14:textId="77777777" w:rsidR="00327A80" w:rsidRPr="00BD0EC6" w:rsidRDefault="00327A80" w:rsidP="00327A80">
      <w:pPr>
        <w:jc w:val="center"/>
        <w:rPr>
          <w:rFonts w:ascii="Times New Roman" w:hAnsi="Times New Roman" w:cs="Times New Roman"/>
          <w:vertAlign w:val="superscript"/>
        </w:rPr>
      </w:pPr>
      <w:r w:rsidRPr="00BD0EC6">
        <w:rPr>
          <w:rFonts w:ascii="Times New Roman" w:hAnsi="Times New Roman" w:cs="Times New Roman"/>
        </w:rPr>
        <w:t>Philip D. Parker</w:t>
      </w:r>
      <w:r w:rsidRPr="00BD0EC6">
        <w:rPr>
          <w:rFonts w:ascii="Times New Roman" w:hAnsi="Times New Roman" w:cs="Times New Roman"/>
          <w:vertAlign w:val="superscript"/>
        </w:rPr>
        <w:t>1</w:t>
      </w:r>
      <w:r>
        <w:rPr>
          <w:rFonts w:ascii="Times New Roman" w:hAnsi="Times New Roman" w:cs="Times New Roman"/>
          <w:vertAlign w:val="superscript"/>
        </w:rPr>
        <w:t>*</w:t>
      </w:r>
      <w:r w:rsidRPr="00BD0EC6">
        <w:rPr>
          <w:rFonts w:ascii="Times New Roman" w:hAnsi="Times New Roman" w:cs="Times New Roman"/>
        </w:rPr>
        <w:t>, John Jerrim</w:t>
      </w:r>
      <w:r w:rsidRPr="00BD0EC6">
        <w:rPr>
          <w:rFonts w:ascii="Times New Roman" w:hAnsi="Times New Roman" w:cs="Times New Roman"/>
          <w:vertAlign w:val="superscript"/>
        </w:rPr>
        <w:t>2</w:t>
      </w:r>
      <w:r w:rsidRPr="00BD0EC6">
        <w:rPr>
          <w:rFonts w:ascii="Times New Roman" w:hAnsi="Times New Roman" w:cs="Times New Roman"/>
        </w:rPr>
        <w:t>, Jake Anders</w:t>
      </w:r>
      <w:r w:rsidRPr="00BD0EC6">
        <w:rPr>
          <w:rFonts w:ascii="Times New Roman" w:hAnsi="Times New Roman" w:cs="Times New Roman"/>
          <w:vertAlign w:val="superscript"/>
        </w:rPr>
        <w:t>3</w:t>
      </w:r>
      <w:r w:rsidRPr="00BD0EC6">
        <w:rPr>
          <w:rFonts w:ascii="Times New Roman" w:hAnsi="Times New Roman" w:cs="Times New Roman"/>
        </w:rPr>
        <w:t>, &amp; Thomas Astell-Burt</w:t>
      </w:r>
      <w:r w:rsidRPr="00BD0EC6">
        <w:rPr>
          <w:rFonts w:ascii="Times New Roman" w:hAnsi="Times New Roman" w:cs="Times New Roman"/>
          <w:vertAlign w:val="superscript"/>
        </w:rPr>
        <w:t>4</w:t>
      </w:r>
      <w:proofErr w:type="gramStart"/>
      <w:r>
        <w:rPr>
          <w:rFonts w:ascii="Times New Roman" w:hAnsi="Times New Roman" w:cs="Times New Roman"/>
          <w:vertAlign w:val="superscript"/>
        </w:rPr>
        <w:t>,5</w:t>
      </w:r>
      <w:proofErr w:type="gramEnd"/>
    </w:p>
    <w:p w14:paraId="5F706BE0" w14:textId="77777777" w:rsidR="00327A80" w:rsidRPr="00BD0EC6" w:rsidRDefault="00327A80" w:rsidP="00327A80">
      <w:pPr>
        <w:jc w:val="center"/>
        <w:rPr>
          <w:rFonts w:ascii="Times New Roman" w:hAnsi="Times New Roman" w:cs="Times New Roman"/>
        </w:rPr>
      </w:pPr>
    </w:p>
    <w:p w14:paraId="76E7529A" w14:textId="77777777" w:rsidR="00327A80" w:rsidRPr="00BD0EC6" w:rsidRDefault="00327A80" w:rsidP="00327A80">
      <w:pPr>
        <w:jc w:val="center"/>
        <w:rPr>
          <w:rFonts w:ascii="Times New Roman" w:hAnsi="Times New Roman" w:cs="Times New Roman"/>
        </w:rPr>
      </w:pPr>
      <w:proofErr w:type="gramStart"/>
      <w:r w:rsidRPr="00BD0EC6">
        <w:rPr>
          <w:rFonts w:ascii="Times New Roman" w:hAnsi="Times New Roman" w:cs="Times New Roman"/>
          <w:vertAlign w:val="superscript"/>
        </w:rPr>
        <w:t>1</w:t>
      </w:r>
      <w:r w:rsidRPr="00BD0EC6">
        <w:rPr>
          <w:rFonts w:ascii="Times New Roman" w:hAnsi="Times New Roman" w:cs="Times New Roman"/>
        </w:rPr>
        <w:t>Institute of Positive Psychology and Education, Australian Catholic University</w:t>
      </w:r>
      <w:r>
        <w:rPr>
          <w:rFonts w:ascii="Times New Roman" w:hAnsi="Times New Roman" w:cs="Times New Roman"/>
        </w:rPr>
        <w:t>.</w:t>
      </w:r>
      <w:proofErr w:type="gramEnd"/>
    </w:p>
    <w:p w14:paraId="2358E32B" w14:textId="77777777" w:rsidR="00327A80" w:rsidRPr="00BD0EC6" w:rsidRDefault="00327A80" w:rsidP="00327A80">
      <w:pPr>
        <w:jc w:val="center"/>
        <w:rPr>
          <w:rFonts w:ascii="Times New Roman" w:hAnsi="Times New Roman" w:cs="Times New Roman"/>
        </w:rPr>
      </w:pPr>
      <w:r w:rsidRPr="00BD0EC6">
        <w:rPr>
          <w:rFonts w:ascii="Times New Roman" w:hAnsi="Times New Roman" w:cs="Times New Roman"/>
          <w:vertAlign w:val="superscript"/>
        </w:rPr>
        <w:t>2</w:t>
      </w:r>
      <w:r w:rsidRPr="00BD0EC6">
        <w:rPr>
          <w:rFonts w:ascii="Times New Roman" w:hAnsi="Times New Roman" w:cs="Times New Roman"/>
        </w:rPr>
        <w:t>Institute of Education, University College London</w:t>
      </w:r>
    </w:p>
    <w:p w14:paraId="240FC0F7" w14:textId="77777777" w:rsidR="00327A80" w:rsidRPr="00BD0EC6" w:rsidRDefault="00327A80" w:rsidP="00327A80">
      <w:pPr>
        <w:jc w:val="center"/>
        <w:rPr>
          <w:rFonts w:ascii="Times New Roman" w:hAnsi="Times New Roman" w:cs="Times New Roman"/>
        </w:rPr>
      </w:pPr>
      <w:r w:rsidRPr="00BD0EC6">
        <w:rPr>
          <w:rFonts w:ascii="Times New Roman" w:hAnsi="Times New Roman" w:cs="Times New Roman"/>
          <w:vertAlign w:val="superscript"/>
        </w:rPr>
        <w:t>3</w:t>
      </w:r>
      <w:r>
        <w:rPr>
          <w:rFonts w:ascii="Times New Roman" w:hAnsi="Times New Roman" w:cs="Times New Roman"/>
        </w:rPr>
        <w:t xml:space="preserve">National </w:t>
      </w:r>
      <w:r w:rsidRPr="00BD0EC6">
        <w:rPr>
          <w:rFonts w:ascii="Times New Roman" w:hAnsi="Times New Roman" w:cs="Times New Roman"/>
        </w:rPr>
        <w:t xml:space="preserve">Institute </w:t>
      </w:r>
      <w:r>
        <w:rPr>
          <w:rFonts w:ascii="Times New Roman" w:hAnsi="Times New Roman" w:cs="Times New Roman"/>
        </w:rPr>
        <w:t>of</w:t>
      </w:r>
      <w:r w:rsidRPr="00BD0EC6">
        <w:rPr>
          <w:rFonts w:ascii="Times New Roman" w:hAnsi="Times New Roman" w:cs="Times New Roman"/>
        </w:rPr>
        <w:t xml:space="preserve"> Economic and Social Research</w:t>
      </w:r>
    </w:p>
    <w:p w14:paraId="0B6A7D21" w14:textId="77777777" w:rsidR="00327A80" w:rsidRPr="00BD0EC6" w:rsidRDefault="00327A80" w:rsidP="00327A80">
      <w:pPr>
        <w:jc w:val="center"/>
        <w:rPr>
          <w:rFonts w:ascii="Times New Roman" w:hAnsi="Times New Roman" w:cs="Times New Roman"/>
        </w:rPr>
      </w:pPr>
      <w:r w:rsidRPr="00BD0EC6">
        <w:rPr>
          <w:rFonts w:ascii="Times New Roman" w:hAnsi="Times New Roman" w:cs="Times New Roman"/>
          <w:vertAlign w:val="superscript"/>
        </w:rPr>
        <w:t>4</w:t>
      </w:r>
      <w:r>
        <w:rPr>
          <w:rFonts w:ascii="Times New Roman" w:hAnsi="Times New Roman" w:cs="Times New Roman"/>
        </w:rPr>
        <w:t>School of Health and Society, U</w:t>
      </w:r>
      <w:r w:rsidRPr="00BD0EC6">
        <w:rPr>
          <w:rFonts w:ascii="Times New Roman" w:hAnsi="Times New Roman" w:cs="Times New Roman"/>
        </w:rPr>
        <w:t>niversity of Western Sydney</w:t>
      </w:r>
    </w:p>
    <w:p w14:paraId="0F4F13B6" w14:textId="77777777" w:rsidR="00327A80" w:rsidRPr="00BD0EC6" w:rsidRDefault="00327A80" w:rsidP="00327A80">
      <w:pPr>
        <w:jc w:val="center"/>
        <w:rPr>
          <w:rFonts w:ascii="Times New Roman" w:hAnsi="Times New Roman" w:cs="Times New Roman"/>
        </w:rPr>
      </w:pPr>
      <w:r>
        <w:rPr>
          <w:rFonts w:ascii="Times New Roman" w:hAnsi="Times New Roman" w:cs="Times New Roman"/>
          <w:vertAlign w:val="superscript"/>
        </w:rPr>
        <w:t>5</w:t>
      </w:r>
      <w:r>
        <w:rPr>
          <w:rFonts w:ascii="Times New Roman" w:hAnsi="Times New Roman" w:cs="Times New Roman"/>
        </w:rPr>
        <w:t>School of Geography and Geosciences, University of St Andrews</w:t>
      </w:r>
    </w:p>
    <w:p w14:paraId="67B3F3D9" w14:textId="77777777" w:rsidR="00327A80" w:rsidRPr="00BD0EC6" w:rsidRDefault="00327A80" w:rsidP="00327A80">
      <w:pPr>
        <w:jc w:val="both"/>
        <w:rPr>
          <w:rFonts w:ascii="Times New Roman" w:hAnsi="Times New Roman" w:cs="Times New Roman"/>
        </w:rPr>
      </w:pPr>
    </w:p>
    <w:p w14:paraId="7D9EB7A7" w14:textId="77777777" w:rsidR="00327A80" w:rsidRDefault="00327A80" w:rsidP="00327A80">
      <w:pPr>
        <w:jc w:val="both"/>
        <w:rPr>
          <w:rFonts w:ascii="Times New Roman" w:hAnsi="Times New Roman" w:cs="Times New Roman"/>
        </w:rPr>
      </w:pPr>
      <w:r w:rsidRPr="00B97A75">
        <w:rPr>
          <w:rFonts w:ascii="Times New Roman" w:hAnsi="Times New Roman" w:cs="Times New Roman"/>
        </w:rPr>
        <w:t>Geography remains a critical factor that shapes the development of aspirations, attainment, and choice in young people. We focus on the role of geography on university entry and aspirations due to the increasing requirement in society for a higher education qualification for access to prestigious positions in society. Using a large representative longitudinal database (</w:t>
      </w:r>
      <w:r w:rsidRPr="00B97A75">
        <w:rPr>
          <w:rFonts w:ascii="Times New Roman" w:hAnsi="Times New Roman" w:cs="Times New Roman"/>
          <w:i/>
        </w:rPr>
        <w:t>N</w:t>
      </w:r>
      <w:r w:rsidRPr="00B97A75">
        <w:rPr>
          <w:rFonts w:ascii="Times New Roman" w:hAnsi="Times New Roman" w:cs="Times New Roman"/>
        </w:rPr>
        <w:t xml:space="preserve"> = 11,999; 50% male; 27% provincial or rural; 2% Indigenous) of Australia youth we explore the association between distance to a university campus and the critical attainment outcomes of university entry and enrolment in an elite university as well as critical predictors of these outcomes in access to information resources (i.e., university outreach programs) and university aspirations. In doing so, we provide new insight into distance effects, and the extent that these are due to selection, cost, and community influence. Our findings suggest that distance is significantly associated with both university expectations and entrance, with an especially large impact upon young people from low socioeconomic backgrounds. However, we also find little evidence that distance is related to attending a university led information session. Our conclusion is that distance effects cannot be fully explained by selection in terms of academic achievement and socioeconomic status, and </w:t>
      </w:r>
      <w:proofErr w:type="gramStart"/>
      <w:r w:rsidRPr="00B97A75">
        <w:rPr>
          <w:rFonts w:ascii="Times New Roman" w:hAnsi="Times New Roman" w:cs="Times New Roman"/>
        </w:rPr>
        <w:t>that anticipatory decisions</w:t>
      </w:r>
      <w:proofErr w:type="gramEnd"/>
      <w:r w:rsidRPr="00B97A75">
        <w:rPr>
          <w:rFonts w:ascii="Times New Roman" w:hAnsi="Times New Roman" w:cs="Times New Roman"/>
        </w:rPr>
        <w:t xml:space="preserve"> and costs are the most likely drivers of the distance effect.</w:t>
      </w:r>
    </w:p>
    <w:p w14:paraId="4CF86A1E" w14:textId="77777777" w:rsidR="00327A80" w:rsidRDefault="00327A80" w:rsidP="00327A80">
      <w:pPr>
        <w:jc w:val="both"/>
        <w:rPr>
          <w:rFonts w:ascii="Times New Roman" w:hAnsi="Times New Roman" w:cs="Times New Roman"/>
        </w:rPr>
      </w:pPr>
    </w:p>
    <w:p w14:paraId="710BE2D4" w14:textId="77777777" w:rsidR="00327A80" w:rsidRDefault="00327A80" w:rsidP="00327A80">
      <w:pPr>
        <w:rPr>
          <w:lang w:val="en-US"/>
        </w:rPr>
      </w:pPr>
      <w:r w:rsidRPr="00BF4219">
        <w:rPr>
          <w:rFonts w:ascii="Times" w:hAnsi="Times" w:cs="Times"/>
          <w:b/>
          <w:lang w:val="en-US"/>
        </w:rPr>
        <w:t>Acknowledgements</w:t>
      </w:r>
      <w:r>
        <w:rPr>
          <w:rFonts w:ascii="Times" w:hAnsi="Times" w:cs="Times"/>
          <w:lang w:val="en-US"/>
        </w:rPr>
        <w:t>. This research was partially funded by the Australian Research Council (</w:t>
      </w:r>
      <w:r>
        <w:rPr>
          <w:lang w:val="en-US"/>
        </w:rPr>
        <w:t>DE140100080), the Economic and Social Research Council, and the Jacobs Foundation.</w:t>
      </w:r>
    </w:p>
    <w:p w14:paraId="7009C85D" w14:textId="77777777" w:rsidR="00327A80" w:rsidRDefault="00327A80" w:rsidP="00327A80">
      <w:pPr>
        <w:rPr>
          <w:lang w:val="en-US"/>
        </w:rPr>
      </w:pPr>
    </w:p>
    <w:p w14:paraId="4258809C" w14:textId="77777777" w:rsidR="00327A80" w:rsidRDefault="00327A80" w:rsidP="00327A80">
      <w:pPr>
        <w:rPr>
          <w:lang w:val="en-US"/>
        </w:rPr>
      </w:pPr>
      <w:r w:rsidRPr="009C087C">
        <w:rPr>
          <w:b/>
          <w:lang w:val="en-US"/>
        </w:rPr>
        <w:t>Keywords</w:t>
      </w:r>
      <w:r>
        <w:rPr>
          <w:lang w:val="en-US"/>
        </w:rPr>
        <w:t>: Place Effects, University aspirations, University Entry, Institution choice</w:t>
      </w:r>
    </w:p>
    <w:p w14:paraId="584ABF01" w14:textId="77777777" w:rsidR="00327A80" w:rsidRDefault="00327A80" w:rsidP="00327A80">
      <w:pPr>
        <w:rPr>
          <w:lang w:val="en-US"/>
        </w:rPr>
      </w:pPr>
    </w:p>
    <w:p w14:paraId="468E7D81" w14:textId="77777777" w:rsidR="00327A80" w:rsidRDefault="00327A80" w:rsidP="00327A80">
      <w:r w:rsidRPr="00F32815">
        <w:rPr>
          <w:b/>
          <w:lang w:val="en-US"/>
        </w:rPr>
        <w:t>Paper Website</w:t>
      </w:r>
      <w:r>
        <w:rPr>
          <w:lang w:val="en-US"/>
        </w:rPr>
        <w:t xml:space="preserve">: </w:t>
      </w:r>
      <w:hyperlink r:id="rId10" w:history="1">
        <w:r w:rsidRPr="005C6E42">
          <w:rPr>
            <w:rStyle w:val="Hyperlink"/>
            <w:lang w:val="en-US"/>
          </w:rPr>
          <w:t>https://pdparker.github.io/distancePaper/</w:t>
        </w:r>
      </w:hyperlink>
      <w:r>
        <w:rPr>
          <w:lang w:val="en-US"/>
        </w:rPr>
        <w:t xml:space="preserve"> </w:t>
      </w:r>
    </w:p>
    <w:p w14:paraId="6371862B" w14:textId="77777777" w:rsidR="00327A80" w:rsidRDefault="00327A80" w:rsidP="00327A80">
      <w:pPr>
        <w:rPr>
          <w:lang w:val="en-US"/>
        </w:rPr>
      </w:pPr>
    </w:p>
    <w:p w14:paraId="15350454" w14:textId="77777777" w:rsidR="00327A80" w:rsidRPr="00881B02" w:rsidRDefault="00327A80" w:rsidP="00327A80">
      <w:pPr>
        <w:rPr>
          <w:lang w:val="en-US"/>
        </w:rPr>
      </w:pPr>
      <w:r>
        <w:rPr>
          <w:vertAlign w:val="superscript"/>
          <w:lang w:val="en-US"/>
        </w:rPr>
        <w:t>*</w:t>
      </w:r>
      <w:r w:rsidRPr="00881B02">
        <w:rPr>
          <w:lang w:val="en-US"/>
        </w:rPr>
        <w:t>Corresponding Author</w:t>
      </w:r>
      <w:r>
        <w:rPr>
          <w:lang w:val="en-US"/>
        </w:rPr>
        <w:t xml:space="preserve">: </w:t>
      </w:r>
      <w:r w:rsidRPr="00881B02">
        <w:rPr>
          <w:bCs/>
          <w:lang w:val="en-US"/>
        </w:rPr>
        <w:t>Dr. PHILIP D PARKER</w:t>
      </w:r>
    </w:p>
    <w:p w14:paraId="2DF3C2CA" w14:textId="77777777" w:rsidR="00327A80" w:rsidRPr="00881B02" w:rsidRDefault="00327A80" w:rsidP="00327A80">
      <w:pPr>
        <w:rPr>
          <w:lang w:val="en-US"/>
        </w:rPr>
      </w:pPr>
      <w:r w:rsidRPr="00881B02">
        <w:rPr>
          <w:bCs/>
          <w:lang w:val="en-US"/>
        </w:rPr>
        <w:t>ARC DECRA Fellow | Institute for Positive Psychology and Education</w:t>
      </w:r>
    </w:p>
    <w:p w14:paraId="7B8482AA" w14:textId="77777777" w:rsidR="00327A80" w:rsidRPr="00881B02" w:rsidRDefault="00327A80" w:rsidP="00327A80">
      <w:pPr>
        <w:rPr>
          <w:lang w:val="en-US"/>
        </w:rPr>
      </w:pPr>
      <w:r w:rsidRPr="00881B02">
        <w:rPr>
          <w:bCs/>
          <w:lang w:val="en-US"/>
        </w:rPr>
        <w:t>Faculty of Health Sciences Australian Catholic University</w:t>
      </w:r>
    </w:p>
    <w:p w14:paraId="2595B84F" w14:textId="77777777" w:rsidR="00327A80" w:rsidRPr="00881B02" w:rsidRDefault="00327A80" w:rsidP="00327A80">
      <w:pPr>
        <w:rPr>
          <w:vertAlign w:val="superscript"/>
          <w:lang w:val="en-US"/>
        </w:rPr>
      </w:pPr>
      <w:r w:rsidRPr="00881B02">
        <w:rPr>
          <w:lang w:val="en-US"/>
        </w:rPr>
        <w:t xml:space="preserve"> 25a Barker Road, </w:t>
      </w:r>
      <w:proofErr w:type="spellStart"/>
      <w:r w:rsidRPr="00881B02">
        <w:rPr>
          <w:lang w:val="en-US"/>
        </w:rPr>
        <w:t>Strathfield</w:t>
      </w:r>
      <w:proofErr w:type="spellEnd"/>
      <w:r w:rsidRPr="00881B02">
        <w:rPr>
          <w:lang w:val="en-US"/>
        </w:rPr>
        <w:t xml:space="preserve"> NSW 2135 Locked Bag 2002, </w:t>
      </w:r>
      <w:proofErr w:type="spellStart"/>
      <w:r w:rsidRPr="00881B02">
        <w:rPr>
          <w:lang w:val="en-US"/>
        </w:rPr>
        <w:t>Strathfield</w:t>
      </w:r>
      <w:proofErr w:type="spellEnd"/>
      <w:r w:rsidRPr="00881B02">
        <w:rPr>
          <w:lang w:val="en-US"/>
        </w:rPr>
        <w:t xml:space="preserve"> NSW 2135  </w:t>
      </w:r>
      <w:r w:rsidRPr="00881B02">
        <w:rPr>
          <w:bCs/>
          <w:lang w:val="en-US"/>
        </w:rPr>
        <w:t>E:</w:t>
      </w:r>
      <w:r w:rsidRPr="00881B02">
        <w:rPr>
          <w:lang w:val="en-US"/>
        </w:rPr>
        <w:t> </w:t>
      </w:r>
      <w:hyperlink r:id="rId11" w:history="1">
        <w:r w:rsidRPr="00881B02">
          <w:rPr>
            <w:rStyle w:val="Hyperlink"/>
            <w:lang w:val="en-US"/>
          </w:rPr>
          <w:t>philip.parker@acu.edu.au</w:t>
        </w:r>
      </w:hyperlink>
      <w:r w:rsidRPr="00881B02">
        <w:rPr>
          <w:lang w:val="en-US"/>
        </w:rPr>
        <w:t> </w:t>
      </w:r>
    </w:p>
    <w:p w14:paraId="1004850F" w14:textId="77777777" w:rsidR="00327A80" w:rsidRDefault="00327A80" w:rsidP="0008366A">
      <w:pPr>
        <w:spacing w:line="360" w:lineRule="auto"/>
        <w:jc w:val="center"/>
        <w:rPr>
          <w:rFonts w:ascii="Times New Roman" w:hAnsi="Times New Roman" w:cs="Times New Roman"/>
          <w:b/>
          <w:lang w:val="en-US"/>
        </w:rPr>
      </w:pPr>
      <w:r>
        <w:rPr>
          <w:rFonts w:ascii="Times New Roman" w:hAnsi="Times New Roman" w:cs="Times New Roman"/>
          <w:b/>
          <w:lang w:val="en-US"/>
        </w:rPr>
        <w:br w:type="page"/>
      </w:r>
    </w:p>
    <w:p w14:paraId="323DFAA5" w14:textId="6CBC548D" w:rsidR="0008366A" w:rsidRPr="00905499" w:rsidRDefault="0008366A" w:rsidP="0008366A">
      <w:pPr>
        <w:spacing w:line="360" w:lineRule="auto"/>
        <w:jc w:val="center"/>
        <w:rPr>
          <w:rFonts w:ascii="Times New Roman" w:hAnsi="Times New Roman" w:cs="Times New Roman"/>
          <w:b/>
          <w:lang w:val="en-US"/>
        </w:rPr>
      </w:pPr>
      <w:r w:rsidRPr="00905499">
        <w:rPr>
          <w:rFonts w:ascii="Times New Roman" w:hAnsi="Times New Roman" w:cs="Times New Roman"/>
          <w:b/>
          <w:lang w:val="en-US"/>
        </w:rPr>
        <w:lastRenderedPageBreak/>
        <w:t>Introduction</w:t>
      </w:r>
    </w:p>
    <w:p w14:paraId="18E9356A" w14:textId="3DA96EC7" w:rsidR="00270FA0" w:rsidRPr="00905499" w:rsidRDefault="00865D1F" w:rsidP="008B74D0">
      <w:pPr>
        <w:spacing w:line="360" w:lineRule="auto"/>
        <w:jc w:val="both"/>
        <w:rPr>
          <w:rFonts w:ascii="Times New Roman" w:hAnsi="Times New Roman" w:cs="Times New Roman"/>
          <w:lang w:val="en-US"/>
        </w:rPr>
      </w:pPr>
      <w:r w:rsidRPr="00905499">
        <w:rPr>
          <w:rFonts w:ascii="Times New Roman" w:hAnsi="Times New Roman" w:cs="Times New Roman"/>
          <w:lang w:val="en-US"/>
        </w:rPr>
        <w:t xml:space="preserve">A critical developmental task of adolescence </w:t>
      </w:r>
      <w:r w:rsidR="00975B35" w:rsidRPr="00905499">
        <w:rPr>
          <w:rFonts w:ascii="Times New Roman" w:hAnsi="Times New Roman" w:cs="Times New Roman"/>
          <w:lang w:val="en-US"/>
        </w:rPr>
        <w:t xml:space="preserve">is </w:t>
      </w:r>
      <w:r w:rsidR="008843E6" w:rsidRPr="00905499">
        <w:rPr>
          <w:rFonts w:ascii="Times New Roman" w:hAnsi="Times New Roman" w:cs="Times New Roman"/>
          <w:lang w:val="en-US"/>
        </w:rPr>
        <w:t xml:space="preserve">to </w:t>
      </w:r>
      <w:r w:rsidR="00975B35" w:rsidRPr="00905499">
        <w:rPr>
          <w:rFonts w:ascii="Times New Roman" w:hAnsi="Times New Roman" w:cs="Times New Roman"/>
          <w:lang w:val="en-US"/>
        </w:rPr>
        <w:t>formulate and pursue post high-school educational and career plans (</w:t>
      </w:r>
      <w:r w:rsidR="002C69F9" w:rsidRPr="00905499">
        <w:rPr>
          <w:rFonts w:ascii="Times New Roman" w:hAnsi="Times New Roman" w:cs="Times New Roman"/>
          <w:lang w:val="en-US"/>
        </w:rPr>
        <w:t>Dietrich, Parker, &amp; Salmela-Aro, 2012</w:t>
      </w:r>
      <w:r w:rsidR="00975B35" w:rsidRPr="00905499">
        <w:rPr>
          <w:rFonts w:ascii="Times New Roman" w:hAnsi="Times New Roman" w:cs="Times New Roman"/>
          <w:lang w:val="en-US"/>
        </w:rPr>
        <w:t>;</w:t>
      </w:r>
      <w:r w:rsidR="008830B3" w:rsidRPr="00905499">
        <w:rPr>
          <w:rFonts w:ascii="Times New Roman" w:hAnsi="Times New Roman" w:cs="Times New Roman"/>
          <w:lang w:val="en-US"/>
        </w:rPr>
        <w:t xml:space="preserve"> </w:t>
      </w:r>
      <w:r w:rsidR="006C5C81" w:rsidRPr="00905499">
        <w:rPr>
          <w:rFonts w:ascii="Times New Roman" w:hAnsi="Times New Roman" w:cs="Times New Roman"/>
          <w:lang w:val="en-US"/>
        </w:rPr>
        <w:t xml:space="preserve">Parker, </w:t>
      </w:r>
      <w:r w:rsidR="006C4CA6" w:rsidRPr="00905499">
        <w:rPr>
          <w:rFonts w:ascii="Times New Roman" w:hAnsi="Times New Roman" w:cs="Times New Roman"/>
          <w:lang w:val="en-US"/>
        </w:rPr>
        <w:t>Thoemmes</w:t>
      </w:r>
      <w:r w:rsidR="006C5C81" w:rsidRPr="00905499">
        <w:rPr>
          <w:rFonts w:ascii="Times New Roman" w:hAnsi="Times New Roman" w:cs="Times New Roman"/>
          <w:lang w:val="en-US"/>
        </w:rPr>
        <w:t>,</w:t>
      </w:r>
      <w:r w:rsidR="006C4CA6" w:rsidRPr="00905499">
        <w:rPr>
          <w:rFonts w:ascii="Times New Roman" w:hAnsi="Times New Roman" w:cs="Times New Roman"/>
          <w:lang w:val="en-US"/>
        </w:rPr>
        <w:t xml:space="preserve"> Duinveld, &amp; Salmela-Aro, 2015;</w:t>
      </w:r>
      <w:r w:rsidR="006C5C81" w:rsidRPr="00905499">
        <w:rPr>
          <w:rFonts w:ascii="Times New Roman" w:hAnsi="Times New Roman" w:cs="Times New Roman"/>
          <w:lang w:val="en-US"/>
        </w:rPr>
        <w:t xml:space="preserve"> </w:t>
      </w:r>
      <w:r w:rsidR="00975B35" w:rsidRPr="00905499">
        <w:rPr>
          <w:rFonts w:ascii="Times New Roman" w:hAnsi="Times New Roman" w:cs="Times New Roman"/>
          <w:lang w:val="en-US"/>
        </w:rPr>
        <w:t>Fouad &amp; Bynner, 2008; Hall</w:t>
      </w:r>
      <w:r w:rsidR="000439E3" w:rsidRPr="00905499">
        <w:rPr>
          <w:rFonts w:ascii="Times New Roman" w:hAnsi="Times New Roman" w:cs="Times New Roman"/>
          <w:lang w:val="en-US"/>
        </w:rPr>
        <w:t>, 2004; Savickas &amp; Porfeli, 2011</w:t>
      </w:r>
      <w:r w:rsidR="00975B35" w:rsidRPr="00905499">
        <w:rPr>
          <w:rFonts w:ascii="Times New Roman" w:hAnsi="Times New Roman" w:cs="Times New Roman"/>
          <w:lang w:val="en-US"/>
        </w:rPr>
        <w:t xml:space="preserve">). </w:t>
      </w:r>
      <w:r w:rsidR="002402DD" w:rsidRPr="00905499">
        <w:rPr>
          <w:rFonts w:ascii="Times New Roman" w:hAnsi="Times New Roman" w:cs="Times New Roman"/>
          <w:lang w:val="en-US"/>
        </w:rPr>
        <w:t>I</w:t>
      </w:r>
      <w:r w:rsidR="00975B35" w:rsidRPr="00905499">
        <w:rPr>
          <w:rFonts w:ascii="Times New Roman" w:hAnsi="Times New Roman" w:cs="Times New Roman"/>
          <w:lang w:val="en-US"/>
        </w:rPr>
        <w:t xml:space="preserve">t has </w:t>
      </w:r>
      <w:r w:rsidR="002402DD" w:rsidRPr="00905499">
        <w:rPr>
          <w:rFonts w:ascii="Times New Roman" w:hAnsi="Times New Roman" w:cs="Times New Roman"/>
          <w:lang w:val="en-US"/>
        </w:rPr>
        <w:t xml:space="preserve">increasingly </w:t>
      </w:r>
      <w:r w:rsidR="00975B35" w:rsidRPr="00905499">
        <w:rPr>
          <w:rFonts w:ascii="Times New Roman" w:hAnsi="Times New Roman" w:cs="Times New Roman"/>
          <w:lang w:val="en-US"/>
        </w:rPr>
        <w:t>become the case that young people must formulate their plans in a con</w:t>
      </w:r>
      <w:r w:rsidR="008843E6" w:rsidRPr="00905499">
        <w:rPr>
          <w:rFonts w:ascii="Times New Roman" w:hAnsi="Times New Roman" w:cs="Times New Roman"/>
          <w:lang w:val="en-US"/>
        </w:rPr>
        <w:t>text of qualification expansion</w:t>
      </w:r>
      <w:r w:rsidR="00975B35" w:rsidRPr="00905499">
        <w:rPr>
          <w:rFonts w:ascii="Times New Roman" w:hAnsi="Times New Roman" w:cs="Times New Roman"/>
          <w:lang w:val="en-US"/>
        </w:rPr>
        <w:t xml:space="preserve"> that means </w:t>
      </w:r>
      <w:r w:rsidR="002402DD" w:rsidRPr="00905499">
        <w:rPr>
          <w:rFonts w:ascii="Times New Roman" w:hAnsi="Times New Roman" w:cs="Times New Roman"/>
          <w:lang w:val="en-US"/>
        </w:rPr>
        <w:t>they</w:t>
      </w:r>
      <w:r w:rsidR="00975B35" w:rsidRPr="00905499">
        <w:rPr>
          <w:rFonts w:ascii="Times New Roman" w:hAnsi="Times New Roman" w:cs="Times New Roman"/>
          <w:lang w:val="en-US"/>
        </w:rPr>
        <w:t xml:space="preserve"> require a university level of education </w:t>
      </w:r>
      <w:r w:rsidR="00636D6A" w:rsidRPr="00905499">
        <w:rPr>
          <w:rFonts w:ascii="Times New Roman" w:hAnsi="Times New Roman" w:cs="Times New Roman"/>
          <w:lang w:val="en-US"/>
        </w:rPr>
        <w:t>for access to</w:t>
      </w:r>
      <w:r w:rsidR="00975B35" w:rsidRPr="00905499">
        <w:rPr>
          <w:rFonts w:ascii="Times New Roman" w:hAnsi="Times New Roman" w:cs="Times New Roman"/>
          <w:lang w:val="en-US"/>
        </w:rPr>
        <w:t xml:space="preserve"> many prestigious</w:t>
      </w:r>
      <w:r w:rsidR="008843E6" w:rsidRPr="00905499">
        <w:rPr>
          <w:rFonts w:ascii="Times New Roman" w:hAnsi="Times New Roman" w:cs="Times New Roman"/>
          <w:lang w:val="en-US"/>
        </w:rPr>
        <w:t xml:space="preserve"> positions in society (Fouad &amp; Bynner, 2008)</w:t>
      </w:r>
      <w:r w:rsidR="00975B35" w:rsidRPr="00905499">
        <w:rPr>
          <w:rFonts w:ascii="Times New Roman" w:hAnsi="Times New Roman" w:cs="Times New Roman"/>
          <w:lang w:val="en-US"/>
        </w:rPr>
        <w:t xml:space="preserve">. </w:t>
      </w:r>
      <w:r w:rsidR="002402DD" w:rsidRPr="00905499">
        <w:rPr>
          <w:rFonts w:ascii="Times New Roman" w:hAnsi="Times New Roman" w:cs="Times New Roman"/>
          <w:lang w:val="en-US"/>
        </w:rPr>
        <w:t>H</w:t>
      </w:r>
      <w:r w:rsidR="00975B35" w:rsidRPr="00905499">
        <w:rPr>
          <w:rFonts w:ascii="Times New Roman" w:hAnsi="Times New Roman" w:cs="Times New Roman"/>
          <w:lang w:val="en-US"/>
        </w:rPr>
        <w:t xml:space="preserve">owever, many young people who could attend university do not do so </w:t>
      </w:r>
      <w:r w:rsidR="00270FA0" w:rsidRPr="00905499">
        <w:rPr>
          <w:rFonts w:ascii="Times New Roman" w:hAnsi="Times New Roman" w:cs="Times New Roman"/>
          <w:lang w:val="en-US"/>
        </w:rPr>
        <w:t xml:space="preserve">resulting in </w:t>
      </w:r>
      <w:r w:rsidR="00A67327" w:rsidRPr="00905499">
        <w:rPr>
          <w:rFonts w:ascii="Times New Roman" w:hAnsi="Times New Roman" w:cs="Times New Roman"/>
          <w:lang w:val="en-US"/>
        </w:rPr>
        <w:t>wastage</w:t>
      </w:r>
      <w:r w:rsidR="00270FA0" w:rsidRPr="00905499">
        <w:rPr>
          <w:rFonts w:ascii="Times New Roman" w:hAnsi="Times New Roman" w:cs="Times New Roman"/>
          <w:lang w:val="en-US"/>
        </w:rPr>
        <w:t xml:space="preserve"> of talent and </w:t>
      </w:r>
      <w:r w:rsidR="004A0FFF" w:rsidRPr="00905499">
        <w:rPr>
          <w:rFonts w:ascii="Times New Roman" w:hAnsi="Times New Roman" w:cs="Times New Roman"/>
          <w:lang w:val="en-US"/>
        </w:rPr>
        <w:t>lower</w:t>
      </w:r>
      <w:r w:rsidR="00270FA0" w:rsidRPr="00905499">
        <w:rPr>
          <w:rFonts w:ascii="Times New Roman" w:hAnsi="Times New Roman" w:cs="Times New Roman"/>
          <w:lang w:val="en-US"/>
        </w:rPr>
        <w:t xml:space="preserve"> </w:t>
      </w:r>
      <w:r w:rsidR="008843E6" w:rsidRPr="00905499">
        <w:rPr>
          <w:rFonts w:ascii="Times New Roman" w:hAnsi="Times New Roman" w:cs="Times New Roman"/>
          <w:lang w:val="en-US"/>
        </w:rPr>
        <w:t>status attainment</w:t>
      </w:r>
      <w:r w:rsidR="00270FA0" w:rsidRPr="00905499">
        <w:rPr>
          <w:rFonts w:ascii="Times New Roman" w:hAnsi="Times New Roman" w:cs="Times New Roman"/>
          <w:lang w:val="en-US"/>
        </w:rPr>
        <w:t xml:space="preserve"> (</w:t>
      </w:r>
      <w:r w:rsidR="000617AC" w:rsidRPr="00905499">
        <w:rPr>
          <w:rFonts w:ascii="Times New Roman" w:hAnsi="Times New Roman" w:cs="Times New Roman"/>
          <w:lang w:val="en-US"/>
        </w:rPr>
        <w:t>Dietrich et al., 2012</w:t>
      </w:r>
      <w:r w:rsidR="007C2CE7" w:rsidRPr="00905499">
        <w:rPr>
          <w:rFonts w:ascii="Times New Roman" w:hAnsi="Times New Roman" w:cs="Times New Roman"/>
          <w:lang w:val="en-US"/>
        </w:rPr>
        <w:t xml:space="preserve">; </w:t>
      </w:r>
      <w:r w:rsidR="007C2CE7" w:rsidRPr="00905499">
        <w:rPr>
          <w:rFonts w:ascii="Times New Roman" w:hAnsi="Times New Roman" w:cs="Times New Roman"/>
          <w:sz w:val="23"/>
          <w:szCs w:val="23"/>
          <w:lang w:val="en-US"/>
        </w:rPr>
        <w:t>Côté, 2006</w:t>
      </w:r>
      <w:r w:rsidR="00270FA0" w:rsidRPr="00905499">
        <w:rPr>
          <w:rFonts w:ascii="Times New Roman" w:hAnsi="Times New Roman" w:cs="Times New Roman"/>
          <w:lang w:val="en-US"/>
        </w:rPr>
        <w:t>). Addressing this issue require</w:t>
      </w:r>
      <w:r w:rsidR="00A67327" w:rsidRPr="00905499">
        <w:rPr>
          <w:rFonts w:ascii="Times New Roman" w:hAnsi="Times New Roman" w:cs="Times New Roman"/>
          <w:lang w:val="en-US"/>
        </w:rPr>
        <w:t>s</w:t>
      </w:r>
      <w:r w:rsidR="00270FA0" w:rsidRPr="00905499">
        <w:rPr>
          <w:rFonts w:ascii="Times New Roman" w:hAnsi="Times New Roman" w:cs="Times New Roman"/>
          <w:lang w:val="en-US"/>
        </w:rPr>
        <w:t xml:space="preserve"> a multidisciplinary perspective that combines insights from developmental sciences with knowledge of the contextual influences that impact young peoples</w:t>
      </w:r>
      <w:r w:rsidR="002740FA" w:rsidRPr="00905499">
        <w:rPr>
          <w:rFonts w:ascii="Times New Roman" w:hAnsi="Times New Roman" w:cs="Times New Roman"/>
          <w:lang w:val="en-US"/>
        </w:rPr>
        <w:t>’</w:t>
      </w:r>
      <w:r w:rsidR="00270FA0" w:rsidRPr="00905499">
        <w:rPr>
          <w:rFonts w:ascii="Times New Roman" w:hAnsi="Times New Roman" w:cs="Times New Roman"/>
          <w:lang w:val="en-US"/>
        </w:rPr>
        <w:t xml:space="preserve"> </w:t>
      </w:r>
      <w:r w:rsidR="00636D6A" w:rsidRPr="00905499">
        <w:rPr>
          <w:rFonts w:ascii="Times New Roman" w:hAnsi="Times New Roman" w:cs="Times New Roman"/>
          <w:lang w:val="en-US"/>
        </w:rPr>
        <w:t>post high-school pathways</w:t>
      </w:r>
      <w:r w:rsidR="00270FA0" w:rsidRPr="00905499">
        <w:rPr>
          <w:rFonts w:ascii="Times New Roman" w:hAnsi="Times New Roman" w:cs="Times New Roman"/>
          <w:lang w:val="en-US"/>
        </w:rPr>
        <w:t>.</w:t>
      </w:r>
    </w:p>
    <w:p w14:paraId="5B9E0B82" w14:textId="04A5C2AC" w:rsidR="00975B35" w:rsidRPr="00905499" w:rsidRDefault="00975B35" w:rsidP="00B9043F">
      <w:pPr>
        <w:spacing w:line="360" w:lineRule="auto"/>
        <w:ind w:firstLine="720"/>
        <w:jc w:val="both"/>
        <w:rPr>
          <w:rFonts w:ascii="Times New Roman" w:hAnsi="Times New Roman" w:cs="Times New Roman"/>
          <w:lang w:val="en-US"/>
        </w:rPr>
      </w:pPr>
      <w:r w:rsidRPr="00905499">
        <w:rPr>
          <w:rFonts w:ascii="Times New Roman" w:hAnsi="Times New Roman" w:cs="Times New Roman"/>
          <w:lang w:val="en-US"/>
        </w:rPr>
        <w:t>From a developmental perspective</w:t>
      </w:r>
      <w:r w:rsidR="00A67F87" w:rsidRPr="00905499">
        <w:rPr>
          <w:rFonts w:ascii="Times New Roman" w:hAnsi="Times New Roman" w:cs="Times New Roman"/>
          <w:lang w:val="en-US"/>
        </w:rPr>
        <w:t>,</w:t>
      </w:r>
      <w:r w:rsidRPr="00905499">
        <w:rPr>
          <w:rFonts w:ascii="Times New Roman" w:hAnsi="Times New Roman" w:cs="Times New Roman"/>
          <w:lang w:val="en-US"/>
        </w:rPr>
        <w:t xml:space="preserve"> </w:t>
      </w:r>
      <w:r w:rsidR="00A67F87" w:rsidRPr="00905499">
        <w:rPr>
          <w:rFonts w:ascii="Times New Roman" w:hAnsi="Times New Roman" w:cs="Times New Roman"/>
          <w:lang w:val="en-US"/>
        </w:rPr>
        <w:t>the issue of attainment</w:t>
      </w:r>
      <w:r w:rsidRPr="00905499">
        <w:rPr>
          <w:rFonts w:ascii="Times New Roman" w:hAnsi="Times New Roman" w:cs="Times New Roman"/>
          <w:lang w:val="en-US"/>
        </w:rPr>
        <w:t xml:space="preserve"> begins with the formation of career self-concepts, investigation o</w:t>
      </w:r>
      <w:r w:rsidR="00270FA0" w:rsidRPr="00905499">
        <w:rPr>
          <w:rFonts w:ascii="Times New Roman" w:hAnsi="Times New Roman" w:cs="Times New Roman"/>
          <w:lang w:val="en-US"/>
        </w:rPr>
        <w:t>f</w:t>
      </w:r>
      <w:r w:rsidRPr="00905499">
        <w:rPr>
          <w:rFonts w:ascii="Times New Roman" w:hAnsi="Times New Roman" w:cs="Times New Roman"/>
          <w:lang w:val="en-US"/>
        </w:rPr>
        <w:t xml:space="preserve"> the requirements to enact these self-concepts, and the marshaling o</w:t>
      </w:r>
      <w:r w:rsidR="002740FA" w:rsidRPr="00905499">
        <w:rPr>
          <w:rFonts w:ascii="Times New Roman" w:hAnsi="Times New Roman" w:cs="Times New Roman"/>
          <w:lang w:val="en-US"/>
        </w:rPr>
        <w:t>f</w:t>
      </w:r>
      <w:r w:rsidRPr="00905499">
        <w:rPr>
          <w:rFonts w:ascii="Times New Roman" w:hAnsi="Times New Roman" w:cs="Times New Roman"/>
          <w:lang w:val="en-US"/>
        </w:rPr>
        <w:t xml:space="preserve"> resources to meet associated goals (</w:t>
      </w:r>
      <w:r w:rsidR="008830B3" w:rsidRPr="00905499">
        <w:rPr>
          <w:rFonts w:ascii="Times New Roman" w:hAnsi="Times New Roman" w:cs="Times New Roman"/>
          <w:lang w:val="en-US"/>
        </w:rPr>
        <w:t>Savikas, 200</w:t>
      </w:r>
      <w:r w:rsidR="000329D2" w:rsidRPr="00905499">
        <w:rPr>
          <w:rFonts w:ascii="Times New Roman" w:hAnsi="Times New Roman" w:cs="Times New Roman"/>
          <w:lang w:val="en-US"/>
        </w:rPr>
        <w:t>5</w:t>
      </w:r>
      <w:r w:rsidRPr="00905499">
        <w:rPr>
          <w:rFonts w:ascii="Times New Roman" w:hAnsi="Times New Roman" w:cs="Times New Roman"/>
          <w:lang w:val="en-US"/>
        </w:rPr>
        <w:t xml:space="preserve">). </w:t>
      </w:r>
      <w:r w:rsidR="00B9043F" w:rsidRPr="00905499">
        <w:rPr>
          <w:rFonts w:ascii="Times New Roman" w:hAnsi="Times New Roman" w:cs="Times New Roman"/>
          <w:lang w:val="en-US"/>
        </w:rPr>
        <w:t>D</w:t>
      </w:r>
      <w:r w:rsidRPr="00905499">
        <w:rPr>
          <w:rFonts w:ascii="Times New Roman" w:hAnsi="Times New Roman" w:cs="Times New Roman"/>
          <w:lang w:val="en-US"/>
        </w:rPr>
        <w:t xml:space="preserve">evelopment theory has </w:t>
      </w:r>
      <w:r w:rsidR="004A0FFF" w:rsidRPr="00905499">
        <w:rPr>
          <w:rFonts w:ascii="Times New Roman" w:hAnsi="Times New Roman" w:cs="Times New Roman"/>
          <w:lang w:val="en-US"/>
        </w:rPr>
        <w:t xml:space="preserve">long </w:t>
      </w:r>
      <w:r w:rsidRPr="00905499">
        <w:rPr>
          <w:rFonts w:ascii="Times New Roman" w:hAnsi="Times New Roman" w:cs="Times New Roman"/>
          <w:lang w:val="en-US"/>
        </w:rPr>
        <w:t xml:space="preserve">noted </w:t>
      </w:r>
      <w:r w:rsidR="00270FA0" w:rsidRPr="00905499">
        <w:rPr>
          <w:rFonts w:ascii="Times New Roman" w:hAnsi="Times New Roman" w:cs="Times New Roman"/>
          <w:lang w:val="en-US"/>
        </w:rPr>
        <w:t xml:space="preserve">the need </w:t>
      </w:r>
      <w:r w:rsidR="00636D6A" w:rsidRPr="00905499">
        <w:rPr>
          <w:rFonts w:ascii="Times New Roman" w:hAnsi="Times New Roman" w:cs="Times New Roman"/>
          <w:lang w:val="en-US"/>
        </w:rPr>
        <w:t>to take into account</w:t>
      </w:r>
      <w:r w:rsidR="00270FA0" w:rsidRPr="00905499">
        <w:rPr>
          <w:rFonts w:ascii="Times New Roman" w:hAnsi="Times New Roman" w:cs="Times New Roman"/>
          <w:lang w:val="en-US"/>
        </w:rPr>
        <w:t xml:space="preserve"> </w:t>
      </w:r>
      <w:r w:rsidR="0008474F" w:rsidRPr="00905499">
        <w:rPr>
          <w:rFonts w:ascii="Times New Roman" w:hAnsi="Times New Roman" w:cs="Times New Roman"/>
          <w:lang w:val="en-US"/>
        </w:rPr>
        <w:t>differences in</w:t>
      </w:r>
      <w:r w:rsidR="00270FA0" w:rsidRPr="00905499">
        <w:rPr>
          <w:rFonts w:ascii="Times New Roman" w:hAnsi="Times New Roman" w:cs="Times New Roman"/>
          <w:lang w:val="en-US"/>
        </w:rPr>
        <w:t xml:space="preserve"> </w:t>
      </w:r>
      <w:r w:rsidR="0008474F" w:rsidRPr="00905499">
        <w:rPr>
          <w:rFonts w:ascii="Times New Roman" w:hAnsi="Times New Roman" w:cs="Times New Roman"/>
          <w:lang w:val="en-US"/>
        </w:rPr>
        <w:t>situational affordances and resources available to yo</w:t>
      </w:r>
      <w:r w:rsidR="00636D6A" w:rsidRPr="00905499">
        <w:rPr>
          <w:rFonts w:ascii="Times New Roman" w:hAnsi="Times New Roman" w:cs="Times New Roman"/>
          <w:lang w:val="en-US"/>
        </w:rPr>
        <w:t>ung people from different socio</w:t>
      </w:r>
      <w:r w:rsidR="0008474F" w:rsidRPr="00905499">
        <w:rPr>
          <w:rFonts w:ascii="Times New Roman" w:hAnsi="Times New Roman" w:cs="Times New Roman"/>
          <w:lang w:val="en-US"/>
        </w:rPr>
        <w:t xml:space="preserve">cultural contexts </w:t>
      </w:r>
      <w:r w:rsidRPr="00905499">
        <w:rPr>
          <w:rFonts w:ascii="Times New Roman" w:hAnsi="Times New Roman" w:cs="Times New Roman"/>
          <w:lang w:val="en-US"/>
        </w:rPr>
        <w:t>(</w:t>
      </w:r>
      <w:r w:rsidR="00B9043F" w:rsidRPr="00905499">
        <w:rPr>
          <w:rFonts w:ascii="Times New Roman" w:hAnsi="Times New Roman" w:cs="Times New Roman"/>
          <w:lang w:val="en-US"/>
        </w:rPr>
        <w:t xml:space="preserve">e.g., </w:t>
      </w:r>
      <w:r w:rsidR="00E16904" w:rsidRPr="00905499">
        <w:rPr>
          <w:rFonts w:ascii="Times New Roman" w:hAnsi="Times New Roman" w:cs="Times New Roman"/>
          <w:lang w:val="en-US"/>
        </w:rPr>
        <w:t xml:space="preserve">Bronfenbreener &amp; Evans, 2000; </w:t>
      </w:r>
      <w:r w:rsidR="00636D6A" w:rsidRPr="00905499">
        <w:rPr>
          <w:rFonts w:ascii="Times New Roman" w:hAnsi="Times New Roman" w:cs="Times New Roman"/>
          <w:lang w:val="en-US"/>
        </w:rPr>
        <w:t xml:space="preserve">Elder, 1996; Magnusson &amp; Cairns, 1996; </w:t>
      </w:r>
      <w:r w:rsidR="00B9043F" w:rsidRPr="00905499">
        <w:rPr>
          <w:rFonts w:ascii="Times New Roman" w:hAnsi="Times New Roman" w:cs="Times New Roman"/>
          <w:lang w:val="en-US"/>
        </w:rPr>
        <w:t>Sameroff, 2010</w:t>
      </w:r>
      <w:r w:rsidRPr="00905499">
        <w:rPr>
          <w:rFonts w:ascii="Times New Roman" w:hAnsi="Times New Roman" w:cs="Times New Roman"/>
          <w:lang w:val="en-US"/>
        </w:rPr>
        <w:t xml:space="preserve">). </w:t>
      </w:r>
      <w:r w:rsidR="00B9043F" w:rsidRPr="00905499">
        <w:rPr>
          <w:rFonts w:ascii="Times New Roman" w:hAnsi="Times New Roman" w:cs="Times New Roman"/>
          <w:lang w:val="en-US"/>
        </w:rPr>
        <w:t>For example</w:t>
      </w:r>
      <w:r w:rsidRPr="00905499">
        <w:rPr>
          <w:rFonts w:ascii="Times New Roman" w:hAnsi="Times New Roman" w:cs="Times New Roman"/>
          <w:lang w:val="en-US"/>
        </w:rPr>
        <w:t xml:space="preserve">, </w:t>
      </w:r>
      <w:r w:rsidR="00B9043F" w:rsidRPr="00905499">
        <w:rPr>
          <w:rFonts w:ascii="Times New Roman" w:hAnsi="Times New Roman" w:cs="Times New Roman"/>
          <w:lang w:val="en-US"/>
        </w:rPr>
        <w:t xml:space="preserve">research has noted that </w:t>
      </w:r>
      <w:r w:rsidR="004A0FFF" w:rsidRPr="00905499">
        <w:rPr>
          <w:rFonts w:ascii="Times New Roman" w:hAnsi="Times New Roman" w:cs="Times New Roman"/>
          <w:lang w:val="en-US"/>
        </w:rPr>
        <w:t>both</w:t>
      </w:r>
      <w:r w:rsidR="00B9043F" w:rsidRPr="00905499">
        <w:rPr>
          <w:rFonts w:ascii="Times New Roman" w:hAnsi="Times New Roman" w:cs="Times New Roman"/>
          <w:lang w:val="en-US"/>
        </w:rPr>
        <w:t xml:space="preserve"> aspirations </w:t>
      </w:r>
      <w:r w:rsidR="004A0FFF" w:rsidRPr="00905499">
        <w:rPr>
          <w:rFonts w:ascii="Times New Roman" w:hAnsi="Times New Roman" w:cs="Times New Roman"/>
          <w:lang w:val="en-US"/>
        </w:rPr>
        <w:t xml:space="preserve">and access </w:t>
      </w:r>
      <w:r w:rsidRPr="00905499">
        <w:rPr>
          <w:rFonts w:ascii="Times New Roman" w:hAnsi="Times New Roman" w:cs="Times New Roman"/>
          <w:lang w:val="en-US"/>
        </w:rPr>
        <w:t>to information and availability of career models</w:t>
      </w:r>
      <w:r w:rsidR="004A0FFF" w:rsidRPr="00905499">
        <w:rPr>
          <w:rFonts w:ascii="Times New Roman" w:hAnsi="Times New Roman" w:cs="Times New Roman"/>
          <w:lang w:val="en-US"/>
        </w:rPr>
        <w:t xml:space="preserve"> from which those aspirations develop differ by sociocultural context</w:t>
      </w:r>
      <w:r w:rsidRPr="00905499">
        <w:rPr>
          <w:rFonts w:ascii="Times New Roman" w:hAnsi="Times New Roman" w:cs="Times New Roman"/>
          <w:lang w:val="en-US"/>
        </w:rPr>
        <w:t xml:space="preserve"> (</w:t>
      </w:r>
      <w:r w:rsidR="00B9043F" w:rsidRPr="00905499">
        <w:rPr>
          <w:rFonts w:ascii="Times New Roman" w:hAnsi="Times New Roman" w:cs="Times New Roman"/>
          <w:lang w:val="en-US"/>
        </w:rPr>
        <w:t>Elder &amp; Conger</w:t>
      </w:r>
      <w:r w:rsidR="00E62E07" w:rsidRPr="00905499">
        <w:rPr>
          <w:rFonts w:ascii="Times New Roman" w:hAnsi="Times New Roman" w:cs="Times New Roman"/>
          <w:lang w:val="en-US"/>
        </w:rPr>
        <w:t>, 2000</w:t>
      </w:r>
      <w:r w:rsidR="00B9043F" w:rsidRPr="00905499">
        <w:rPr>
          <w:rFonts w:ascii="Times New Roman" w:hAnsi="Times New Roman" w:cs="Times New Roman"/>
          <w:lang w:val="en-US"/>
        </w:rPr>
        <w:t xml:space="preserve">; Schneider &amp; Stevenson, </w:t>
      </w:r>
      <w:r w:rsidR="00DF2913" w:rsidRPr="00905499">
        <w:rPr>
          <w:rFonts w:ascii="Times New Roman" w:hAnsi="Times New Roman" w:cs="Times New Roman"/>
          <w:lang w:val="en-US"/>
        </w:rPr>
        <w:t>1999</w:t>
      </w:r>
      <w:r w:rsidRPr="00905499">
        <w:rPr>
          <w:rFonts w:ascii="Times New Roman" w:hAnsi="Times New Roman" w:cs="Times New Roman"/>
          <w:lang w:val="en-US"/>
        </w:rPr>
        <w:t xml:space="preserve">). Likewise, noting that </w:t>
      </w:r>
      <w:r w:rsidR="00A67327" w:rsidRPr="00905499">
        <w:rPr>
          <w:rFonts w:ascii="Times New Roman" w:hAnsi="Times New Roman" w:cs="Times New Roman"/>
          <w:lang w:val="en-US"/>
        </w:rPr>
        <w:t>post high-school pathways are</w:t>
      </w:r>
      <w:r w:rsidRPr="00905499">
        <w:rPr>
          <w:rFonts w:ascii="Times New Roman" w:hAnsi="Times New Roman" w:cs="Times New Roman"/>
          <w:lang w:val="en-US"/>
        </w:rPr>
        <w:t xml:space="preserve"> joint project</w:t>
      </w:r>
      <w:r w:rsidR="002740FA" w:rsidRPr="00905499">
        <w:rPr>
          <w:rFonts w:ascii="Times New Roman" w:hAnsi="Times New Roman" w:cs="Times New Roman"/>
          <w:lang w:val="en-US"/>
        </w:rPr>
        <w:t>s</w:t>
      </w:r>
      <w:r w:rsidR="00270FA0" w:rsidRPr="00905499">
        <w:rPr>
          <w:rFonts w:ascii="Times New Roman" w:hAnsi="Times New Roman" w:cs="Times New Roman"/>
          <w:lang w:val="en-US"/>
        </w:rPr>
        <w:t xml:space="preserve"> between young people and important others requires </w:t>
      </w:r>
      <w:r w:rsidR="002740FA" w:rsidRPr="00905499">
        <w:rPr>
          <w:rFonts w:ascii="Times New Roman" w:hAnsi="Times New Roman" w:cs="Times New Roman"/>
          <w:lang w:val="en-US"/>
        </w:rPr>
        <w:t xml:space="preserve">a </w:t>
      </w:r>
      <w:r w:rsidR="00270FA0" w:rsidRPr="00905499">
        <w:rPr>
          <w:rFonts w:ascii="Times New Roman" w:hAnsi="Times New Roman" w:cs="Times New Roman"/>
          <w:lang w:val="en-US"/>
        </w:rPr>
        <w:t>consideration of (</w:t>
      </w:r>
      <w:proofErr w:type="gramStart"/>
      <w:r w:rsidR="00270FA0" w:rsidRPr="00905499">
        <w:rPr>
          <w:rFonts w:ascii="Times New Roman" w:hAnsi="Times New Roman" w:cs="Times New Roman"/>
          <w:lang w:val="en-US"/>
        </w:rPr>
        <w:t>sub)cultural</w:t>
      </w:r>
      <w:proofErr w:type="gramEnd"/>
      <w:r w:rsidR="00270FA0" w:rsidRPr="00905499">
        <w:rPr>
          <w:rFonts w:ascii="Times New Roman" w:hAnsi="Times New Roman" w:cs="Times New Roman"/>
          <w:lang w:val="en-US"/>
        </w:rPr>
        <w:t xml:space="preserve"> differences in the way education is perceived (</w:t>
      </w:r>
      <w:r w:rsidR="00B9043F" w:rsidRPr="00905499">
        <w:rPr>
          <w:rFonts w:ascii="Times New Roman" w:hAnsi="Times New Roman" w:cs="Times New Roman"/>
          <w:lang w:val="en-US"/>
        </w:rPr>
        <w:t>James, 2001; Young, Marshall, Domene et al., 2008; Young, Valach, Ball et al., 2001</w:t>
      </w:r>
      <w:r w:rsidR="00270FA0" w:rsidRPr="00905499">
        <w:rPr>
          <w:rFonts w:ascii="Times New Roman" w:hAnsi="Times New Roman" w:cs="Times New Roman"/>
          <w:lang w:val="en-US"/>
        </w:rPr>
        <w:t xml:space="preserve">). </w:t>
      </w:r>
      <w:r w:rsidR="004A0FFF" w:rsidRPr="00905499">
        <w:rPr>
          <w:rFonts w:ascii="Times New Roman" w:hAnsi="Times New Roman" w:cs="Times New Roman"/>
          <w:lang w:val="en-US"/>
        </w:rPr>
        <w:t>E</w:t>
      </w:r>
      <w:r w:rsidR="00270FA0" w:rsidRPr="00905499">
        <w:rPr>
          <w:rFonts w:ascii="Times New Roman" w:hAnsi="Times New Roman" w:cs="Times New Roman"/>
          <w:lang w:val="en-US"/>
        </w:rPr>
        <w:t xml:space="preserve">ven when young people develop firm aspirations to attend university, </w:t>
      </w:r>
      <w:r w:rsidR="002740FA" w:rsidRPr="00905499">
        <w:rPr>
          <w:rFonts w:ascii="Times New Roman" w:hAnsi="Times New Roman" w:cs="Times New Roman"/>
          <w:lang w:val="en-US"/>
        </w:rPr>
        <w:t xml:space="preserve">those </w:t>
      </w:r>
      <w:r w:rsidR="00270FA0" w:rsidRPr="00905499">
        <w:rPr>
          <w:rFonts w:ascii="Times New Roman" w:hAnsi="Times New Roman" w:cs="Times New Roman"/>
          <w:lang w:val="en-US"/>
        </w:rPr>
        <w:t>from particular contexts may face barriers to</w:t>
      </w:r>
      <w:r w:rsidR="004A727A" w:rsidRPr="00905499">
        <w:rPr>
          <w:rFonts w:ascii="Times New Roman" w:hAnsi="Times New Roman" w:cs="Times New Roman"/>
          <w:lang w:val="en-US"/>
        </w:rPr>
        <w:t xml:space="preserve"> fulfilling these aspirations</w:t>
      </w:r>
      <w:r w:rsidR="00270FA0" w:rsidRPr="00905499">
        <w:rPr>
          <w:rFonts w:ascii="Times New Roman" w:hAnsi="Times New Roman" w:cs="Times New Roman"/>
          <w:lang w:val="en-US"/>
        </w:rPr>
        <w:t>. In the current research</w:t>
      </w:r>
      <w:r w:rsidR="00115F86" w:rsidRPr="00905499">
        <w:rPr>
          <w:rFonts w:ascii="Times New Roman" w:hAnsi="Times New Roman" w:cs="Times New Roman"/>
          <w:lang w:val="en-US"/>
        </w:rPr>
        <w:t>,</w:t>
      </w:r>
      <w:r w:rsidR="00270FA0" w:rsidRPr="00905499">
        <w:rPr>
          <w:rFonts w:ascii="Times New Roman" w:hAnsi="Times New Roman" w:cs="Times New Roman"/>
          <w:lang w:val="en-US"/>
        </w:rPr>
        <w:t xml:space="preserve"> we explore the impact of geography, namely distance to </w:t>
      </w:r>
      <w:r w:rsidR="00621C80" w:rsidRPr="00905499">
        <w:rPr>
          <w:rFonts w:ascii="Times New Roman" w:hAnsi="Times New Roman" w:cs="Times New Roman"/>
          <w:lang w:val="en-US"/>
        </w:rPr>
        <w:t>higher education</w:t>
      </w:r>
      <w:r w:rsidR="00270FA0" w:rsidRPr="00905499">
        <w:rPr>
          <w:rFonts w:ascii="Times New Roman" w:hAnsi="Times New Roman" w:cs="Times New Roman"/>
          <w:lang w:val="en-US"/>
        </w:rPr>
        <w:t xml:space="preserve"> institutions, on access to university information during schooling, the development of aspirations to attend university, and attainment of these goals. </w:t>
      </w:r>
    </w:p>
    <w:p w14:paraId="6989CB87" w14:textId="6651F1B4" w:rsidR="00270FA0" w:rsidRPr="00905499" w:rsidRDefault="00270FA0" w:rsidP="008B74D0">
      <w:pPr>
        <w:spacing w:line="360" w:lineRule="auto"/>
        <w:jc w:val="both"/>
        <w:rPr>
          <w:rFonts w:ascii="Times New Roman" w:hAnsi="Times New Roman" w:cs="Times New Roman"/>
          <w:b/>
          <w:lang w:val="en-US"/>
        </w:rPr>
      </w:pPr>
      <w:r w:rsidRPr="00905499">
        <w:rPr>
          <w:rFonts w:ascii="Times New Roman" w:hAnsi="Times New Roman" w:cs="Times New Roman"/>
          <w:b/>
          <w:lang w:val="en-US"/>
        </w:rPr>
        <w:t>Distance to University</w:t>
      </w:r>
    </w:p>
    <w:p w14:paraId="0B629DCB" w14:textId="4D4773A3" w:rsidR="00F10EE5" w:rsidRPr="00905499" w:rsidRDefault="005464BE" w:rsidP="00270FA0">
      <w:pPr>
        <w:spacing w:line="360" w:lineRule="auto"/>
        <w:ind w:firstLine="720"/>
        <w:jc w:val="both"/>
        <w:rPr>
          <w:rFonts w:ascii="Times New Roman" w:hAnsi="Times New Roman" w:cs="Times New Roman"/>
          <w:lang w:val="en-US"/>
        </w:rPr>
      </w:pPr>
      <w:r w:rsidRPr="00905499">
        <w:rPr>
          <w:rFonts w:ascii="Times New Roman" w:hAnsi="Times New Roman" w:cs="Times New Roman"/>
          <w:lang w:val="en-US"/>
        </w:rPr>
        <w:t>A</w:t>
      </w:r>
      <w:r w:rsidR="003F7827" w:rsidRPr="00905499">
        <w:rPr>
          <w:rFonts w:ascii="Times New Roman" w:hAnsi="Times New Roman" w:cs="Times New Roman"/>
          <w:lang w:val="en-US"/>
        </w:rPr>
        <w:t>ccess</w:t>
      </w:r>
      <w:r w:rsidRPr="00905499">
        <w:rPr>
          <w:rFonts w:ascii="Times New Roman" w:hAnsi="Times New Roman" w:cs="Times New Roman"/>
          <w:lang w:val="en-US"/>
        </w:rPr>
        <w:t xml:space="preserve"> to </w:t>
      </w:r>
      <w:r w:rsidR="00621C80" w:rsidRPr="00905499">
        <w:rPr>
          <w:rFonts w:ascii="Times New Roman" w:hAnsi="Times New Roman" w:cs="Times New Roman"/>
          <w:lang w:val="en-US"/>
        </w:rPr>
        <w:t>higher education</w:t>
      </w:r>
      <w:r w:rsidRPr="00905499">
        <w:rPr>
          <w:rFonts w:ascii="Times New Roman" w:hAnsi="Times New Roman" w:cs="Times New Roman"/>
          <w:lang w:val="en-US"/>
        </w:rPr>
        <w:t xml:space="preserve"> </w:t>
      </w:r>
      <w:r w:rsidR="003F7827" w:rsidRPr="00905499">
        <w:rPr>
          <w:rFonts w:ascii="Times New Roman" w:hAnsi="Times New Roman" w:cs="Times New Roman"/>
          <w:lang w:val="en-US"/>
        </w:rPr>
        <w:t xml:space="preserve">for children growing up in </w:t>
      </w:r>
      <w:r w:rsidRPr="00905499">
        <w:rPr>
          <w:rFonts w:ascii="Times New Roman" w:hAnsi="Times New Roman" w:cs="Times New Roman"/>
          <w:lang w:val="en-US"/>
        </w:rPr>
        <w:t xml:space="preserve">rural or </w:t>
      </w:r>
      <w:r w:rsidR="003F7827" w:rsidRPr="00905499">
        <w:rPr>
          <w:rFonts w:ascii="Times New Roman" w:hAnsi="Times New Roman" w:cs="Times New Roman"/>
          <w:lang w:val="en-US"/>
        </w:rPr>
        <w:t>remote communities</w:t>
      </w:r>
      <w:r w:rsidRPr="00905499">
        <w:rPr>
          <w:rFonts w:ascii="Times New Roman" w:hAnsi="Times New Roman" w:cs="Times New Roman"/>
          <w:lang w:val="en-US"/>
        </w:rPr>
        <w:t xml:space="preserve"> is a critical issue of concern for those interested in </w:t>
      </w:r>
      <w:r w:rsidR="005025D6" w:rsidRPr="00905499">
        <w:rPr>
          <w:rFonts w:ascii="Times New Roman" w:hAnsi="Times New Roman" w:cs="Times New Roman"/>
          <w:lang w:val="en-US"/>
        </w:rPr>
        <w:t xml:space="preserve">the development </w:t>
      </w:r>
      <w:r w:rsidRPr="00905499">
        <w:rPr>
          <w:rFonts w:ascii="Times New Roman" w:hAnsi="Times New Roman" w:cs="Times New Roman"/>
          <w:lang w:val="en-US"/>
        </w:rPr>
        <w:t>educational inequality</w:t>
      </w:r>
      <w:r w:rsidR="003F7827" w:rsidRPr="00905499">
        <w:rPr>
          <w:rFonts w:ascii="Times New Roman" w:hAnsi="Times New Roman" w:cs="Times New Roman"/>
          <w:lang w:val="en-US"/>
        </w:rPr>
        <w:t>.</w:t>
      </w:r>
      <w:r w:rsidR="00766E5E" w:rsidRPr="00905499">
        <w:rPr>
          <w:rFonts w:ascii="Times New Roman" w:hAnsi="Times New Roman" w:cs="Times New Roman"/>
          <w:lang w:val="en-US"/>
        </w:rPr>
        <w:t xml:space="preserve"> </w:t>
      </w:r>
      <w:r w:rsidR="005025D6" w:rsidRPr="00905499">
        <w:rPr>
          <w:rFonts w:ascii="Times New Roman" w:hAnsi="Times New Roman" w:cs="Times New Roman"/>
          <w:lang w:val="en-US"/>
        </w:rPr>
        <w:t>D</w:t>
      </w:r>
      <w:r w:rsidR="001A515A" w:rsidRPr="00905499">
        <w:rPr>
          <w:rFonts w:ascii="Times New Roman" w:hAnsi="Times New Roman" w:cs="Times New Roman"/>
          <w:lang w:val="en-US"/>
        </w:rPr>
        <w:t>espite</w:t>
      </w:r>
      <w:r w:rsidRPr="00905499">
        <w:rPr>
          <w:rFonts w:ascii="Times New Roman" w:hAnsi="Times New Roman" w:cs="Times New Roman"/>
          <w:lang w:val="en-US"/>
        </w:rPr>
        <w:t xml:space="preserve"> advances in technology, a</w:t>
      </w:r>
      <w:r w:rsidR="00766E5E" w:rsidRPr="00905499">
        <w:rPr>
          <w:rFonts w:ascii="Times New Roman" w:hAnsi="Times New Roman" w:cs="Times New Roman"/>
          <w:lang w:val="en-US"/>
        </w:rPr>
        <w:t xml:space="preserve"> </w:t>
      </w:r>
      <w:r w:rsidR="003F7827" w:rsidRPr="00905499">
        <w:rPr>
          <w:rFonts w:ascii="Times New Roman" w:hAnsi="Times New Roman" w:cs="Times New Roman"/>
          <w:lang w:val="en-US"/>
        </w:rPr>
        <w:t>recent report</w:t>
      </w:r>
      <w:r w:rsidR="00766E5E" w:rsidRPr="00905499">
        <w:rPr>
          <w:rFonts w:ascii="Times New Roman" w:hAnsi="Times New Roman" w:cs="Times New Roman"/>
          <w:lang w:val="en-US"/>
        </w:rPr>
        <w:t xml:space="preserve"> </w:t>
      </w:r>
      <w:r w:rsidR="003F7827" w:rsidRPr="00905499">
        <w:rPr>
          <w:rFonts w:ascii="Times New Roman" w:hAnsi="Times New Roman" w:cs="Times New Roman"/>
          <w:lang w:val="en-US"/>
        </w:rPr>
        <w:t xml:space="preserve">suggested </w:t>
      </w:r>
      <w:r w:rsidR="003F7827" w:rsidRPr="00905499">
        <w:rPr>
          <w:rFonts w:ascii="Times New Roman" w:hAnsi="Times New Roman" w:cs="Times New Roman"/>
          <w:lang w:val="en-US"/>
        </w:rPr>
        <w:lastRenderedPageBreak/>
        <w:t xml:space="preserve">educational outcomes among </w:t>
      </w:r>
      <w:r w:rsidR="001A515A" w:rsidRPr="00905499">
        <w:rPr>
          <w:rFonts w:ascii="Times New Roman" w:hAnsi="Times New Roman" w:cs="Times New Roman"/>
          <w:lang w:val="en-US"/>
        </w:rPr>
        <w:t>rural and remote youth</w:t>
      </w:r>
      <w:r w:rsidR="003F7827" w:rsidRPr="00905499">
        <w:rPr>
          <w:rFonts w:ascii="Times New Roman" w:hAnsi="Times New Roman" w:cs="Times New Roman"/>
          <w:lang w:val="en-US"/>
        </w:rPr>
        <w:t xml:space="preserve"> ha</w:t>
      </w:r>
      <w:r w:rsidR="00766E5E" w:rsidRPr="00905499">
        <w:rPr>
          <w:rFonts w:ascii="Times New Roman" w:hAnsi="Times New Roman" w:cs="Times New Roman"/>
          <w:lang w:val="en-US"/>
        </w:rPr>
        <w:t>d</w:t>
      </w:r>
      <w:r w:rsidR="003F7827" w:rsidRPr="00905499">
        <w:rPr>
          <w:rFonts w:ascii="Times New Roman" w:hAnsi="Times New Roman" w:cs="Times New Roman"/>
          <w:lang w:val="en-US"/>
        </w:rPr>
        <w:t xml:space="preserve"> worsened</w:t>
      </w:r>
      <w:r w:rsidR="001A515A" w:rsidRPr="00905499">
        <w:rPr>
          <w:rFonts w:ascii="Times New Roman" w:hAnsi="Times New Roman" w:cs="Times New Roman"/>
          <w:lang w:val="en-US"/>
        </w:rPr>
        <w:t xml:space="preserve"> in recent years</w:t>
      </w:r>
      <w:r w:rsidR="003F7827" w:rsidRPr="00905499">
        <w:rPr>
          <w:rFonts w:ascii="Times New Roman" w:hAnsi="Times New Roman" w:cs="Times New Roman"/>
          <w:lang w:val="en-US"/>
        </w:rPr>
        <w:t>, underlining this issue of inequity in life-chances</w:t>
      </w:r>
      <w:r w:rsidRPr="00905499">
        <w:rPr>
          <w:rFonts w:ascii="Times New Roman" w:hAnsi="Times New Roman" w:cs="Times New Roman"/>
          <w:lang w:val="en-US"/>
        </w:rPr>
        <w:t xml:space="preserve"> (Bradley et al., 2008)</w:t>
      </w:r>
      <w:r w:rsidR="003F7827" w:rsidRPr="00905499">
        <w:rPr>
          <w:rFonts w:ascii="Times New Roman" w:hAnsi="Times New Roman" w:cs="Times New Roman"/>
          <w:lang w:val="en-US"/>
        </w:rPr>
        <w:t xml:space="preserve">. </w:t>
      </w:r>
      <w:r w:rsidR="00C55CCE" w:rsidRPr="00905499">
        <w:rPr>
          <w:rFonts w:ascii="Times New Roman" w:hAnsi="Times New Roman" w:cs="Times New Roman"/>
          <w:lang w:val="en-US"/>
        </w:rPr>
        <w:t xml:space="preserve"> </w:t>
      </w:r>
      <w:r w:rsidR="0071678A" w:rsidRPr="00905499">
        <w:rPr>
          <w:rFonts w:ascii="Times New Roman" w:hAnsi="Times New Roman" w:cs="Times New Roman"/>
          <w:lang w:val="en-US"/>
        </w:rPr>
        <w:t>In the current research</w:t>
      </w:r>
      <w:r w:rsidR="00D621A4" w:rsidRPr="00905499">
        <w:rPr>
          <w:rFonts w:ascii="Times New Roman" w:hAnsi="Times New Roman" w:cs="Times New Roman"/>
          <w:lang w:val="en-US"/>
        </w:rPr>
        <w:t>,</w:t>
      </w:r>
      <w:r w:rsidR="0071678A" w:rsidRPr="00905499">
        <w:rPr>
          <w:rFonts w:ascii="Times New Roman" w:hAnsi="Times New Roman" w:cs="Times New Roman"/>
          <w:lang w:val="en-US"/>
        </w:rPr>
        <w:t xml:space="preserve"> we develop </w:t>
      </w:r>
      <w:r w:rsidR="0043116A" w:rsidRPr="00905499">
        <w:rPr>
          <w:rFonts w:ascii="Times New Roman" w:hAnsi="Times New Roman" w:cs="Times New Roman"/>
          <w:lang w:val="en-US"/>
        </w:rPr>
        <w:t>the work of Denzler and Wolter (2011, p. 3)</w:t>
      </w:r>
      <w:r w:rsidR="001A515A" w:rsidRPr="00905499">
        <w:rPr>
          <w:rFonts w:ascii="Times New Roman" w:hAnsi="Times New Roman" w:cs="Times New Roman"/>
          <w:lang w:val="en-US"/>
        </w:rPr>
        <w:t>, Turley (2009)</w:t>
      </w:r>
      <w:r w:rsidR="0040176E" w:rsidRPr="00905499">
        <w:rPr>
          <w:rFonts w:ascii="Times New Roman" w:hAnsi="Times New Roman" w:cs="Times New Roman"/>
          <w:lang w:val="en-US"/>
        </w:rPr>
        <w:t>,</w:t>
      </w:r>
      <w:r w:rsidR="001A515A" w:rsidRPr="00905499">
        <w:rPr>
          <w:rFonts w:ascii="Times New Roman" w:hAnsi="Times New Roman" w:cs="Times New Roman"/>
          <w:lang w:val="en-US"/>
        </w:rPr>
        <w:t xml:space="preserve"> and Crockett, Shanahan, and Jackson-Newsom (2000) to build a theoretical model of distance effects and test </w:t>
      </w:r>
      <w:r w:rsidR="0071678A" w:rsidRPr="00905499">
        <w:rPr>
          <w:rFonts w:ascii="Times New Roman" w:hAnsi="Times New Roman" w:cs="Times New Roman"/>
          <w:lang w:val="en-US"/>
        </w:rPr>
        <w:t xml:space="preserve">four </w:t>
      </w:r>
      <w:r w:rsidR="001A515A" w:rsidRPr="00905499">
        <w:rPr>
          <w:rFonts w:ascii="Times New Roman" w:hAnsi="Times New Roman" w:cs="Times New Roman"/>
          <w:lang w:val="en-US"/>
        </w:rPr>
        <w:t xml:space="preserve">central </w:t>
      </w:r>
      <w:r w:rsidR="0071678A" w:rsidRPr="00905499">
        <w:rPr>
          <w:rFonts w:ascii="Times New Roman" w:hAnsi="Times New Roman" w:cs="Times New Roman"/>
          <w:lang w:val="en-US"/>
        </w:rPr>
        <w:t xml:space="preserve">hypotheses. The </w:t>
      </w:r>
      <w:r w:rsidR="0071678A" w:rsidRPr="00905499">
        <w:rPr>
          <w:rFonts w:ascii="Times New Roman" w:hAnsi="Times New Roman" w:cs="Times New Roman"/>
          <w:i/>
          <w:lang w:val="en-US"/>
        </w:rPr>
        <w:t>selection hypothesis</w:t>
      </w:r>
      <w:r w:rsidR="0071678A" w:rsidRPr="00905499">
        <w:rPr>
          <w:rFonts w:ascii="Times New Roman" w:hAnsi="Times New Roman" w:cs="Times New Roman"/>
          <w:lang w:val="en-US"/>
        </w:rPr>
        <w:t xml:space="preserve"> suggests that distance effects are not merely socioeconomic selection effects with distance representing a unique </w:t>
      </w:r>
      <w:r w:rsidR="00270FA0" w:rsidRPr="00905499">
        <w:rPr>
          <w:rFonts w:ascii="Times New Roman" w:hAnsi="Times New Roman" w:cs="Times New Roman"/>
          <w:lang w:val="en-US"/>
        </w:rPr>
        <w:t>influence on the development of university aspirations and attainment (</w:t>
      </w:r>
      <w:r w:rsidR="00E541E7" w:rsidRPr="00905499">
        <w:rPr>
          <w:rFonts w:ascii="Times New Roman" w:hAnsi="Times New Roman"/>
          <w:lang w:val="en-US"/>
        </w:rPr>
        <w:t>Elder &amp; Conger, 2000</w:t>
      </w:r>
      <w:r w:rsidR="00BC12C0" w:rsidRPr="00905499">
        <w:rPr>
          <w:rFonts w:ascii="Times New Roman" w:hAnsi="Times New Roman"/>
          <w:lang w:val="en-US"/>
        </w:rPr>
        <w:t>; Petrin, Farmer, Meece, &amp; Byun, 2011</w:t>
      </w:r>
      <w:r w:rsidR="00270FA0" w:rsidRPr="00905499">
        <w:rPr>
          <w:rFonts w:ascii="Times New Roman" w:hAnsi="Times New Roman" w:cs="Times New Roman"/>
          <w:lang w:val="en-US"/>
        </w:rPr>
        <w:t>)</w:t>
      </w:r>
      <w:r w:rsidR="0071678A" w:rsidRPr="00905499">
        <w:rPr>
          <w:rFonts w:ascii="Times New Roman" w:hAnsi="Times New Roman" w:cs="Times New Roman"/>
          <w:lang w:val="en-US"/>
        </w:rPr>
        <w:t xml:space="preserve">. The </w:t>
      </w:r>
      <w:r w:rsidR="0071678A" w:rsidRPr="00905499">
        <w:rPr>
          <w:rFonts w:ascii="Times New Roman" w:hAnsi="Times New Roman" w:cs="Times New Roman"/>
          <w:i/>
          <w:lang w:val="en-US"/>
        </w:rPr>
        <w:t>anticipatory decision hypothesis</w:t>
      </w:r>
      <w:r w:rsidR="0071678A" w:rsidRPr="00905499">
        <w:rPr>
          <w:rFonts w:ascii="Times New Roman" w:hAnsi="Times New Roman" w:cs="Times New Roman"/>
          <w:lang w:val="en-US"/>
        </w:rPr>
        <w:t xml:space="preserve"> suggests that the effects of distance </w:t>
      </w:r>
      <w:r w:rsidR="00E75610" w:rsidRPr="00905499">
        <w:rPr>
          <w:rFonts w:ascii="Times New Roman" w:hAnsi="Times New Roman" w:cs="Times New Roman"/>
          <w:lang w:val="en-US"/>
        </w:rPr>
        <w:t xml:space="preserve">are developmental </w:t>
      </w:r>
      <w:r w:rsidR="00642603" w:rsidRPr="00905499">
        <w:rPr>
          <w:rFonts w:ascii="Times New Roman" w:hAnsi="Times New Roman" w:cs="Times New Roman"/>
          <w:lang w:val="en-US"/>
        </w:rPr>
        <w:t xml:space="preserve">and occur before </w:t>
      </w:r>
      <w:r w:rsidR="008653DB" w:rsidRPr="00905499">
        <w:rPr>
          <w:rFonts w:ascii="Times New Roman" w:hAnsi="Times New Roman" w:cs="Times New Roman"/>
          <w:lang w:val="en-US"/>
        </w:rPr>
        <w:t>issues related to costs</w:t>
      </w:r>
      <w:r w:rsidR="0040176E" w:rsidRPr="00905499">
        <w:rPr>
          <w:rFonts w:ascii="Times New Roman" w:hAnsi="Times New Roman" w:cs="Times New Roman"/>
          <w:lang w:val="en-US"/>
        </w:rPr>
        <w:t xml:space="preserve"> become a barrier</w:t>
      </w:r>
      <w:r w:rsidR="008653DB" w:rsidRPr="00905499">
        <w:rPr>
          <w:rFonts w:ascii="Times New Roman" w:hAnsi="Times New Roman" w:cs="Times New Roman"/>
          <w:lang w:val="en-US"/>
        </w:rPr>
        <w:t xml:space="preserve">. The </w:t>
      </w:r>
      <w:r w:rsidR="008653DB" w:rsidRPr="00905499">
        <w:rPr>
          <w:rFonts w:ascii="Times New Roman" w:hAnsi="Times New Roman" w:cs="Times New Roman"/>
          <w:i/>
          <w:lang w:val="en-US"/>
        </w:rPr>
        <w:t>cost hypothesis</w:t>
      </w:r>
      <w:r w:rsidR="008653DB" w:rsidRPr="00905499">
        <w:rPr>
          <w:rFonts w:ascii="Times New Roman" w:hAnsi="Times New Roman" w:cs="Times New Roman"/>
          <w:lang w:val="en-US"/>
        </w:rPr>
        <w:t xml:space="preserve"> </w:t>
      </w:r>
      <w:r w:rsidR="006B39E0" w:rsidRPr="00905499">
        <w:rPr>
          <w:rFonts w:ascii="Times New Roman" w:hAnsi="Times New Roman" w:cs="Times New Roman"/>
          <w:lang w:val="en-US"/>
        </w:rPr>
        <w:t>suggests that distance may still influence entry to university, even after the formation of university aspirations</w:t>
      </w:r>
      <w:r w:rsidR="008653DB" w:rsidRPr="00905499">
        <w:rPr>
          <w:rFonts w:ascii="Times New Roman" w:hAnsi="Times New Roman" w:cs="Times New Roman"/>
          <w:lang w:val="en-US"/>
        </w:rPr>
        <w:t xml:space="preserve">. Finally, the </w:t>
      </w:r>
      <w:r w:rsidR="008653DB" w:rsidRPr="00905499">
        <w:rPr>
          <w:rFonts w:ascii="Times New Roman" w:hAnsi="Times New Roman" w:cs="Times New Roman"/>
          <w:i/>
          <w:lang w:val="en-US"/>
        </w:rPr>
        <w:t>context resources hypothesis</w:t>
      </w:r>
      <w:r w:rsidR="008653DB" w:rsidRPr="00905499">
        <w:rPr>
          <w:rFonts w:ascii="Times New Roman" w:hAnsi="Times New Roman" w:cs="Times New Roman"/>
          <w:lang w:val="en-US"/>
        </w:rPr>
        <w:t xml:space="preserve"> suggests that part of the effect of distance may be due to </w:t>
      </w:r>
      <w:r w:rsidR="006B39E0" w:rsidRPr="00905499">
        <w:rPr>
          <w:rFonts w:ascii="Times New Roman" w:hAnsi="Times New Roman" w:cs="Times New Roman"/>
          <w:lang w:val="en-US"/>
        </w:rPr>
        <w:t xml:space="preserve">different </w:t>
      </w:r>
      <w:r w:rsidR="008653DB" w:rsidRPr="00905499">
        <w:rPr>
          <w:rFonts w:ascii="Times New Roman" w:hAnsi="Times New Roman" w:cs="Times New Roman"/>
          <w:lang w:val="en-US"/>
        </w:rPr>
        <w:t xml:space="preserve">access to </w:t>
      </w:r>
      <w:r w:rsidR="006B39E0" w:rsidRPr="00905499">
        <w:rPr>
          <w:rFonts w:ascii="Times New Roman" w:hAnsi="Times New Roman" w:cs="Times New Roman"/>
          <w:lang w:val="en-US"/>
        </w:rPr>
        <w:t xml:space="preserve">information </w:t>
      </w:r>
      <w:r w:rsidR="008653DB" w:rsidRPr="00905499">
        <w:rPr>
          <w:rFonts w:ascii="Times New Roman" w:hAnsi="Times New Roman" w:cs="Times New Roman"/>
          <w:lang w:val="en-US"/>
        </w:rPr>
        <w:t>resources</w:t>
      </w:r>
      <w:r w:rsidR="00E92982" w:rsidRPr="00905499">
        <w:rPr>
          <w:rFonts w:ascii="Times New Roman" w:hAnsi="Times New Roman" w:cs="Times New Roman"/>
          <w:lang w:val="en-US"/>
        </w:rPr>
        <w:t xml:space="preserve"> on which young people build their post high-school</w:t>
      </w:r>
      <w:r w:rsidR="006B39E0" w:rsidRPr="00905499">
        <w:rPr>
          <w:rFonts w:ascii="Times New Roman" w:hAnsi="Times New Roman" w:cs="Times New Roman"/>
          <w:lang w:val="en-US"/>
        </w:rPr>
        <w:t xml:space="preserve"> aspirations</w:t>
      </w:r>
      <w:r w:rsidR="008653DB" w:rsidRPr="00905499">
        <w:rPr>
          <w:rFonts w:ascii="Times New Roman" w:hAnsi="Times New Roman" w:cs="Times New Roman"/>
          <w:lang w:val="en-US"/>
        </w:rPr>
        <w:t>.</w:t>
      </w:r>
      <w:r w:rsidR="00F10EE5" w:rsidRPr="00905499">
        <w:rPr>
          <w:rFonts w:ascii="Times New Roman" w:hAnsi="Times New Roman" w:cs="Times New Roman"/>
          <w:lang w:val="en-US"/>
        </w:rPr>
        <w:t xml:space="preserve"> Figure 1 presents these hypotheses in the form of a graphical model.</w:t>
      </w:r>
      <w:r w:rsidR="008653DB" w:rsidRPr="00905499">
        <w:rPr>
          <w:rFonts w:ascii="Times New Roman" w:hAnsi="Times New Roman" w:cs="Times New Roman"/>
          <w:lang w:val="en-US"/>
        </w:rPr>
        <w:t xml:space="preserve"> </w:t>
      </w:r>
      <w:r w:rsidR="0019633B" w:rsidRPr="00905499">
        <w:rPr>
          <w:rFonts w:ascii="Times New Roman" w:hAnsi="Times New Roman" w:cs="Times New Roman"/>
          <w:lang w:val="en-US"/>
        </w:rPr>
        <w:t>Thus the aim of this research is not merely to note the relationship between distance and educational attainment but to begin to evaluate the relative importan</w:t>
      </w:r>
      <w:r w:rsidR="008321A0" w:rsidRPr="00905499">
        <w:rPr>
          <w:rFonts w:ascii="Times New Roman" w:hAnsi="Times New Roman" w:cs="Times New Roman"/>
          <w:lang w:val="en-US"/>
        </w:rPr>
        <w:t xml:space="preserve">ce of various pathways or mechanisms by which distance may have </w:t>
      </w:r>
      <w:r w:rsidR="006B39E0" w:rsidRPr="00905499">
        <w:rPr>
          <w:rFonts w:ascii="Times New Roman" w:hAnsi="Times New Roman" w:cs="Times New Roman"/>
          <w:lang w:val="en-US"/>
        </w:rPr>
        <w:t>their</w:t>
      </w:r>
      <w:r w:rsidR="008321A0" w:rsidRPr="00905499">
        <w:rPr>
          <w:rFonts w:ascii="Times New Roman" w:hAnsi="Times New Roman" w:cs="Times New Roman"/>
          <w:lang w:val="en-US"/>
        </w:rPr>
        <w:t xml:space="preserve"> effect. </w:t>
      </w:r>
      <w:r w:rsidR="004656C5" w:rsidRPr="00905499">
        <w:rPr>
          <w:rFonts w:ascii="Times New Roman" w:hAnsi="Times New Roman" w:cs="Times New Roman"/>
          <w:lang w:val="en-US"/>
        </w:rPr>
        <w:t>In addition, we also consider</w:t>
      </w:r>
      <w:r w:rsidR="0040176E" w:rsidRPr="00905499">
        <w:rPr>
          <w:rFonts w:ascii="Times New Roman" w:hAnsi="Times New Roman" w:cs="Times New Roman"/>
          <w:lang w:val="en-US"/>
        </w:rPr>
        <w:t xml:space="preserve"> </w:t>
      </w:r>
      <w:r w:rsidR="004656C5" w:rsidRPr="00905499">
        <w:rPr>
          <w:rFonts w:ascii="Times New Roman" w:hAnsi="Times New Roman" w:cs="Times New Roman"/>
          <w:lang w:val="en-US"/>
        </w:rPr>
        <w:t xml:space="preserve">whether these hypotheses </w:t>
      </w:r>
      <w:r w:rsidR="00B26BFB" w:rsidRPr="00905499">
        <w:rPr>
          <w:rFonts w:ascii="Times New Roman" w:hAnsi="Times New Roman" w:cs="Times New Roman"/>
          <w:lang w:val="en-US"/>
        </w:rPr>
        <w:t xml:space="preserve">apply </w:t>
      </w:r>
      <w:r w:rsidR="007F4833" w:rsidRPr="00905499">
        <w:rPr>
          <w:rFonts w:ascii="Times New Roman" w:hAnsi="Times New Roman" w:cs="Times New Roman"/>
          <w:lang w:val="en-US"/>
        </w:rPr>
        <w:t xml:space="preserve">not </w:t>
      </w:r>
      <w:r w:rsidR="00B26BFB" w:rsidRPr="00905499">
        <w:rPr>
          <w:rFonts w:ascii="Times New Roman" w:hAnsi="Times New Roman" w:cs="Times New Roman"/>
          <w:lang w:val="en-US"/>
        </w:rPr>
        <w:t xml:space="preserve">only </w:t>
      </w:r>
      <w:r w:rsidR="007F4833" w:rsidRPr="00905499">
        <w:rPr>
          <w:rFonts w:ascii="Times New Roman" w:hAnsi="Times New Roman" w:cs="Times New Roman"/>
          <w:lang w:val="en-US"/>
        </w:rPr>
        <w:t>to</w:t>
      </w:r>
      <w:r w:rsidR="004656C5" w:rsidRPr="00905499">
        <w:rPr>
          <w:rFonts w:ascii="Times New Roman" w:hAnsi="Times New Roman" w:cs="Times New Roman"/>
          <w:lang w:val="en-US"/>
        </w:rPr>
        <w:t xml:space="preserve"> university entry</w:t>
      </w:r>
      <w:r w:rsidR="00B26BFB" w:rsidRPr="00905499">
        <w:rPr>
          <w:rFonts w:ascii="Times New Roman" w:hAnsi="Times New Roman" w:cs="Times New Roman"/>
          <w:lang w:val="en-US"/>
        </w:rPr>
        <w:t>,</w:t>
      </w:r>
      <w:r w:rsidR="004656C5" w:rsidRPr="00905499">
        <w:rPr>
          <w:rFonts w:ascii="Times New Roman" w:hAnsi="Times New Roman" w:cs="Times New Roman"/>
          <w:lang w:val="en-US"/>
        </w:rPr>
        <w:t xml:space="preserve"> </w:t>
      </w:r>
      <w:r w:rsidR="007F4833" w:rsidRPr="00905499">
        <w:rPr>
          <w:rFonts w:ascii="Times New Roman" w:hAnsi="Times New Roman" w:cs="Times New Roman"/>
          <w:lang w:val="en-US"/>
        </w:rPr>
        <w:t>but also institutional choice</w:t>
      </w:r>
      <w:r w:rsidR="00F10EE5" w:rsidRPr="00905499">
        <w:rPr>
          <w:rFonts w:ascii="Times New Roman" w:hAnsi="Times New Roman" w:cs="Times New Roman"/>
          <w:lang w:val="en-US"/>
        </w:rPr>
        <w:t xml:space="preserve">. </w:t>
      </w:r>
    </w:p>
    <w:p w14:paraId="79A9203D" w14:textId="462B8B87" w:rsidR="00282DC3" w:rsidRPr="00905499" w:rsidRDefault="007F4833" w:rsidP="00B9043F">
      <w:pPr>
        <w:spacing w:line="360" w:lineRule="auto"/>
        <w:ind w:firstLine="720"/>
        <w:jc w:val="both"/>
        <w:rPr>
          <w:rFonts w:ascii="Times New Roman" w:hAnsi="Times New Roman" w:cs="Times New Roman"/>
          <w:lang w:val="en-US"/>
        </w:rPr>
      </w:pPr>
      <w:r w:rsidRPr="00905499">
        <w:rPr>
          <w:rFonts w:ascii="Times New Roman" w:hAnsi="Times New Roman" w:cs="Times New Roman"/>
          <w:lang w:val="en-US"/>
        </w:rPr>
        <w:t>Research dating back to the 197</w:t>
      </w:r>
      <w:r w:rsidR="00104F8D" w:rsidRPr="00905499">
        <w:rPr>
          <w:rFonts w:ascii="Times New Roman" w:hAnsi="Times New Roman" w:cs="Times New Roman"/>
          <w:lang w:val="en-US"/>
        </w:rPr>
        <w:t>0s has considered the effect of distance from amenities and services on educational attainment (e.g.</w:t>
      </w:r>
      <w:r w:rsidR="00D621A4" w:rsidRPr="00905499">
        <w:rPr>
          <w:rFonts w:ascii="Times New Roman" w:hAnsi="Times New Roman" w:cs="Times New Roman"/>
          <w:lang w:val="en-US"/>
        </w:rPr>
        <w:t>,</w:t>
      </w:r>
      <w:r w:rsidR="00104F8D" w:rsidRPr="00905499">
        <w:rPr>
          <w:rFonts w:ascii="Times New Roman" w:hAnsi="Times New Roman" w:cs="Times New Roman"/>
          <w:lang w:val="en-US"/>
        </w:rPr>
        <w:t xml:space="preserve"> Tinto, 1973). </w:t>
      </w:r>
      <w:r w:rsidRPr="00905499">
        <w:rPr>
          <w:rFonts w:ascii="Times New Roman" w:hAnsi="Times New Roman" w:cs="Times New Roman"/>
          <w:lang w:val="en-US"/>
        </w:rPr>
        <w:t>Utilizing</w:t>
      </w:r>
      <w:r w:rsidR="005464BE" w:rsidRPr="00905499">
        <w:rPr>
          <w:rFonts w:ascii="Times New Roman" w:hAnsi="Times New Roman" w:cs="Times New Roman"/>
          <w:lang w:val="en-US"/>
        </w:rPr>
        <w:t xml:space="preserve"> a large longitudinal database and unique aspects of the Australian context, o</w:t>
      </w:r>
      <w:r w:rsidR="0043116A" w:rsidRPr="00905499">
        <w:rPr>
          <w:rFonts w:ascii="Times New Roman" w:hAnsi="Times New Roman" w:cs="Times New Roman"/>
          <w:lang w:val="en-US"/>
        </w:rPr>
        <w:t xml:space="preserve">ur research </w:t>
      </w:r>
      <w:r w:rsidR="00104F8D" w:rsidRPr="00905499">
        <w:rPr>
          <w:rFonts w:ascii="Times New Roman" w:hAnsi="Times New Roman" w:cs="Times New Roman"/>
          <w:lang w:val="en-US"/>
        </w:rPr>
        <w:t>build</w:t>
      </w:r>
      <w:r w:rsidR="005464BE" w:rsidRPr="00905499">
        <w:rPr>
          <w:rFonts w:ascii="Times New Roman" w:hAnsi="Times New Roman" w:cs="Times New Roman"/>
          <w:lang w:val="en-US"/>
        </w:rPr>
        <w:t>s</w:t>
      </w:r>
      <w:r w:rsidR="00104F8D" w:rsidRPr="00905499">
        <w:rPr>
          <w:rFonts w:ascii="Times New Roman" w:hAnsi="Times New Roman" w:cs="Times New Roman"/>
          <w:lang w:val="en-US"/>
        </w:rPr>
        <w:t xml:space="preserve"> on this past research</w:t>
      </w:r>
      <w:r w:rsidR="005464BE" w:rsidRPr="00905499">
        <w:rPr>
          <w:rFonts w:ascii="Times New Roman" w:hAnsi="Times New Roman" w:cs="Times New Roman"/>
          <w:lang w:val="en-US"/>
        </w:rPr>
        <w:t xml:space="preserve"> in several important ways</w:t>
      </w:r>
      <w:r w:rsidR="0043116A" w:rsidRPr="00905499">
        <w:rPr>
          <w:rFonts w:ascii="Times New Roman" w:hAnsi="Times New Roman" w:cs="Times New Roman"/>
          <w:lang w:val="en-US"/>
        </w:rPr>
        <w:t xml:space="preserve">. </w:t>
      </w:r>
      <w:r w:rsidR="00707314" w:rsidRPr="00905499">
        <w:rPr>
          <w:rFonts w:ascii="Times New Roman" w:hAnsi="Times New Roman" w:cs="Times New Roman"/>
          <w:lang w:val="en-US"/>
        </w:rPr>
        <w:t>R</w:t>
      </w:r>
      <w:r w:rsidR="0043116A" w:rsidRPr="00905499">
        <w:rPr>
          <w:rFonts w:ascii="Times New Roman" w:hAnsi="Times New Roman" w:cs="Times New Roman"/>
          <w:lang w:val="en-US"/>
        </w:rPr>
        <w:t>esearch in this area has almost exclusively been conducted in the United Kingdom or United States</w:t>
      </w:r>
      <w:r w:rsidR="00331C76" w:rsidRPr="00905499">
        <w:rPr>
          <w:rFonts w:ascii="Times New Roman" w:hAnsi="Times New Roman" w:cs="Times New Roman"/>
          <w:lang w:val="en-US"/>
        </w:rPr>
        <w:t xml:space="preserve"> (as such most of the cited research </w:t>
      </w:r>
      <w:r w:rsidRPr="00905499">
        <w:rPr>
          <w:rFonts w:ascii="Times New Roman" w:hAnsi="Times New Roman" w:cs="Times New Roman"/>
          <w:lang w:val="en-US"/>
        </w:rPr>
        <w:t xml:space="preserve">below </w:t>
      </w:r>
      <w:r w:rsidR="00331C76" w:rsidRPr="00905499">
        <w:rPr>
          <w:rFonts w:ascii="Times New Roman" w:hAnsi="Times New Roman" w:cs="Times New Roman"/>
          <w:lang w:val="en-US"/>
        </w:rPr>
        <w:t>is from these countries)</w:t>
      </w:r>
      <w:r w:rsidR="001F2CD8" w:rsidRPr="00905499">
        <w:rPr>
          <w:rFonts w:ascii="Times New Roman" w:hAnsi="Times New Roman" w:cs="Times New Roman"/>
          <w:lang w:val="en-US"/>
        </w:rPr>
        <w:t xml:space="preserve">. </w:t>
      </w:r>
      <w:r w:rsidR="0043116A" w:rsidRPr="00905499">
        <w:rPr>
          <w:rFonts w:ascii="Times New Roman" w:hAnsi="Times New Roman" w:cs="Times New Roman"/>
          <w:lang w:val="en-US"/>
        </w:rPr>
        <w:t xml:space="preserve">Despite being a geographically large country, with a rather different higher education system, there is surprisingly little research on how distance affects university outcomes in Australia. Yet, given its low population density and clustering of universities within a few particular areas, Australia provides an ideal context in which the effect of distance on educational outcomes can be explored. In addition, the Australian system implicitly “controls” for several possible factors that may explain the role of distance present in previous research (conducted within the United States). For example, at the time of writing, university position assignment and fee structure were centrally regulated, </w:t>
      </w:r>
      <w:r w:rsidR="0043116A" w:rsidRPr="00905499">
        <w:rPr>
          <w:rFonts w:ascii="Times New Roman" w:hAnsi="Times New Roman" w:cs="Times New Roman"/>
          <w:lang w:val="en-US"/>
        </w:rPr>
        <w:lastRenderedPageBreak/>
        <w:t>consistent across universities and were largely covered by government low interest loans with conditional repayments determined by wage (</w:t>
      </w:r>
      <w:r w:rsidR="00E75A48" w:rsidRPr="00905499">
        <w:rPr>
          <w:rFonts w:ascii="Times New Roman" w:hAnsi="Times New Roman" w:cs="Times New Roman"/>
          <w:lang w:val="en-US"/>
        </w:rPr>
        <w:t>Jerrim, Chmielewski, &amp; Parker, in press</w:t>
      </w:r>
      <w:r w:rsidR="0043116A" w:rsidRPr="00905499">
        <w:rPr>
          <w:rFonts w:ascii="Times New Roman" w:hAnsi="Times New Roman" w:cs="Times New Roman"/>
          <w:lang w:val="en-US"/>
        </w:rPr>
        <w:t>). As such direct costs associated with degrees likely play a smaller role in Australia, particularly when it comes to institution choice. This is clearly a rather different situation than the U</w:t>
      </w:r>
      <w:r w:rsidR="008A44BC">
        <w:rPr>
          <w:rFonts w:ascii="Times New Roman" w:hAnsi="Times New Roman" w:cs="Times New Roman"/>
          <w:lang w:val="en-US"/>
        </w:rPr>
        <w:t>.</w:t>
      </w:r>
      <w:r w:rsidR="0043116A" w:rsidRPr="00905499">
        <w:rPr>
          <w:rFonts w:ascii="Times New Roman" w:hAnsi="Times New Roman" w:cs="Times New Roman"/>
          <w:lang w:val="en-US"/>
        </w:rPr>
        <w:t>S.</w:t>
      </w:r>
    </w:p>
    <w:p w14:paraId="23F60C83" w14:textId="40541407" w:rsidR="00F82EF3" w:rsidRPr="00905499" w:rsidRDefault="00F10EE5" w:rsidP="008B74D0">
      <w:pPr>
        <w:spacing w:line="360" w:lineRule="auto"/>
        <w:jc w:val="both"/>
        <w:rPr>
          <w:rFonts w:ascii="Times New Roman" w:hAnsi="Times New Roman" w:cs="Times New Roman"/>
          <w:b/>
          <w:lang w:val="en-US"/>
        </w:rPr>
      </w:pPr>
      <w:r w:rsidRPr="00905499">
        <w:rPr>
          <w:rFonts w:ascii="Times New Roman" w:hAnsi="Times New Roman" w:cs="Times New Roman"/>
          <w:b/>
          <w:lang w:val="en-US"/>
        </w:rPr>
        <w:t>Selection Hypothesis</w:t>
      </w:r>
      <w:r w:rsidR="006C12E8" w:rsidRPr="00905499">
        <w:rPr>
          <w:rFonts w:ascii="Times New Roman" w:hAnsi="Times New Roman" w:cs="Times New Roman"/>
          <w:b/>
          <w:lang w:val="en-US"/>
        </w:rPr>
        <w:t xml:space="preserve"> </w:t>
      </w:r>
    </w:p>
    <w:p w14:paraId="79A601AC" w14:textId="13284952" w:rsidR="00A653FA" w:rsidRPr="00905499" w:rsidRDefault="004905FC" w:rsidP="004905FC">
      <w:pPr>
        <w:spacing w:line="360" w:lineRule="auto"/>
        <w:ind w:firstLine="720"/>
        <w:jc w:val="both"/>
        <w:rPr>
          <w:rFonts w:ascii="Times New Roman" w:hAnsi="Times New Roman" w:cs="Times New Roman"/>
          <w:lang w:val="en-US"/>
        </w:rPr>
      </w:pPr>
      <w:r w:rsidRPr="00905499">
        <w:rPr>
          <w:rFonts w:ascii="Times New Roman" w:hAnsi="Times New Roman" w:cs="Times New Roman"/>
          <w:lang w:val="en-US"/>
        </w:rPr>
        <w:t>While there is a long history of research on the effects of distance on university entry, there are concerns that this may actually represent “selection effects”. Put simply, there may</w:t>
      </w:r>
      <w:r w:rsidR="00F53CAF" w:rsidRPr="00905499">
        <w:rPr>
          <w:rFonts w:ascii="Times New Roman" w:hAnsi="Times New Roman" w:cs="Times New Roman"/>
          <w:lang w:val="en-US"/>
        </w:rPr>
        <w:t xml:space="preserve"> </w:t>
      </w:r>
      <w:r w:rsidRPr="00905499">
        <w:rPr>
          <w:rFonts w:ascii="Times New Roman" w:hAnsi="Times New Roman" w:cs="Times New Roman"/>
          <w:lang w:val="en-US"/>
        </w:rPr>
        <w:t xml:space="preserve">be a tendency for </w:t>
      </w:r>
      <w:r w:rsidR="007F17D8" w:rsidRPr="00905499">
        <w:rPr>
          <w:rFonts w:ascii="Times New Roman" w:hAnsi="Times New Roman" w:cs="Times New Roman"/>
          <w:lang w:val="en-US"/>
        </w:rPr>
        <w:t>low-income</w:t>
      </w:r>
      <w:r w:rsidR="00CA7AB4" w:rsidRPr="00905499">
        <w:rPr>
          <w:rFonts w:ascii="Times New Roman" w:hAnsi="Times New Roman" w:cs="Times New Roman"/>
          <w:lang w:val="en-US"/>
        </w:rPr>
        <w:t xml:space="preserve"> families</w:t>
      </w:r>
      <w:r w:rsidRPr="00905499">
        <w:rPr>
          <w:rFonts w:ascii="Times New Roman" w:hAnsi="Times New Roman" w:cs="Times New Roman"/>
          <w:lang w:val="en-US"/>
        </w:rPr>
        <w:t xml:space="preserve"> to select themselves into areas with limited access to university campuses because, for example, housing may be </w:t>
      </w:r>
      <w:r w:rsidR="00F53CAF" w:rsidRPr="00905499">
        <w:rPr>
          <w:rFonts w:ascii="Times New Roman" w:hAnsi="Times New Roman" w:cs="Times New Roman"/>
          <w:lang w:val="en-US"/>
        </w:rPr>
        <w:t>more affordable</w:t>
      </w:r>
      <w:r w:rsidRPr="00905499">
        <w:rPr>
          <w:rFonts w:ascii="Times New Roman" w:hAnsi="Times New Roman" w:cs="Times New Roman"/>
          <w:lang w:val="en-US"/>
        </w:rPr>
        <w:t xml:space="preserve">. </w:t>
      </w:r>
      <w:r w:rsidR="00A653FA" w:rsidRPr="00905499">
        <w:rPr>
          <w:rFonts w:ascii="Times New Roman" w:hAnsi="Times New Roman" w:cs="Times New Roman"/>
          <w:lang w:val="en-US"/>
        </w:rPr>
        <w:t xml:space="preserve">It is </w:t>
      </w:r>
      <w:r w:rsidR="00AA32F8" w:rsidRPr="00905499">
        <w:rPr>
          <w:rFonts w:ascii="Times New Roman" w:hAnsi="Times New Roman" w:cs="Times New Roman"/>
          <w:lang w:val="en-US"/>
        </w:rPr>
        <w:t xml:space="preserve">now well established </w:t>
      </w:r>
      <w:r w:rsidR="00A653FA" w:rsidRPr="00905499">
        <w:rPr>
          <w:rFonts w:ascii="Times New Roman" w:hAnsi="Times New Roman" w:cs="Times New Roman"/>
          <w:lang w:val="en-US"/>
        </w:rPr>
        <w:t>that socioeconomic background is a key driving force in post</w:t>
      </w:r>
      <w:r w:rsidR="004F174E" w:rsidRPr="00905499">
        <w:rPr>
          <w:rFonts w:ascii="Times New Roman" w:hAnsi="Times New Roman" w:cs="Times New Roman"/>
          <w:lang w:val="en-US"/>
        </w:rPr>
        <w:t>-</w:t>
      </w:r>
      <w:r w:rsidR="00A653FA" w:rsidRPr="00905499">
        <w:rPr>
          <w:rFonts w:ascii="Times New Roman" w:hAnsi="Times New Roman" w:cs="Times New Roman"/>
          <w:lang w:val="en-US"/>
        </w:rPr>
        <w:t>secondary outcomes. Boudon (1974) suggest</w:t>
      </w:r>
      <w:r w:rsidR="00AA32F8" w:rsidRPr="00905499">
        <w:rPr>
          <w:rFonts w:ascii="Times New Roman" w:hAnsi="Times New Roman" w:cs="Times New Roman"/>
          <w:lang w:val="en-US"/>
        </w:rPr>
        <w:t>ed</w:t>
      </w:r>
      <w:r w:rsidR="00A653FA" w:rsidRPr="00905499">
        <w:rPr>
          <w:rFonts w:ascii="Times New Roman" w:hAnsi="Times New Roman" w:cs="Times New Roman"/>
          <w:lang w:val="en-US"/>
        </w:rPr>
        <w:t xml:space="preserve"> that social class </w:t>
      </w:r>
      <w:r w:rsidR="00AA32F8" w:rsidRPr="00905499">
        <w:rPr>
          <w:rFonts w:ascii="Times New Roman" w:hAnsi="Times New Roman" w:cs="Times New Roman"/>
          <w:lang w:val="en-US"/>
        </w:rPr>
        <w:t>is the primary driver of educational inequality and effects</w:t>
      </w:r>
      <w:r w:rsidR="00A653FA" w:rsidRPr="00905499">
        <w:rPr>
          <w:rFonts w:ascii="Times New Roman" w:hAnsi="Times New Roman" w:cs="Times New Roman"/>
          <w:lang w:val="en-US"/>
        </w:rPr>
        <w:t xml:space="preserve"> educational </w:t>
      </w:r>
      <w:r w:rsidR="00AA32F8" w:rsidRPr="00905499">
        <w:rPr>
          <w:rFonts w:ascii="Times New Roman" w:hAnsi="Times New Roman" w:cs="Times New Roman"/>
          <w:lang w:val="en-US"/>
        </w:rPr>
        <w:t xml:space="preserve">and occupational </w:t>
      </w:r>
      <w:r w:rsidR="00A653FA" w:rsidRPr="00905499">
        <w:rPr>
          <w:rFonts w:ascii="Times New Roman" w:hAnsi="Times New Roman" w:cs="Times New Roman"/>
          <w:lang w:val="en-US"/>
        </w:rPr>
        <w:t xml:space="preserve">outcomes via achievement differentials and systematic differences in rational choice behaviors and cultural influences (see below; Jackson et al., 2007; </w:t>
      </w:r>
      <w:r w:rsidR="00E06D1F" w:rsidRPr="00905499">
        <w:rPr>
          <w:rFonts w:ascii="Times New Roman" w:hAnsi="Times New Roman" w:cs="Times New Roman"/>
          <w:lang w:val="en-US"/>
        </w:rPr>
        <w:t>Parker, Bodkin-Andrews, Marsh, Jerrim, &amp; Schoon, in press</w:t>
      </w:r>
      <w:r w:rsidR="00A653FA" w:rsidRPr="00905499">
        <w:rPr>
          <w:rFonts w:ascii="Times New Roman" w:hAnsi="Times New Roman" w:cs="Times New Roman"/>
          <w:lang w:val="en-US"/>
        </w:rPr>
        <w:t xml:space="preserve">). </w:t>
      </w:r>
      <w:r w:rsidR="00AA32F8" w:rsidRPr="00905499">
        <w:rPr>
          <w:rFonts w:ascii="Times New Roman" w:hAnsi="Times New Roman" w:cs="Times New Roman"/>
          <w:lang w:val="en-US"/>
        </w:rPr>
        <w:t xml:space="preserve">The Wisconsin model of status attainment likewise </w:t>
      </w:r>
      <w:r w:rsidR="00A653FA" w:rsidRPr="00905499">
        <w:rPr>
          <w:rFonts w:ascii="Times New Roman" w:hAnsi="Times New Roman" w:cs="Times New Roman"/>
          <w:lang w:val="en-US"/>
        </w:rPr>
        <w:t>viewed educational attainment ultimately as a cause of innate ability and socioeconomic status</w:t>
      </w:r>
      <w:r w:rsidR="00405F2A">
        <w:rPr>
          <w:rFonts w:ascii="Times New Roman" w:hAnsi="Times New Roman" w:cs="Times New Roman"/>
          <w:lang w:val="en-US"/>
        </w:rPr>
        <w:t xml:space="preserve">, </w:t>
      </w:r>
      <w:r w:rsidR="00A653FA" w:rsidRPr="00905499">
        <w:rPr>
          <w:rFonts w:ascii="Times New Roman" w:hAnsi="Times New Roman" w:cs="Times New Roman"/>
          <w:lang w:val="en-US"/>
        </w:rPr>
        <w:t>which ha</w:t>
      </w:r>
      <w:r w:rsidR="007F4833" w:rsidRPr="00905499">
        <w:rPr>
          <w:rFonts w:ascii="Times New Roman" w:hAnsi="Times New Roman" w:cs="Times New Roman"/>
          <w:lang w:val="en-US"/>
        </w:rPr>
        <w:t>s</w:t>
      </w:r>
      <w:r w:rsidR="00A653FA" w:rsidRPr="00905499">
        <w:rPr>
          <w:rFonts w:ascii="Times New Roman" w:hAnsi="Times New Roman" w:cs="Times New Roman"/>
          <w:lang w:val="en-US"/>
        </w:rPr>
        <w:t xml:space="preserve"> its effect on attainment via academic performance, influence of significant others, and individuals’ own aspirations</w:t>
      </w:r>
      <w:r w:rsidR="00F00A30" w:rsidRPr="00905499">
        <w:rPr>
          <w:rFonts w:ascii="Times New Roman" w:hAnsi="Times New Roman" w:cs="Times New Roman"/>
          <w:lang w:val="en-US"/>
        </w:rPr>
        <w:t xml:space="preserve"> (Sewell, Haller, &amp; Ohlendorf, </w:t>
      </w:r>
      <w:r w:rsidR="00A653FA" w:rsidRPr="00905499">
        <w:rPr>
          <w:rFonts w:ascii="Times New Roman" w:hAnsi="Times New Roman" w:cs="Times New Roman"/>
          <w:lang w:val="en-US"/>
        </w:rPr>
        <w:t>1970).</w:t>
      </w:r>
      <w:r w:rsidR="00AA32F8" w:rsidRPr="00905499">
        <w:rPr>
          <w:rFonts w:ascii="Times New Roman" w:hAnsi="Times New Roman" w:cs="Times New Roman"/>
          <w:lang w:val="en-US"/>
        </w:rPr>
        <w:t xml:space="preserve"> More recently</w:t>
      </w:r>
      <w:r w:rsidR="00A653FA" w:rsidRPr="00905499">
        <w:rPr>
          <w:rFonts w:ascii="Times New Roman" w:hAnsi="Times New Roman" w:cs="Times New Roman"/>
          <w:lang w:val="en-US"/>
        </w:rPr>
        <w:t>,</w:t>
      </w:r>
      <w:r w:rsidR="00AA32F8" w:rsidRPr="00905499">
        <w:rPr>
          <w:rFonts w:ascii="Times New Roman" w:hAnsi="Times New Roman" w:cs="Times New Roman"/>
          <w:lang w:val="en-US"/>
        </w:rPr>
        <w:t xml:space="preserve"> comparative research from </w:t>
      </w:r>
      <w:r w:rsidR="00055AE6">
        <w:rPr>
          <w:rFonts w:ascii="Times New Roman" w:hAnsi="Times New Roman" w:cs="Times New Roman"/>
          <w:lang w:val="en-US"/>
        </w:rPr>
        <w:t xml:space="preserve">countries including </w:t>
      </w:r>
      <w:r w:rsidR="00A653FA" w:rsidRPr="00905499">
        <w:rPr>
          <w:rFonts w:ascii="Times New Roman" w:hAnsi="Times New Roman" w:cs="Times New Roman"/>
          <w:lang w:val="en-US"/>
        </w:rPr>
        <w:t xml:space="preserve">Australia, the </w:t>
      </w:r>
      <w:r w:rsidR="007E7FB7">
        <w:rPr>
          <w:rFonts w:ascii="Times New Roman" w:hAnsi="Times New Roman" w:cs="Times New Roman"/>
          <w:lang w:val="en-US"/>
        </w:rPr>
        <w:t>U.K.</w:t>
      </w:r>
      <w:r w:rsidR="00AA32F8" w:rsidRPr="00905499">
        <w:rPr>
          <w:rFonts w:ascii="Times New Roman" w:hAnsi="Times New Roman" w:cs="Times New Roman"/>
          <w:lang w:val="en-US"/>
        </w:rPr>
        <w:t>, and the U</w:t>
      </w:r>
      <w:r w:rsidR="00905499" w:rsidRPr="00905499">
        <w:rPr>
          <w:rFonts w:ascii="Times New Roman" w:hAnsi="Times New Roman" w:cs="Times New Roman"/>
          <w:lang w:val="en-US"/>
        </w:rPr>
        <w:t>.</w:t>
      </w:r>
      <w:r w:rsidR="00AA32F8" w:rsidRPr="00905499">
        <w:rPr>
          <w:rFonts w:ascii="Times New Roman" w:hAnsi="Times New Roman" w:cs="Times New Roman"/>
          <w:lang w:val="en-US"/>
        </w:rPr>
        <w:t>S</w:t>
      </w:r>
      <w:r w:rsidR="00905499" w:rsidRPr="00905499">
        <w:rPr>
          <w:rFonts w:ascii="Times New Roman" w:hAnsi="Times New Roman" w:cs="Times New Roman"/>
          <w:lang w:val="en-US"/>
        </w:rPr>
        <w:t>.</w:t>
      </w:r>
      <w:r w:rsidR="00AA32F8" w:rsidRPr="00905499">
        <w:rPr>
          <w:rFonts w:ascii="Times New Roman" w:hAnsi="Times New Roman" w:cs="Times New Roman"/>
          <w:lang w:val="en-US"/>
        </w:rPr>
        <w:t xml:space="preserve"> research has noted that social class is a strong and cross-culturally consistent predictor of university aspirations, entry, and enrolment into elite universities </w:t>
      </w:r>
      <w:r w:rsidR="003245DD" w:rsidRPr="00905499">
        <w:rPr>
          <w:rFonts w:ascii="Times New Roman" w:hAnsi="Times New Roman" w:cs="Times New Roman"/>
          <w:lang w:val="en-US"/>
        </w:rPr>
        <w:t>(</w:t>
      </w:r>
      <w:r w:rsidR="00E06D1F" w:rsidRPr="00905499">
        <w:rPr>
          <w:rFonts w:ascii="Times New Roman" w:hAnsi="Times New Roman" w:cs="Times New Roman"/>
          <w:lang w:val="en-US"/>
        </w:rPr>
        <w:t>Jerrim et al., in press</w:t>
      </w:r>
      <w:r w:rsidR="003245DD" w:rsidRPr="00905499">
        <w:rPr>
          <w:rFonts w:ascii="Times New Roman" w:hAnsi="Times New Roman" w:cs="Times New Roman"/>
          <w:lang w:val="en-US"/>
        </w:rPr>
        <w:t>; Parker, Schoon, Tsai, Nagy, Trautwein, &amp; Eccles, 2012; Gou, Parker, Marsh, &amp; Morin, 2015; Gou, Marsh, Parker, Morin, &amp; Yeung, 2015</w:t>
      </w:r>
      <w:r w:rsidR="00AA32F8" w:rsidRPr="00905499">
        <w:rPr>
          <w:rFonts w:ascii="Times New Roman" w:hAnsi="Times New Roman" w:cs="Times New Roman"/>
          <w:lang w:val="en-US"/>
        </w:rPr>
        <w:t xml:space="preserve">). </w:t>
      </w:r>
      <w:r w:rsidR="00F77494" w:rsidRPr="00905499">
        <w:rPr>
          <w:rFonts w:ascii="Times New Roman" w:hAnsi="Times New Roman" w:cs="Times New Roman"/>
          <w:lang w:val="en-US"/>
        </w:rPr>
        <w:t xml:space="preserve"> Indeed, the Bradley report (Bradley et al., 2008) notes that socioeconomic status remains the primary driver of educational inequality for young people</w:t>
      </w:r>
      <w:r w:rsidR="00FF0340" w:rsidRPr="00905499">
        <w:rPr>
          <w:rFonts w:ascii="Times New Roman" w:hAnsi="Times New Roman" w:cs="Times New Roman"/>
          <w:lang w:val="en-US"/>
        </w:rPr>
        <w:t>.</w:t>
      </w:r>
      <w:r w:rsidR="00F77494" w:rsidRPr="00905499">
        <w:rPr>
          <w:rFonts w:ascii="Times New Roman" w:hAnsi="Times New Roman" w:cs="Times New Roman"/>
          <w:lang w:val="en-US"/>
        </w:rPr>
        <w:t xml:space="preserve"> </w:t>
      </w:r>
      <w:r w:rsidR="00FF0340" w:rsidRPr="00905499">
        <w:rPr>
          <w:rFonts w:ascii="Times New Roman" w:hAnsi="Times New Roman" w:cs="Times New Roman"/>
          <w:lang w:val="en-US"/>
        </w:rPr>
        <w:t>T</w:t>
      </w:r>
      <w:r w:rsidR="00F77494" w:rsidRPr="00905499">
        <w:rPr>
          <w:rFonts w:ascii="Times New Roman" w:hAnsi="Times New Roman" w:cs="Times New Roman"/>
          <w:lang w:val="en-US"/>
        </w:rPr>
        <w:t>hus it is important to ensure that the effect of distance contributes above and beyond socioeconomic status.</w:t>
      </w:r>
    </w:p>
    <w:p w14:paraId="2A950836" w14:textId="564E9A7F" w:rsidR="005B6CB0" w:rsidRPr="00905499" w:rsidRDefault="004905FC" w:rsidP="004905FC">
      <w:pPr>
        <w:spacing w:line="360" w:lineRule="auto"/>
        <w:ind w:firstLine="720"/>
        <w:jc w:val="both"/>
        <w:rPr>
          <w:rFonts w:ascii="Times New Roman" w:hAnsi="Times New Roman" w:cs="Times New Roman"/>
          <w:lang w:val="en-US"/>
        </w:rPr>
      </w:pPr>
      <w:r w:rsidRPr="00905499">
        <w:rPr>
          <w:rFonts w:ascii="Times New Roman" w:hAnsi="Times New Roman" w:cs="Times New Roman"/>
          <w:lang w:val="en-US"/>
        </w:rPr>
        <w:t>Importantly, rural p</w:t>
      </w:r>
      <w:r w:rsidR="00B9792A" w:rsidRPr="00905499">
        <w:rPr>
          <w:rFonts w:ascii="Times New Roman" w:hAnsi="Times New Roman" w:cs="Times New Roman"/>
          <w:lang w:val="en-US"/>
        </w:rPr>
        <w:t>overty and its association with less ambitious educational aspirations and attainment</w:t>
      </w:r>
      <w:r w:rsidRPr="00905499">
        <w:rPr>
          <w:rFonts w:ascii="Times New Roman" w:hAnsi="Times New Roman" w:cs="Times New Roman"/>
          <w:lang w:val="en-US"/>
        </w:rPr>
        <w:t xml:space="preserve"> is a very real concern in the </w:t>
      </w:r>
      <w:r w:rsidR="00B9792A" w:rsidRPr="00905499">
        <w:rPr>
          <w:rFonts w:ascii="Times New Roman" w:hAnsi="Times New Roman" w:cs="Times New Roman"/>
          <w:lang w:val="en-US"/>
        </w:rPr>
        <w:t>developmental</w:t>
      </w:r>
      <w:r w:rsidRPr="00905499">
        <w:rPr>
          <w:rFonts w:ascii="Times New Roman" w:hAnsi="Times New Roman" w:cs="Times New Roman"/>
          <w:lang w:val="en-US"/>
        </w:rPr>
        <w:t xml:space="preserve"> literature (Irvin</w:t>
      </w:r>
      <w:r w:rsidR="00F63A11" w:rsidRPr="00905499">
        <w:rPr>
          <w:rFonts w:ascii="Times New Roman" w:hAnsi="Times New Roman" w:cs="Times New Roman"/>
          <w:lang w:val="en-US"/>
        </w:rPr>
        <w:t xml:space="preserve"> et al.</w:t>
      </w:r>
      <w:r w:rsidRPr="00905499">
        <w:rPr>
          <w:rFonts w:ascii="Times New Roman" w:hAnsi="Times New Roman" w:cs="Times New Roman"/>
          <w:lang w:val="en-US"/>
        </w:rPr>
        <w:t>, 2011). Thus</w:t>
      </w:r>
      <w:r w:rsidR="007F4833" w:rsidRPr="00905499">
        <w:rPr>
          <w:rFonts w:ascii="Times New Roman" w:hAnsi="Times New Roman" w:cs="Times New Roman"/>
          <w:lang w:val="en-US"/>
        </w:rPr>
        <w:t>,</w:t>
      </w:r>
      <w:r w:rsidRPr="00905499">
        <w:rPr>
          <w:rFonts w:ascii="Times New Roman" w:hAnsi="Times New Roman" w:cs="Times New Roman"/>
          <w:lang w:val="en-US"/>
        </w:rPr>
        <w:t xml:space="preserve"> the association between distance and educational outcomes may actually be capturing socioeconomic factors, rather than the effects of place per se. This dilemma is present in research on rural poverty primarily aimed at identifying </w:t>
      </w:r>
      <w:r w:rsidRPr="00905499">
        <w:rPr>
          <w:rFonts w:ascii="Times New Roman" w:hAnsi="Times New Roman" w:cs="Times New Roman"/>
          <w:lang w:val="en-US"/>
        </w:rPr>
        <w:lastRenderedPageBreak/>
        <w:t xml:space="preserve">whether the effect of rural and remote living is purely or largely selection (see Weber, Jensen, Miller, Mosley, &amp; Fisher, 2005). Despite raising a number of concerns, the review by Weber et al. does nevertheless suggest that, controlling for a range of individual characteristics, place of residence exerts a unique effect on critical outcomes. </w:t>
      </w:r>
    </w:p>
    <w:p w14:paraId="727E7B52" w14:textId="77777777" w:rsidR="00997AD0" w:rsidRPr="00905499" w:rsidRDefault="00997AD0" w:rsidP="00997AD0">
      <w:pPr>
        <w:spacing w:line="360" w:lineRule="auto"/>
        <w:jc w:val="both"/>
        <w:rPr>
          <w:rFonts w:ascii="Times New Roman" w:hAnsi="Times New Roman" w:cs="Times New Roman"/>
          <w:b/>
          <w:lang w:val="en-US"/>
        </w:rPr>
      </w:pPr>
      <w:r w:rsidRPr="00905499">
        <w:rPr>
          <w:rFonts w:ascii="Times New Roman" w:hAnsi="Times New Roman" w:cs="Times New Roman"/>
          <w:b/>
          <w:lang w:val="en-US"/>
        </w:rPr>
        <w:t>Cost</w:t>
      </w:r>
    </w:p>
    <w:p w14:paraId="295702BC" w14:textId="66CC6D0E" w:rsidR="001C3B6E" w:rsidRPr="00905499" w:rsidRDefault="00997AD0" w:rsidP="00997AD0">
      <w:pPr>
        <w:spacing w:line="360" w:lineRule="auto"/>
        <w:ind w:firstLine="720"/>
        <w:jc w:val="both"/>
        <w:rPr>
          <w:rFonts w:ascii="Times New Roman" w:hAnsi="Times New Roman" w:cs="Times New Roman"/>
          <w:lang w:val="en-US"/>
        </w:rPr>
      </w:pPr>
      <w:r w:rsidRPr="00905499">
        <w:rPr>
          <w:rFonts w:ascii="Times New Roman" w:hAnsi="Times New Roman" w:cs="Times New Roman"/>
          <w:lang w:val="en-US"/>
        </w:rPr>
        <w:t>Outside of research that questions whe</w:t>
      </w:r>
      <w:r w:rsidR="00905499" w:rsidRPr="00905499">
        <w:rPr>
          <w:rFonts w:ascii="Times New Roman" w:hAnsi="Times New Roman" w:cs="Times New Roman"/>
          <w:lang w:val="en-US"/>
        </w:rPr>
        <w:t>ther place effects exist at all</w:t>
      </w:r>
      <w:r w:rsidRPr="00905499">
        <w:rPr>
          <w:rFonts w:ascii="Times New Roman" w:hAnsi="Times New Roman" w:cs="Times New Roman"/>
          <w:lang w:val="en-US"/>
        </w:rPr>
        <w:t xml:space="preserve"> is research that considers place effects to be largely or solely related to costs. Such a view is quite strong in the </w:t>
      </w:r>
      <w:r w:rsidR="00905499" w:rsidRPr="00905499">
        <w:rPr>
          <w:rFonts w:ascii="Times New Roman" w:hAnsi="Times New Roman" w:cs="Times New Roman"/>
          <w:lang w:val="en-US"/>
        </w:rPr>
        <w:t>economic analyses</w:t>
      </w:r>
      <w:r w:rsidRPr="00905499">
        <w:rPr>
          <w:rFonts w:ascii="Times New Roman" w:hAnsi="Times New Roman" w:cs="Times New Roman"/>
          <w:lang w:val="en-US"/>
        </w:rPr>
        <w:t xml:space="preserve">, where distance to a university campus is often used as an instrumental variable to explore the effect of </w:t>
      </w:r>
      <w:r w:rsidR="00621C80" w:rsidRPr="00905499">
        <w:rPr>
          <w:rFonts w:ascii="Times New Roman" w:hAnsi="Times New Roman" w:cs="Times New Roman"/>
          <w:lang w:val="en-US"/>
        </w:rPr>
        <w:t>higher education</w:t>
      </w:r>
      <w:r w:rsidR="00905499">
        <w:rPr>
          <w:rFonts w:ascii="Times New Roman" w:hAnsi="Times New Roman" w:cs="Times New Roman"/>
          <w:lang w:val="en-US"/>
        </w:rPr>
        <w:t xml:space="preserve"> qualifications on labo</w:t>
      </w:r>
      <w:r w:rsidRPr="00905499">
        <w:rPr>
          <w:rFonts w:ascii="Times New Roman" w:hAnsi="Times New Roman" w:cs="Times New Roman"/>
          <w:lang w:val="en-US"/>
        </w:rPr>
        <w:t>r market outcomes (Denzler &amp; Wolter, 2011). From this perspective, young people from all regions equally desire to attend university</w:t>
      </w:r>
      <w:r w:rsidR="007F4833" w:rsidRPr="00905499">
        <w:rPr>
          <w:rFonts w:ascii="Times New Roman" w:hAnsi="Times New Roman" w:cs="Times New Roman"/>
          <w:lang w:val="en-US"/>
        </w:rPr>
        <w:t xml:space="preserve"> (i.e., have similar aspirations)</w:t>
      </w:r>
      <w:r w:rsidRPr="00905499">
        <w:rPr>
          <w:rFonts w:ascii="Times New Roman" w:hAnsi="Times New Roman" w:cs="Times New Roman"/>
          <w:lang w:val="en-US"/>
        </w:rPr>
        <w:t xml:space="preserve">, but differ in the costs associated with </w:t>
      </w:r>
      <w:r w:rsidR="007F4833" w:rsidRPr="00905499">
        <w:rPr>
          <w:rFonts w:ascii="Times New Roman" w:hAnsi="Times New Roman" w:cs="Times New Roman"/>
          <w:lang w:val="en-US"/>
        </w:rPr>
        <w:t>university entry</w:t>
      </w:r>
      <w:r w:rsidRPr="00905499">
        <w:rPr>
          <w:rFonts w:ascii="Times New Roman" w:hAnsi="Times New Roman" w:cs="Times New Roman"/>
          <w:lang w:val="en-US"/>
        </w:rPr>
        <w:t xml:space="preserve">. Leaving aside the cost of a university degree, which, as we noted above, is less of a concern in Australia than it is in either the </w:t>
      </w:r>
      <w:r w:rsidR="007E7FB7">
        <w:rPr>
          <w:rFonts w:ascii="Times New Roman" w:hAnsi="Times New Roman" w:cs="Times New Roman"/>
          <w:lang w:val="en-US"/>
        </w:rPr>
        <w:t>U.K.</w:t>
      </w:r>
      <w:r w:rsidRPr="00905499">
        <w:rPr>
          <w:rFonts w:ascii="Times New Roman" w:hAnsi="Times New Roman" w:cs="Times New Roman"/>
          <w:lang w:val="en-US"/>
        </w:rPr>
        <w:t xml:space="preserve"> or the U</w:t>
      </w:r>
      <w:r w:rsidR="008A44BC">
        <w:rPr>
          <w:rFonts w:ascii="Times New Roman" w:hAnsi="Times New Roman" w:cs="Times New Roman"/>
          <w:lang w:val="en-US"/>
        </w:rPr>
        <w:t>.</w:t>
      </w:r>
      <w:r w:rsidRPr="00905499">
        <w:rPr>
          <w:rFonts w:ascii="Times New Roman" w:hAnsi="Times New Roman" w:cs="Times New Roman"/>
          <w:lang w:val="en-US"/>
        </w:rPr>
        <w:t>S</w:t>
      </w:r>
      <w:r w:rsidR="008A44BC">
        <w:rPr>
          <w:rFonts w:ascii="Times New Roman" w:hAnsi="Times New Roman" w:cs="Times New Roman"/>
          <w:lang w:val="en-US"/>
        </w:rPr>
        <w:t>.</w:t>
      </w:r>
      <w:r w:rsidRPr="00905499">
        <w:rPr>
          <w:rFonts w:ascii="Times New Roman" w:hAnsi="Times New Roman" w:cs="Times New Roman"/>
          <w:lang w:val="en-US"/>
        </w:rPr>
        <w:t xml:space="preserve"> (</w:t>
      </w:r>
      <w:r w:rsidR="00F654D6" w:rsidRPr="00905499">
        <w:rPr>
          <w:rFonts w:ascii="Times New Roman" w:hAnsi="Times New Roman" w:cs="Times New Roman"/>
          <w:lang w:val="en-US"/>
        </w:rPr>
        <w:t>Jerrim et al., in press</w:t>
      </w:r>
      <w:r w:rsidRPr="00905499">
        <w:rPr>
          <w:rFonts w:ascii="Times New Roman" w:hAnsi="Times New Roman" w:cs="Times New Roman"/>
          <w:lang w:val="en-US"/>
        </w:rPr>
        <w:t xml:space="preserve">), the issue of relocation and/or commuting expenses becomes paramount. Put simply, university may be a more appealing option for young people living close to a campus, as they will not have to move out of the family home. </w:t>
      </w:r>
    </w:p>
    <w:p w14:paraId="5C6BE4A7" w14:textId="374E8A96" w:rsidR="001C3B6E" w:rsidRPr="00905499" w:rsidRDefault="00997AD0" w:rsidP="001C3B6E">
      <w:pPr>
        <w:spacing w:line="360" w:lineRule="auto"/>
        <w:ind w:firstLine="720"/>
        <w:jc w:val="both"/>
        <w:rPr>
          <w:rFonts w:ascii="Times New Roman" w:hAnsi="Times New Roman" w:cs="Times New Roman"/>
          <w:lang w:val="en-US"/>
        </w:rPr>
      </w:pPr>
      <w:r w:rsidRPr="00905499">
        <w:rPr>
          <w:rFonts w:ascii="Times New Roman" w:hAnsi="Times New Roman" w:cs="Times New Roman"/>
          <w:lang w:val="en-US"/>
        </w:rPr>
        <w:t xml:space="preserve">Importantly, “costs” may not merely be financial, but also logistical and emotional (Turley, 2009). The emotional and logistical costs for rural youth in particular may be exacerbated by more interdependent relationship structures in </w:t>
      </w:r>
      <w:r w:rsidR="001C3B6E" w:rsidRPr="00905499">
        <w:rPr>
          <w:rFonts w:ascii="Times New Roman" w:hAnsi="Times New Roman" w:cs="Times New Roman"/>
          <w:lang w:val="en-US"/>
        </w:rPr>
        <w:t>the</w:t>
      </w:r>
      <w:r w:rsidRPr="00905499">
        <w:rPr>
          <w:rFonts w:ascii="Times New Roman" w:hAnsi="Times New Roman" w:cs="Times New Roman"/>
          <w:lang w:val="en-US"/>
        </w:rPr>
        <w:t xml:space="preserve"> family home </w:t>
      </w:r>
      <w:r w:rsidR="00AA32F8" w:rsidRPr="00905499">
        <w:rPr>
          <w:rFonts w:ascii="Times New Roman" w:hAnsi="Times New Roman" w:cs="Times New Roman"/>
          <w:lang w:val="en-US"/>
        </w:rPr>
        <w:t xml:space="preserve">where parents are more reliant on their children </w:t>
      </w:r>
      <w:r w:rsidRPr="00905499">
        <w:rPr>
          <w:rFonts w:ascii="Times New Roman" w:hAnsi="Times New Roman" w:cs="Times New Roman"/>
          <w:lang w:val="en-US"/>
        </w:rPr>
        <w:t>(Crockett</w:t>
      </w:r>
      <w:r w:rsidR="00AA32F8" w:rsidRPr="00905499">
        <w:rPr>
          <w:rFonts w:ascii="Times New Roman" w:hAnsi="Times New Roman" w:cs="Times New Roman"/>
          <w:lang w:val="en-US"/>
        </w:rPr>
        <w:t xml:space="preserve"> et al.</w:t>
      </w:r>
      <w:r w:rsidRPr="00905499">
        <w:rPr>
          <w:rFonts w:ascii="Times New Roman" w:hAnsi="Times New Roman" w:cs="Times New Roman"/>
          <w:lang w:val="en-US"/>
        </w:rPr>
        <w:t>, 2000</w:t>
      </w:r>
      <w:r w:rsidR="00105603" w:rsidRPr="00905499">
        <w:rPr>
          <w:rFonts w:ascii="Times New Roman" w:hAnsi="Times New Roman" w:cs="Times New Roman"/>
          <w:lang w:val="en-US"/>
        </w:rPr>
        <w:t>; Elder &amp; Conger, 2000</w:t>
      </w:r>
      <w:r w:rsidRPr="00905499">
        <w:rPr>
          <w:rFonts w:ascii="Times New Roman" w:hAnsi="Times New Roman" w:cs="Times New Roman"/>
          <w:lang w:val="en-US"/>
        </w:rPr>
        <w:t xml:space="preserve">). </w:t>
      </w:r>
      <w:r w:rsidR="00730729" w:rsidRPr="00905499">
        <w:rPr>
          <w:rFonts w:ascii="Times New Roman" w:hAnsi="Times New Roman" w:cs="Times New Roman"/>
          <w:lang w:val="en-US"/>
        </w:rPr>
        <w:t xml:space="preserve">Likewise, young people’s </w:t>
      </w:r>
      <w:r w:rsidR="001C3B6E" w:rsidRPr="00905499">
        <w:rPr>
          <w:rFonts w:ascii="Times New Roman" w:hAnsi="Times New Roman" w:cs="Times New Roman"/>
          <w:lang w:val="en-US"/>
        </w:rPr>
        <w:t xml:space="preserve">strong </w:t>
      </w:r>
      <w:r w:rsidR="00730729" w:rsidRPr="00905499">
        <w:rPr>
          <w:rFonts w:ascii="Times New Roman" w:hAnsi="Times New Roman" w:cs="Times New Roman"/>
          <w:lang w:val="en-US"/>
        </w:rPr>
        <w:t xml:space="preserve">connection to their community may </w:t>
      </w:r>
      <w:r w:rsidR="001C3B6E" w:rsidRPr="00905499">
        <w:rPr>
          <w:rFonts w:ascii="Times New Roman" w:hAnsi="Times New Roman" w:cs="Times New Roman"/>
          <w:lang w:val="en-US"/>
        </w:rPr>
        <w:t xml:space="preserve">also </w:t>
      </w:r>
      <w:r w:rsidR="00730729" w:rsidRPr="00905499">
        <w:rPr>
          <w:rFonts w:ascii="Times New Roman" w:hAnsi="Times New Roman" w:cs="Times New Roman"/>
          <w:lang w:val="en-US"/>
        </w:rPr>
        <w:t xml:space="preserve">create a </w:t>
      </w:r>
      <w:r w:rsidR="00445ED4" w:rsidRPr="00905499">
        <w:rPr>
          <w:rFonts w:ascii="Times New Roman" w:hAnsi="Times New Roman" w:cs="Times New Roman"/>
          <w:lang w:val="en-US"/>
        </w:rPr>
        <w:t>migration constraint</w:t>
      </w:r>
      <w:r w:rsidR="00481EBD" w:rsidRPr="00905499">
        <w:rPr>
          <w:rFonts w:ascii="Times New Roman" w:hAnsi="Times New Roman" w:cs="Times New Roman"/>
          <w:lang w:val="en-US"/>
        </w:rPr>
        <w:t xml:space="preserve"> </w:t>
      </w:r>
      <w:r w:rsidR="00445ED4" w:rsidRPr="00905499">
        <w:rPr>
          <w:rFonts w:ascii="Times New Roman" w:hAnsi="Times New Roman" w:cs="Times New Roman"/>
          <w:lang w:val="en-US"/>
        </w:rPr>
        <w:t>that impacts university entry whe</w:t>
      </w:r>
      <w:r w:rsidR="007F4833" w:rsidRPr="00905499">
        <w:rPr>
          <w:rFonts w:ascii="Times New Roman" w:hAnsi="Times New Roman" w:cs="Times New Roman"/>
          <w:lang w:val="en-US"/>
        </w:rPr>
        <w:t>n</w:t>
      </w:r>
      <w:r w:rsidR="00445ED4" w:rsidRPr="00905499">
        <w:rPr>
          <w:rFonts w:ascii="Times New Roman" w:hAnsi="Times New Roman" w:cs="Times New Roman"/>
          <w:lang w:val="en-US"/>
        </w:rPr>
        <w:t xml:space="preserve"> relocation is a requirement</w:t>
      </w:r>
      <w:r w:rsidR="00481EBD" w:rsidRPr="00905499">
        <w:rPr>
          <w:rFonts w:ascii="Times New Roman" w:hAnsi="Times New Roman" w:cs="Times New Roman"/>
          <w:lang w:val="en-US"/>
        </w:rPr>
        <w:t xml:space="preserve"> </w:t>
      </w:r>
      <w:r w:rsidR="00730729" w:rsidRPr="00905499">
        <w:rPr>
          <w:rFonts w:ascii="Times New Roman" w:hAnsi="Times New Roman" w:cs="Times New Roman"/>
          <w:lang w:val="en-US"/>
        </w:rPr>
        <w:t>(Byun et al., 2012</w:t>
      </w:r>
      <w:r w:rsidR="00445ED4" w:rsidRPr="00905499">
        <w:rPr>
          <w:rFonts w:ascii="Times New Roman" w:hAnsi="Times New Roman" w:cs="Times New Roman"/>
          <w:lang w:val="en-US"/>
        </w:rPr>
        <w:t>; Elder, King, &amp; Conger, 1996</w:t>
      </w:r>
      <w:r w:rsidR="00730729" w:rsidRPr="00905499">
        <w:rPr>
          <w:rFonts w:ascii="Times New Roman" w:hAnsi="Times New Roman" w:cs="Times New Roman"/>
          <w:lang w:val="en-US"/>
        </w:rPr>
        <w:t xml:space="preserve">). </w:t>
      </w:r>
      <w:r w:rsidR="00FA1420" w:rsidRPr="00905499">
        <w:rPr>
          <w:rFonts w:ascii="Times New Roman" w:hAnsi="Times New Roman" w:cs="Times New Roman"/>
          <w:lang w:val="en-US"/>
        </w:rPr>
        <w:t xml:space="preserve">Indeed, children from rural backgrounds often </w:t>
      </w:r>
      <w:r w:rsidR="00B9792A" w:rsidRPr="00905499">
        <w:rPr>
          <w:rFonts w:ascii="Times New Roman" w:hAnsi="Times New Roman" w:cs="Times New Roman"/>
          <w:lang w:val="en-US"/>
        </w:rPr>
        <w:t>develop</w:t>
      </w:r>
      <w:r w:rsidR="00FA1420" w:rsidRPr="00905499">
        <w:rPr>
          <w:rFonts w:ascii="Times New Roman" w:hAnsi="Times New Roman" w:cs="Times New Roman"/>
          <w:lang w:val="en-US"/>
        </w:rPr>
        <w:t xml:space="preserve"> much stronger connections to the community (Elder &amp; Conger, 2000).</w:t>
      </w:r>
      <w:r w:rsidR="00285414" w:rsidRPr="00905499">
        <w:rPr>
          <w:rFonts w:ascii="Times New Roman" w:hAnsi="Times New Roman" w:cs="Times New Roman"/>
          <w:lang w:val="en-US"/>
        </w:rPr>
        <w:t xml:space="preserve"> In contrast to </w:t>
      </w:r>
      <w:r w:rsidR="00B9792A" w:rsidRPr="00905499">
        <w:rPr>
          <w:rFonts w:ascii="Times New Roman" w:hAnsi="Times New Roman" w:cs="Times New Roman"/>
          <w:lang w:val="en-US"/>
        </w:rPr>
        <w:t>stereotype</w:t>
      </w:r>
      <w:r w:rsidR="00285414" w:rsidRPr="00905499">
        <w:rPr>
          <w:rFonts w:ascii="Times New Roman" w:hAnsi="Times New Roman" w:cs="Times New Roman"/>
          <w:lang w:val="en-US"/>
        </w:rPr>
        <w:t>, some research suggests that connection to community may be strongest among those who are most likely to qualify for university entry (</w:t>
      </w:r>
      <w:r w:rsidR="00285414" w:rsidRPr="00905499">
        <w:rPr>
          <w:rFonts w:ascii="Times New Roman" w:hAnsi="Times New Roman"/>
          <w:lang w:val="en-US"/>
        </w:rPr>
        <w:t>Petrin et al., 2011).</w:t>
      </w:r>
    </w:p>
    <w:p w14:paraId="4A81BBE0" w14:textId="1934FB7A" w:rsidR="001C3B6E" w:rsidRPr="00905499" w:rsidRDefault="000137AB" w:rsidP="001C3B6E">
      <w:pPr>
        <w:spacing w:line="360" w:lineRule="auto"/>
        <w:ind w:firstLine="720"/>
        <w:jc w:val="both"/>
        <w:rPr>
          <w:rFonts w:ascii="Times New Roman" w:hAnsi="Times New Roman" w:cs="Times New Roman"/>
          <w:lang w:val="en-US"/>
        </w:rPr>
      </w:pPr>
      <w:proofErr w:type="gramStart"/>
      <w:r w:rsidRPr="00905499">
        <w:rPr>
          <w:rFonts w:ascii="Times New Roman" w:hAnsi="Times New Roman" w:cs="Times New Roman"/>
          <w:lang w:val="en-US"/>
        </w:rPr>
        <w:t>The degree to which the effect of costs reflect</w:t>
      </w:r>
      <w:r w:rsidR="00BF3CEC">
        <w:rPr>
          <w:rFonts w:ascii="Times New Roman" w:hAnsi="Times New Roman" w:cs="Times New Roman"/>
          <w:lang w:val="en-US"/>
        </w:rPr>
        <w:t>s</w:t>
      </w:r>
      <w:r w:rsidRPr="00905499">
        <w:rPr>
          <w:rFonts w:ascii="Times New Roman" w:hAnsi="Times New Roman" w:cs="Times New Roman"/>
          <w:lang w:val="en-US"/>
        </w:rPr>
        <w:t xml:space="preserve"> financial costs </w:t>
      </w:r>
      <w:r w:rsidR="001C3B6E" w:rsidRPr="00905499">
        <w:rPr>
          <w:rFonts w:ascii="Times New Roman" w:hAnsi="Times New Roman" w:cs="Times New Roman"/>
          <w:lang w:val="en-US"/>
        </w:rPr>
        <w:t xml:space="preserve">or </w:t>
      </w:r>
      <w:r w:rsidR="00FF0340" w:rsidRPr="00905499">
        <w:rPr>
          <w:rFonts w:ascii="Times New Roman" w:hAnsi="Times New Roman" w:cs="Times New Roman"/>
          <w:lang w:val="en-US"/>
        </w:rPr>
        <w:t xml:space="preserve">social and </w:t>
      </w:r>
      <w:r w:rsidR="001C3B6E" w:rsidRPr="00905499">
        <w:rPr>
          <w:rFonts w:ascii="Times New Roman" w:hAnsi="Times New Roman" w:cs="Times New Roman"/>
          <w:lang w:val="en-US"/>
        </w:rPr>
        <w:t xml:space="preserve">emotional costs </w:t>
      </w:r>
      <w:r w:rsidRPr="00905499">
        <w:rPr>
          <w:rFonts w:ascii="Times New Roman" w:hAnsi="Times New Roman" w:cs="Times New Roman"/>
          <w:lang w:val="en-US"/>
        </w:rPr>
        <w:t>may be identified by exploring the degree to which the effect of distance on university entry varies as a function of socioeconomic status</w:t>
      </w:r>
      <w:proofErr w:type="gramEnd"/>
      <w:r w:rsidRPr="00905499">
        <w:rPr>
          <w:rFonts w:ascii="Times New Roman" w:hAnsi="Times New Roman" w:cs="Times New Roman"/>
          <w:lang w:val="en-US"/>
        </w:rPr>
        <w:t xml:space="preserve">. </w:t>
      </w:r>
      <w:r w:rsidR="00D77D4F" w:rsidRPr="00905499">
        <w:rPr>
          <w:rFonts w:ascii="Times New Roman" w:hAnsi="Times New Roman" w:cs="Times New Roman"/>
          <w:lang w:val="en-US"/>
        </w:rPr>
        <w:t>Several authors have suggested that the effect of distance is</w:t>
      </w:r>
      <w:r w:rsidRPr="00905499">
        <w:rPr>
          <w:rFonts w:ascii="Times New Roman" w:hAnsi="Times New Roman" w:cs="Times New Roman"/>
          <w:lang w:val="en-US"/>
        </w:rPr>
        <w:t xml:space="preserve"> partic</w:t>
      </w:r>
      <w:r w:rsidR="007F4833" w:rsidRPr="00905499">
        <w:rPr>
          <w:rFonts w:ascii="Times New Roman" w:hAnsi="Times New Roman" w:cs="Times New Roman"/>
          <w:lang w:val="en-US"/>
        </w:rPr>
        <w:t>ularly pronounced for low socio</w:t>
      </w:r>
      <w:r w:rsidRPr="00905499">
        <w:rPr>
          <w:rFonts w:ascii="Times New Roman" w:hAnsi="Times New Roman" w:cs="Times New Roman"/>
          <w:lang w:val="en-US"/>
        </w:rPr>
        <w:t xml:space="preserve">economic groups (e.g., </w:t>
      </w:r>
      <w:r w:rsidR="00445ED4" w:rsidRPr="00905499">
        <w:rPr>
          <w:rFonts w:ascii="Times New Roman" w:hAnsi="Times New Roman" w:cs="Times New Roman"/>
          <w:lang w:val="en-US"/>
        </w:rPr>
        <w:t xml:space="preserve">Elder et al., 1996; </w:t>
      </w:r>
      <w:r w:rsidR="007F4833" w:rsidRPr="00905499">
        <w:rPr>
          <w:rFonts w:ascii="Times New Roman" w:hAnsi="Times New Roman" w:cs="Times New Roman"/>
          <w:lang w:val="en-US"/>
        </w:rPr>
        <w:t xml:space="preserve">Gibbons &amp; Vignoles, 2009; </w:t>
      </w:r>
      <w:r w:rsidRPr="00905499">
        <w:rPr>
          <w:rFonts w:ascii="Times New Roman" w:hAnsi="Times New Roman" w:cs="Times New Roman"/>
          <w:lang w:val="en-US"/>
        </w:rPr>
        <w:t xml:space="preserve">James, </w:t>
      </w:r>
      <w:r w:rsidRPr="00905499">
        <w:rPr>
          <w:rFonts w:ascii="Times New Roman" w:hAnsi="Times New Roman" w:cs="Times New Roman"/>
          <w:lang w:val="en-US"/>
        </w:rPr>
        <w:lastRenderedPageBreak/>
        <w:t>2001).</w:t>
      </w:r>
      <w:r w:rsidR="001C3B6E" w:rsidRPr="00905499">
        <w:rPr>
          <w:rFonts w:ascii="Times New Roman" w:hAnsi="Times New Roman" w:cs="Times New Roman"/>
          <w:lang w:val="en-US"/>
        </w:rPr>
        <w:t xml:space="preserve"> Thus, the degree to which distance is primarily an issue for poorer children would lend support to primary costs being financial</w:t>
      </w:r>
      <w:r w:rsidR="00940DAC" w:rsidRPr="00905499">
        <w:rPr>
          <w:rFonts w:ascii="Times New Roman" w:hAnsi="Times New Roman" w:cs="Times New Roman"/>
          <w:lang w:val="en-US"/>
        </w:rPr>
        <w:t xml:space="preserve"> </w:t>
      </w:r>
      <w:r w:rsidR="00445ED4" w:rsidRPr="00905499">
        <w:rPr>
          <w:rFonts w:ascii="Times New Roman" w:hAnsi="Times New Roman" w:cs="Times New Roman"/>
          <w:lang w:val="en-US"/>
        </w:rPr>
        <w:t>and logistic rather than emotional</w:t>
      </w:r>
      <w:r w:rsidR="001C3B6E" w:rsidRPr="00905499">
        <w:rPr>
          <w:rFonts w:ascii="Times New Roman" w:hAnsi="Times New Roman" w:cs="Times New Roman"/>
          <w:lang w:val="en-US"/>
        </w:rPr>
        <w:t>. Importantly, there is growing recognition that costs alon</w:t>
      </w:r>
      <w:r w:rsidR="00D61950" w:rsidRPr="00905499">
        <w:rPr>
          <w:rFonts w:ascii="Times New Roman" w:hAnsi="Times New Roman" w:cs="Times New Roman"/>
          <w:lang w:val="en-US"/>
        </w:rPr>
        <w:t>e</w:t>
      </w:r>
      <w:r w:rsidR="001C3B6E" w:rsidRPr="00905499">
        <w:rPr>
          <w:rFonts w:ascii="Times New Roman" w:hAnsi="Times New Roman" w:cs="Times New Roman"/>
          <w:lang w:val="en-US"/>
        </w:rPr>
        <w:t xml:space="preserve"> are insufficient to explain the effect of distance.  Crockett et al. (2000) note that rural youth generally have lower educational and occupational aspirations </w:t>
      </w:r>
      <w:r w:rsidR="00AA32F8" w:rsidRPr="00905499">
        <w:rPr>
          <w:rFonts w:ascii="Times New Roman" w:hAnsi="Times New Roman" w:cs="Times New Roman"/>
          <w:lang w:val="en-US"/>
        </w:rPr>
        <w:t xml:space="preserve">than their urban peers suggesting </w:t>
      </w:r>
      <w:r w:rsidR="00D61950" w:rsidRPr="00905499">
        <w:rPr>
          <w:rFonts w:ascii="Times New Roman" w:hAnsi="Times New Roman" w:cs="Times New Roman"/>
          <w:lang w:val="en-US"/>
        </w:rPr>
        <w:t>factors present earlier in adolescents’ educational careers</w:t>
      </w:r>
      <w:r w:rsidR="001C3B6E" w:rsidRPr="00905499">
        <w:rPr>
          <w:rFonts w:ascii="Times New Roman" w:hAnsi="Times New Roman" w:cs="Times New Roman"/>
          <w:lang w:val="en-US"/>
        </w:rPr>
        <w:t>.</w:t>
      </w:r>
    </w:p>
    <w:p w14:paraId="7DE5B339" w14:textId="538E74A5" w:rsidR="00341382" w:rsidRPr="00905499" w:rsidRDefault="004905FC" w:rsidP="004905FC">
      <w:pPr>
        <w:spacing w:line="360" w:lineRule="auto"/>
        <w:jc w:val="both"/>
        <w:rPr>
          <w:rFonts w:ascii="Times New Roman" w:hAnsi="Times New Roman" w:cs="Times New Roman"/>
          <w:b/>
          <w:lang w:val="en-US"/>
        </w:rPr>
      </w:pPr>
      <w:r w:rsidRPr="00905499">
        <w:rPr>
          <w:rFonts w:ascii="Times New Roman" w:hAnsi="Times New Roman" w:cs="Times New Roman"/>
          <w:b/>
          <w:lang w:val="en-US"/>
        </w:rPr>
        <w:t>Anticipatory Decision Hypothesis</w:t>
      </w:r>
    </w:p>
    <w:p w14:paraId="3BA02B03" w14:textId="47CA8CAC" w:rsidR="00EC0F9D" w:rsidRPr="00905499" w:rsidRDefault="00856881" w:rsidP="00856881">
      <w:pPr>
        <w:spacing w:line="360" w:lineRule="auto"/>
        <w:ind w:firstLine="720"/>
        <w:jc w:val="both"/>
        <w:rPr>
          <w:rFonts w:ascii="Times New Roman" w:hAnsi="Times New Roman" w:cs="Times New Roman"/>
          <w:lang w:val="en-US"/>
        </w:rPr>
      </w:pPr>
      <w:r w:rsidRPr="00905499">
        <w:rPr>
          <w:rFonts w:ascii="Times New Roman" w:hAnsi="Times New Roman" w:cs="Times New Roman"/>
          <w:lang w:val="en-US"/>
        </w:rPr>
        <w:t xml:space="preserve">Turley (2009) and Denzler and Wolter (2011) highlight the need to not only consider </w:t>
      </w:r>
      <w:r w:rsidR="00EC0F9D" w:rsidRPr="00905499">
        <w:rPr>
          <w:rFonts w:ascii="Times New Roman" w:hAnsi="Times New Roman" w:cs="Times New Roman"/>
          <w:lang w:val="en-US"/>
        </w:rPr>
        <w:t>costs</w:t>
      </w:r>
      <w:r w:rsidRPr="00905499">
        <w:rPr>
          <w:rFonts w:ascii="Times New Roman" w:hAnsi="Times New Roman" w:cs="Times New Roman"/>
          <w:lang w:val="en-US"/>
        </w:rPr>
        <w:t xml:space="preserve"> at or near the point of transition to university, but also </w:t>
      </w:r>
      <w:r w:rsidR="00EC0F9D" w:rsidRPr="00905499">
        <w:rPr>
          <w:rFonts w:ascii="Times New Roman" w:hAnsi="Times New Roman" w:cs="Times New Roman"/>
          <w:lang w:val="en-US"/>
        </w:rPr>
        <w:t>the way in which young people’s aspirations develop</w:t>
      </w:r>
      <w:r w:rsidRPr="00905499">
        <w:rPr>
          <w:rFonts w:ascii="Times New Roman" w:hAnsi="Times New Roman" w:cs="Times New Roman"/>
          <w:lang w:val="en-US"/>
        </w:rPr>
        <w:t xml:space="preserve">. </w:t>
      </w:r>
      <w:r w:rsidR="00EC0F9D" w:rsidRPr="00905499">
        <w:rPr>
          <w:rFonts w:ascii="Times New Roman" w:hAnsi="Times New Roman" w:cs="Times New Roman"/>
          <w:lang w:val="en-US"/>
        </w:rPr>
        <w:t>Indeed, educational aspirations typically develop</w:t>
      </w:r>
      <w:r w:rsidRPr="00905499">
        <w:rPr>
          <w:rFonts w:ascii="Times New Roman" w:hAnsi="Times New Roman" w:cs="Times New Roman"/>
          <w:lang w:val="en-US"/>
        </w:rPr>
        <w:t xml:space="preserve"> well before the end of high school (</w:t>
      </w:r>
      <w:r w:rsidR="00EC0F9D" w:rsidRPr="00905499">
        <w:rPr>
          <w:rFonts w:ascii="Times New Roman" w:hAnsi="Times New Roman" w:cs="Times New Roman"/>
          <w:lang w:val="en-US"/>
        </w:rPr>
        <w:t>Gambetta</w:t>
      </w:r>
      <w:r w:rsidR="00AA32F8" w:rsidRPr="00905499">
        <w:rPr>
          <w:rFonts w:ascii="Times New Roman" w:hAnsi="Times New Roman" w:cs="Times New Roman"/>
          <w:lang w:val="en-US"/>
        </w:rPr>
        <w:t>, 1989</w:t>
      </w:r>
      <w:r w:rsidR="00EC0F9D" w:rsidRPr="00905499">
        <w:rPr>
          <w:rFonts w:ascii="Times New Roman" w:hAnsi="Times New Roman" w:cs="Times New Roman"/>
          <w:lang w:val="en-US"/>
        </w:rPr>
        <w:t xml:space="preserve">, </w:t>
      </w:r>
      <w:r w:rsidRPr="00905499">
        <w:rPr>
          <w:rFonts w:ascii="Times New Roman" w:hAnsi="Times New Roman" w:cs="Times New Roman"/>
          <w:lang w:val="en-US"/>
        </w:rPr>
        <w:t xml:space="preserve">Grodsky &amp; Riegle-Crumb, 2010). </w:t>
      </w:r>
      <w:r w:rsidR="00EC0F9D" w:rsidRPr="00905499">
        <w:rPr>
          <w:rFonts w:ascii="Times New Roman" w:hAnsi="Times New Roman" w:cs="Times New Roman"/>
          <w:lang w:val="en-US"/>
        </w:rPr>
        <w:t xml:space="preserve">Jackson et al. (2007) </w:t>
      </w:r>
      <w:r w:rsidR="00F425CA" w:rsidRPr="00905499">
        <w:rPr>
          <w:rFonts w:ascii="Times New Roman" w:hAnsi="Times New Roman" w:cs="Times New Roman"/>
          <w:lang w:val="en-US"/>
        </w:rPr>
        <w:t>referred</w:t>
      </w:r>
      <w:r w:rsidR="00EC0F9D" w:rsidRPr="00905499">
        <w:rPr>
          <w:rFonts w:ascii="Times New Roman" w:hAnsi="Times New Roman" w:cs="Times New Roman"/>
          <w:lang w:val="en-US"/>
        </w:rPr>
        <w:t xml:space="preserve"> to such </w:t>
      </w:r>
      <w:r w:rsidR="00AA32F8" w:rsidRPr="00905499">
        <w:rPr>
          <w:rFonts w:ascii="Times New Roman" w:hAnsi="Times New Roman" w:cs="Times New Roman"/>
          <w:lang w:val="en-US"/>
        </w:rPr>
        <w:t>an effect</w:t>
      </w:r>
      <w:r w:rsidR="00EC0F9D" w:rsidRPr="00905499">
        <w:rPr>
          <w:rFonts w:ascii="Times New Roman" w:hAnsi="Times New Roman" w:cs="Times New Roman"/>
          <w:lang w:val="en-US"/>
        </w:rPr>
        <w:t xml:space="preserve"> as “anticipatory decisions”, whereby young people make their post-school choices early in their educational careers, and subsequently act upon them. Put simply, many young people make decisions to not attend university well before costs </w:t>
      </w:r>
      <w:r w:rsidR="00FF0340" w:rsidRPr="00905499">
        <w:rPr>
          <w:rFonts w:ascii="Times New Roman" w:hAnsi="Times New Roman" w:cs="Times New Roman"/>
          <w:lang w:val="en-US"/>
        </w:rPr>
        <w:t>as</w:t>
      </w:r>
      <w:r w:rsidR="00EC0F9D" w:rsidRPr="00905499">
        <w:rPr>
          <w:rFonts w:ascii="Times New Roman" w:hAnsi="Times New Roman" w:cs="Times New Roman"/>
          <w:lang w:val="en-US"/>
        </w:rPr>
        <w:t xml:space="preserve"> a </w:t>
      </w:r>
      <w:r w:rsidR="00FF0340" w:rsidRPr="00905499">
        <w:rPr>
          <w:rFonts w:ascii="Times New Roman" w:hAnsi="Times New Roman" w:cs="Times New Roman"/>
          <w:lang w:val="en-US"/>
        </w:rPr>
        <w:t>barrier to entry become apparent</w:t>
      </w:r>
      <w:r w:rsidR="00E66F8D" w:rsidRPr="00905499">
        <w:rPr>
          <w:rFonts w:ascii="Times New Roman" w:hAnsi="Times New Roman" w:cs="Times New Roman"/>
          <w:lang w:val="en-US"/>
        </w:rPr>
        <w:t xml:space="preserve">. Importantly </w:t>
      </w:r>
      <w:r w:rsidR="00AA32F8" w:rsidRPr="00905499">
        <w:rPr>
          <w:rFonts w:ascii="Times New Roman" w:hAnsi="Times New Roman" w:cs="Times New Roman"/>
          <w:lang w:val="en-US"/>
        </w:rPr>
        <w:t>Gambetta (1989)</w:t>
      </w:r>
      <w:r w:rsidR="00E66F8D" w:rsidRPr="00905499">
        <w:rPr>
          <w:rFonts w:ascii="Times New Roman" w:hAnsi="Times New Roman" w:cs="Times New Roman"/>
          <w:lang w:val="en-US"/>
        </w:rPr>
        <w:t xml:space="preserve"> suggest</w:t>
      </w:r>
      <w:r w:rsidR="00AA32F8" w:rsidRPr="00905499">
        <w:rPr>
          <w:rFonts w:ascii="Times New Roman" w:hAnsi="Times New Roman" w:cs="Times New Roman"/>
          <w:lang w:val="en-US"/>
        </w:rPr>
        <w:t>ed</w:t>
      </w:r>
      <w:r w:rsidR="00E66F8D" w:rsidRPr="00905499">
        <w:rPr>
          <w:rFonts w:ascii="Times New Roman" w:hAnsi="Times New Roman" w:cs="Times New Roman"/>
          <w:lang w:val="en-US"/>
        </w:rPr>
        <w:t xml:space="preserve"> that such decisions vary by </w:t>
      </w:r>
      <w:r w:rsidR="00F425CA" w:rsidRPr="00905499">
        <w:rPr>
          <w:rFonts w:ascii="Times New Roman" w:hAnsi="Times New Roman" w:cs="Times New Roman"/>
          <w:lang w:val="en-US"/>
        </w:rPr>
        <w:t>geography</w:t>
      </w:r>
      <w:r w:rsidR="00E66F8D" w:rsidRPr="00905499">
        <w:rPr>
          <w:rFonts w:ascii="Times New Roman" w:hAnsi="Times New Roman" w:cs="Times New Roman"/>
          <w:lang w:val="en-US"/>
        </w:rPr>
        <w:t xml:space="preserve"> (e.g., North versus South Italy).</w:t>
      </w:r>
      <w:r w:rsidR="002402A0" w:rsidRPr="00905499">
        <w:rPr>
          <w:rFonts w:ascii="Times New Roman" w:hAnsi="Times New Roman" w:cs="Times New Roman"/>
          <w:lang w:val="en-US"/>
        </w:rPr>
        <w:t xml:space="preserve"> Indeed, it is now well established that adolescents in rural areas </w:t>
      </w:r>
      <w:r w:rsidR="00A67327" w:rsidRPr="00905499">
        <w:rPr>
          <w:rFonts w:ascii="Times New Roman" w:hAnsi="Times New Roman" w:cs="Times New Roman"/>
          <w:lang w:val="en-US"/>
        </w:rPr>
        <w:t>develop less ambitious</w:t>
      </w:r>
      <w:r w:rsidR="002402A0" w:rsidRPr="00905499">
        <w:rPr>
          <w:rFonts w:ascii="Times New Roman" w:hAnsi="Times New Roman" w:cs="Times New Roman"/>
          <w:lang w:val="en-US"/>
        </w:rPr>
        <w:t xml:space="preserve"> educational and career aspirations than their urban peers (Crockett et al., 2000).</w:t>
      </w:r>
    </w:p>
    <w:p w14:paraId="762F438F" w14:textId="5CE6035B" w:rsidR="000E3A34" w:rsidRPr="00905499" w:rsidRDefault="00E66F8D" w:rsidP="00856881">
      <w:pPr>
        <w:spacing w:line="360" w:lineRule="auto"/>
        <w:ind w:firstLine="720"/>
        <w:jc w:val="both"/>
        <w:rPr>
          <w:rFonts w:ascii="Times New Roman" w:hAnsi="Times New Roman" w:cs="Times New Roman"/>
          <w:lang w:val="en-US"/>
        </w:rPr>
      </w:pPr>
      <w:r w:rsidRPr="00905499">
        <w:rPr>
          <w:rFonts w:ascii="Times New Roman" w:hAnsi="Times New Roman" w:cs="Times New Roman"/>
          <w:lang w:val="en-US"/>
        </w:rPr>
        <w:t xml:space="preserve">The potential impact of anticipatory decisions suggests the important role that career development theories may play in predicting university entry (see </w:t>
      </w:r>
      <w:r w:rsidR="00A62286" w:rsidRPr="00905499">
        <w:rPr>
          <w:rFonts w:ascii="Times New Roman" w:hAnsi="Times New Roman" w:cs="Times New Roman"/>
          <w:lang w:val="en-US"/>
        </w:rPr>
        <w:t>Dietrich et al., 2012</w:t>
      </w:r>
      <w:r w:rsidRPr="00905499">
        <w:rPr>
          <w:rFonts w:ascii="Times New Roman" w:hAnsi="Times New Roman" w:cs="Times New Roman"/>
          <w:lang w:val="en-US"/>
        </w:rPr>
        <w:t xml:space="preserve"> for a review). </w:t>
      </w:r>
      <w:r w:rsidR="006227CC" w:rsidRPr="00905499">
        <w:rPr>
          <w:rFonts w:ascii="Times New Roman" w:hAnsi="Times New Roman" w:cs="Times New Roman"/>
          <w:lang w:val="en-US"/>
        </w:rPr>
        <w:t>Savikas (2002; see also Gati &amp; Asher, 2001)</w:t>
      </w:r>
      <w:r w:rsidR="00D8161B" w:rsidRPr="00905499">
        <w:rPr>
          <w:rFonts w:ascii="Times New Roman" w:hAnsi="Times New Roman" w:cs="Times New Roman"/>
          <w:lang w:val="en-US"/>
        </w:rPr>
        <w:t xml:space="preserve"> suggests that a critical developmental task of adolescence is to develop a career self-concept by in-breadth exploration of available options and in-depth exploration of the requirements of the preferred options (e.g., is university required to enact a given career self-concept). Vondracek and Porfeli (2002) note that students pursue these career related </w:t>
      </w:r>
      <w:r w:rsidR="00645D3D" w:rsidRPr="00905499">
        <w:rPr>
          <w:rFonts w:ascii="Times New Roman" w:hAnsi="Times New Roman" w:cs="Times New Roman"/>
          <w:lang w:val="en-US"/>
        </w:rPr>
        <w:t>behaviors</w:t>
      </w:r>
      <w:r w:rsidR="00D8161B" w:rsidRPr="00905499">
        <w:rPr>
          <w:rFonts w:ascii="Times New Roman" w:hAnsi="Times New Roman" w:cs="Times New Roman"/>
          <w:lang w:val="en-US"/>
        </w:rPr>
        <w:t xml:space="preserve"> within a given developmental context, while Young and colleagues (Young, Marshall, Domene et al., 2008; Young, Valach, Ball et al., 2001) note</w:t>
      </w:r>
      <w:r w:rsidR="000F2999" w:rsidRPr="00905499">
        <w:rPr>
          <w:rFonts w:ascii="Times New Roman" w:hAnsi="Times New Roman" w:cs="Times New Roman"/>
          <w:lang w:val="en-US"/>
        </w:rPr>
        <w:t>d</w:t>
      </w:r>
      <w:r w:rsidR="00D8161B" w:rsidRPr="00905499">
        <w:rPr>
          <w:rFonts w:ascii="Times New Roman" w:hAnsi="Times New Roman" w:cs="Times New Roman"/>
          <w:lang w:val="en-US"/>
        </w:rPr>
        <w:t xml:space="preserve"> the role that social capital plays </w:t>
      </w:r>
      <w:r w:rsidRPr="00905499">
        <w:rPr>
          <w:rFonts w:ascii="Times New Roman" w:hAnsi="Times New Roman" w:cs="Times New Roman"/>
          <w:lang w:val="en-US"/>
        </w:rPr>
        <w:t xml:space="preserve">where a young person’s career and educational development can be conceptualized as a joint project between the adolescent and those around them.  </w:t>
      </w:r>
    </w:p>
    <w:p w14:paraId="42853B0A" w14:textId="6A833BBC" w:rsidR="00730729" w:rsidRPr="00905499" w:rsidRDefault="000E3A34" w:rsidP="00381342">
      <w:pPr>
        <w:spacing w:line="360" w:lineRule="auto"/>
        <w:ind w:firstLine="720"/>
        <w:jc w:val="both"/>
        <w:rPr>
          <w:rFonts w:ascii="Times New Roman" w:hAnsi="Times New Roman" w:cs="Times New Roman"/>
          <w:lang w:val="en-US"/>
        </w:rPr>
      </w:pPr>
      <w:r w:rsidRPr="00905499">
        <w:rPr>
          <w:rFonts w:ascii="Times New Roman" w:hAnsi="Times New Roman" w:cs="Times New Roman"/>
          <w:lang w:val="en-US"/>
        </w:rPr>
        <w:t xml:space="preserve">These career development issues can vary as a function of </w:t>
      </w:r>
      <w:r w:rsidR="00FF0340" w:rsidRPr="00905499">
        <w:rPr>
          <w:rFonts w:ascii="Times New Roman" w:hAnsi="Times New Roman" w:cs="Times New Roman"/>
          <w:lang w:val="en-US"/>
        </w:rPr>
        <w:t>geography</w:t>
      </w:r>
      <w:r w:rsidRPr="00905499">
        <w:rPr>
          <w:rFonts w:ascii="Times New Roman" w:hAnsi="Times New Roman" w:cs="Times New Roman"/>
          <w:lang w:val="en-US"/>
        </w:rPr>
        <w:t xml:space="preserve">. </w:t>
      </w:r>
      <w:r w:rsidR="007F17D8" w:rsidRPr="00905499">
        <w:rPr>
          <w:rFonts w:ascii="Times New Roman" w:hAnsi="Times New Roman" w:cs="Times New Roman"/>
          <w:lang w:val="en-US"/>
        </w:rPr>
        <w:t>R</w:t>
      </w:r>
      <w:r w:rsidR="00E66F8D" w:rsidRPr="00905499">
        <w:rPr>
          <w:rFonts w:ascii="Times New Roman" w:hAnsi="Times New Roman" w:cs="Times New Roman"/>
          <w:lang w:val="en-US"/>
        </w:rPr>
        <w:t xml:space="preserve">ural and remote </w:t>
      </w:r>
      <w:r w:rsidR="00651D00" w:rsidRPr="00905499">
        <w:rPr>
          <w:rFonts w:ascii="Times New Roman" w:hAnsi="Times New Roman" w:cs="Times New Roman"/>
          <w:lang w:val="en-US"/>
        </w:rPr>
        <w:t xml:space="preserve">economies are far less diverse than urban economies (where the vast bulk of university campuses are located) </w:t>
      </w:r>
      <w:r w:rsidR="003F3F07" w:rsidRPr="00905499">
        <w:rPr>
          <w:rFonts w:ascii="Times New Roman" w:hAnsi="Times New Roman" w:cs="Times New Roman"/>
          <w:lang w:val="en-US"/>
        </w:rPr>
        <w:t>and thus there are few</w:t>
      </w:r>
      <w:r w:rsidR="00DD4DA9" w:rsidRPr="00905499">
        <w:rPr>
          <w:rFonts w:ascii="Times New Roman" w:hAnsi="Times New Roman" w:cs="Times New Roman"/>
          <w:lang w:val="en-US"/>
        </w:rPr>
        <w:t>er</w:t>
      </w:r>
      <w:r w:rsidR="003F3F07" w:rsidRPr="00905499">
        <w:rPr>
          <w:rFonts w:ascii="Times New Roman" w:hAnsi="Times New Roman" w:cs="Times New Roman"/>
          <w:lang w:val="en-US"/>
        </w:rPr>
        <w:t xml:space="preserve"> exemplar </w:t>
      </w:r>
      <w:r w:rsidR="00651D00" w:rsidRPr="00905499">
        <w:rPr>
          <w:rFonts w:ascii="Times New Roman" w:hAnsi="Times New Roman" w:cs="Times New Roman"/>
          <w:lang w:val="en-US"/>
        </w:rPr>
        <w:t>occupation</w:t>
      </w:r>
      <w:r w:rsidR="003F3F07" w:rsidRPr="00905499">
        <w:rPr>
          <w:rFonts w:ascii="Times New Roman" w:hAnsi="Times New Roman" w:cs="Times New Roman"/>
          <w:lang w:val="en-US"/>
        </w:rPr>
        <w:t>s</w:t>
      </w:r>
      <w:r w:rsidR="00FF0340" w:rsidRPr="00905499">
        <w:rPr>
          <w:rFonts w:ascii="Times New Roman" w:hAnsi="Times New Roman" w:cs="Times New Roman"/>
          <w:lang w:val="en-US"/>
        </w:rPr>
        <w:t xml:space="preserve"> </w:t>
      </w:r>
      <w:r w:rsidR="00645D3D" w:rsidRPr="00905499">
        <w:rPr>
          <w:rFonts w:ascii="Times New Roman" w:hAnsi="Times New Roman" w:cs="Times New Roman"/>
          <w:lang w:val="en-US"/>
        </w:rPr>
        <w:lastRenderedPageBreak/>
        <w:t>modeled</w:t>
      </w:r>
      <w:r w:rsidR="006B325F" w:rsidRPr="00905499">
        <w:rPr>
          <w:rFonts w:ascii="Times New Roman" w:hAnsi="Times New Roman" w:cs="Times New Roman"/>
          <w:lang w:val="en-US"/>
        </w:rPr>
        <w:t xml:space="preserve"> to young people</w:t>
      </w:r>
      <w:r w:rsidR="007F17D8" w:rsidRPr="00905499">
        <w:rPr>
          <w:rFonts w:ascii="Times New Roman" w:hAnsi="Times New Roman" w:cs="Times New Roman"/>
          <w:lang w:val="en-US"/>
        </w:rPr>
        <w:t xml:space="preserve"> (Crockett et al., 2000; Elder &amp; Conger, 2000; Elder, et al., 1996)</w:t>
      </w:r>
      <w:r w:rsidR="00FF0340" w:rsidRPr="00905499">
        <w:rPr>
          <w:rFonts w:ascii="Times New Roman" w:hAnsi="Times New Roman" w:cs="Times New Roman"/>
          <w:lang w:val="en-US"/>
        </w:rPr>
        <w:t xml:space="preserve">. </w:t>
      </w:r>
      <w:r w:rsidR="00381342" w:rsidRPr="00905499">
        <w:rPr>
          <w:rFonts w:ascii="Times New Roman" w:hAnsi="Times New Roman" w:cs="Times New Roman"/>
          <w:lang w:val="en-US"/>
        </w:rPr>
        <w:t xml:space="preserve">Leveraging of Bronfenbrenner and Morris’ (1998) concept of social capital as “engines of development”, Elder and Conger (2000) note that strong family and community relationships, many of which </w:t>
      </w:r>
      <w:r w:rsidR="00645D3D" w:rsidRPr="00905499">
        <w:rPr>
          <w:rFonts w:ascii="Times New Roman" w:hAnsi="Times New Roman" w:cs="Times New Roman"/>
          <w:lang w:val="en-US"/>
        </w:rPr>
        <w:t>center</w:t>
      </w:r>
      <w:r w:rsidR="008843E6" w:rsidRPr="00905499">
        <w:rPr>
          <w:rFonts w:ascii="Times New Roman" w:hAnsi="Times New Roman" w:cs="Times New Roman"/>
          <w:lang w:val="en-US"/>
        </w:rPr>
        <w:t xml:space="preserve"> around work, </w:t>
      </w:r>
      <w:r w:rsidR="00381342" w:rsidRPr="00905499">
        <w:rPr>
          <w:rFonts w:ascii="Times New Roman" w:hAnsi="Times New Roman" w:cs="Times New Roman"/>
          <w:lang w:val="en-US"/>
        </w:rPr>
        <w:t xml:space="preserve">create </w:t>
      </w:r>
      <w:r w:rsidR="006B325F" w:rsidRPr="00905499">
        <w:rPr>
          <w:rFonts w:ascii="Times New Roman" w:hAnsi="Times New Roman" w:cs="Times New Roman"/>
          <w:lang w:val="en-US"/>
        </w:rPr>
        <w:t>influential</w:t>
      </w:r>
      <w:r w:rsidR="00381342" w:rsidRPr="00905499">
        <w:rPr>
          <w:rFonts w:ascii="Times New Roman" w:hAnsi="Times New Roman" w:cs="Times New Roman"/>
          <w:lang w:val="en-US"/>
        </w:rPr>
        <w:t xml:space="preserve"> models from which occupational plans and aspirations develop. </w:t>
      </w:r>
      <w:r w:rsidR="00FF0340" w:rsidRPr="00905499">
        <w:rPr>
          <w:rFonts w:ascii="Times New Roman" w:hAnsi="Times New Roman" w:cs="Times New Roman"/>
          <w:lang w:val="en-US"/>
        </w:rPr>
        <w:t>Further, the models that are available</w:t>
      </w:r>
      <w:r w:rsidR="00651D00" w:rsidRPr="00905499">
        <w:rPr>
          <w:rFonts w:ascii="Times New Roman" w:hAnsi="Times New Roman" w:cs="Times New Roman"/>
          <w:lang w:val="en-US"/>
        </w:rPr>
        <w:t xml:space="preserve"> and ones that are less likely to require a university level of education</w:t>
      </w:r>
      <w:r w:rsidR="003F3F07" w:rsidRPr="00905499">
        <w:rPr>
          <w:rFonts w:ascii="Times New Roman" w:hAnsi="Times New Roman" w:cs="Times New Roman"/>
          <w:lang w:val="en-US"/>
        </w:rPr>
        <w:t>.</w:t>
      </w:r>
      <w:r w:rsidR="00651D00" w:rsidRPr="00905499">
        <w:rPr>
          <w:rFonts w:ascii="Times New Roman" w:hAnsi="Times New Roman" w:cs="Times New Roman"/>
          <w:lang w:val="en-US"/>
        </w:rPr>
        <w:t xml:space="preserve"> </w:t>
      </w:r>
      <w:r w:rsidR="007F17D8" w:rsidRPr="00905499">
        <w:rPr>
          <w:rFonts w:ascii="Times New Roman" w:hAnsi="Times New Roman" w:cs="Times New Roman"/>
          <w:lang w:val="en-US"/>
        </w:rPr>
        <w:t xml:space="preserve">In addition, family models are also likely to have a direct impact on aspirations. </w:t>
      </w:r>
      <w:r w:rsidR="00730729" w:rsidRPr="00905499">
        <w:rPr>
          <w:rFonts w:ascii="Times New Roman" w:hAnsi="Times New Roman" w:cs="Times New Roman"/>
          <w:lang w:val="en-US"/>
        </w:rPr>
        <w:t>Consistent with Young and colleagues, research has found that parents, peers</w:t>
      </w:r>
      <w:r w:rsidR="00481EBD" w:rsidRPr="00905499">
        <w:rPr>
          <w:rFonts w:ascii="Times New Roman" w:hAnsi="Times New Roman" w:cs="Times New Roman"/>
          <w:lang w:val="en-US"/>
        </w:rPr>
        <w:t>, and important others</w:t>
      </w:r>
      <w:r w:rsidR="00730729" w:rsidRPr="00905499">
        <w:rPr>
          <w:rFonts w:ascii="Times New Roman" w:hAnsi="Times New Roman" w:cs="Times New Roman"/>
          <w:lang w:val="en-US"/>
        </w:rPr>
        <w:t xml:space="preserve"> </w:t>
      </w:r>
      <w:r w:rsidR="00481EBD" w:rsidRPr="00905499">
        <w:rPr>
          <w:rFonts w:ascii="Times New Roman" w:hAnsi="Times New Roman" w:cs="Times New Roman"/>
          <w:lang w:val="en-US"/>
        </w:rPr>
        <w:t xml:space="preserve">play an important shaping role in the development of aspirations and post-school plans in </w:t>
      </w:r>
      <w:r w:rsidR="000F2999" w:rsidRPr="00905499">
        <w:rPr>
          <w:rFonts w:ascii="Times New Roman" w:hAnsi="Times New Roman" w:cs="Times New Roman"/>
          <w:lang w:val="en-US"/>
        </w:rPr>
        <w:t>rural youth</w:t>
      </w:r>
      <w:r w:rsidR="00730729" w:rsidRPr="00905499">
        <w:rPr>
          <w:rFonts w:ascii="Times New Roman" w:hAnsi="Times New Roman" w:cs="Times New Roman"/>
          <w:lang w:val="en-US"/>
        </w:rPr>
        <w:t xml:space="preserve"> (Byun, Meece, Irvin, &amp; Hutchins, 2012; Chenoweth &amp; Galliher, 2004). </w:t>
      </w:r>
      <w:r w:rsidR="006B325F" w:rsidRPr="00905499">
        <w:rPr>
          <w:rFonts w:ascii="Times New Roman" w:hAnsi="Times New Roman" w:cs="Times New Roman"/>
          <w:lang w:val="en-US"/>
        </w:rPr>
        <w:t xml:space="preserve">Likewise, Elder and Conger (2000) note the stronger social capital in combination with a distinct set of values in rural communities as a strong influence on post high-school pathways. </w:t>
      </w:r>
      <w:r w:rsidR="00730729" w:rsidRPr="00905499">
        <w:rPr>
          <w:rFonts w:ascii="Times New Roman" w:hAnsi="Times New Roman" w:cs="Times New Roman"/>
          <w:lang w:val="en-US"/>
        </w:rPr>
        <w:t xml:space="preserve">James (2001, p. 470) </w:t>
      </w:r>
      <w:r w:rsidR="006B325F" w:rsidRPr="00905499">
        <w:rPr>
          <w:rFonts w:ascii="Times New Roman" w:hAnsi="Times New Roman" w:cs="Times New Roman"/>
          <w:lang w:val="en-US"/>
        </w:rPr>
        <w:t xml:space="preserve">similarly </w:t>
      </w:r>
      <w:r w:rsidR="00730729" w:rsidRPr="00905499">
        <w:rPr>
          <w:rFonts w:ascii="Times New Roman" w:hAnsi="Times New Roman" w:cs="Times New Roman"/>
          <w:lang w:val="en-US"/>
        </w:rPr>
        <w:t xml:space="preserve">notes that much of the negative effect of </w:t>
      </w:r>
      <w:r w:rsidR="00E1549F" w:rsidRPr="00905499">
        <w:rPr>
          <w:rFonts w:ascii="Times New Roman" w:hAnsi="Times New Roman" w:cs="Times New Roman"/>
          <w:lang w:val="en-US"/>
        </w:rPr>
        <w:t>geography</w:t>
      </w:r>
      <w:r w:rsidR="00730729" w:rsidRPr="00905499">
        <w:rPr>
          <w:rFonts w:ascii="Times New Roman" w:hAnsi="Times New Roman" w:cs="Times New Roman"/>
          <w:lang w:val="en-US"/>
        </w:rPr>
        <w:t xml:space="preserve"> on university aspirations “reflect, in the main part differences in family and community attitudes to the relevance of education”. </w:t>
      </w:r>
    </w:p>
    <w:p w14:paraId="5355B62C" w14:textId="67F35AB3" w:rsidR="00856881" w:rsidRPr="00905499" w:rsidRDefault="000E3A34" w:rsidP="00856881">
      <w:pPr>
        <w:spacing w:line="360" w:lineRule="auto"/>
        <w:ind w:firstLine="720"/>
        <w:jc w:val="both"/>
        <w:rPr>
          <w:rFonts w:ascii="Times New Roman" w:hAnsi="Times New Roman" w:cs="Times New Roman"/>
          <w:lang w:val="en-US"/>
        </w:rPr>
      </w:pPr>
      <w:r w:rsidRPr="00905499">
        <w:rPr>
          <w:rFonts w:ascii="Times New Roman" w:hAnsi="Times New Roman" w:cs="Times New Roman"/>
          <w:lang w:val="en-US"/>
        </w:rPr>
        <w:t xml:space="preserve">Importantly, the degree to which the distance effect is conveyed via university aspirations </w:t>
      </w:r>
      <w:r w:rsidR="00481EBD" w:rsidRPr="00905499">
        <w:rPr>
          <w:rFonts w:ascii="Times New Roman" w:hAnsi="Times New Roman" w:cs="Times New Roman"/>
          <w:lang w:val="en-US"/>
        </w:rPr>
        <w:t xml:space="preserve">rather than cost </w:t>
      </w:r>
      <w:r w:rsidRPr="00905499">
        <w:rPr>
          <w:rFonts w:ascii="Times New Roman" w:hAnsi="Times New Roman" w:cs="Times New Roman"/>
          <w:lang w:val="en-US"/>
        </w:rPr>
        <w:t>has</w:t>
      </w:r>
      <w:r w:rsidR="00856881" w:rsidRPr="00905499">
        <w:rPr>
          <w:rFonts w:ascii="Times New Roman" w:hAnsi="Times New Roman" w:cs="Times New Roman"/>
          <w:lang w:val="en-US"/>
        </w:rPr>
        <w:t xml:space="preserve"> profound practical implications. Specifically, it would mean that </w:t>
      </w:r>
      <w:r w:rsidR="008843E6" w:rsidRPr="00905499">
        <w:rPr>
          <w:rFonts w:ascii="Times New Roman" w:hAnsi="Times New Roman" w:cs="Times New Roman"/>
          <w:lang w:val="en-US"/>
        </w:rPr>
        <w:t>interventions need to happen earlier rather than latter and that a focus should be on influencing young people career development processes rather than offering scholarships and bursaries</w:t>
      </w:r>
      <w:r w:rsidRPr="00905499">
        <w:rPr>
          <w:rFonts w:ascii="Times New Roman" w:hAnsi="Times New Roman" w:cs="Times New Roman"/>
          <w:lang w:val="en-US"/>
        </w:rPr>
        <w:t xml:space="preserve">. </w:t>
      </w:r>
    </w:p>
    <w:p w14:paraId="3DE90C95" w14:textId="11006BFC" w:rsidR="00C02DC3" w:rsidRPr="00905499" w:rsidRDefault="002F3E31" w:rsidP="008B74D0">
      <w:pPr>
        <w:spacing w:line="360" w:lineRule="auto"/>
        <w:jc w:val="both"/>
        <w:rPr>
          <w:rFonts w:ascii="Times New Roman" w:hAnsi="Times New Roman" w:cs="Times New Roman"/>
          <w:b/>
          <w:lang w:val="en-US"/>
        </w:rPr>
      </w:pPr>
      <w:r w:rsidRPr="00905499">
        <w:rPr>
          <w:rFonts w:ascii="Times New Roman" w:hAnsi="Times New Roman" w:cs="Times New Roman"/>
          <w:b/>
          <w:lang w:val="en-US"/>
        </w:rPr>
        <w:t xml:space="preserve">Community </w:t>
      </w:r>
      <w:r w:rsidR="00856881" w:rsidRPr="00905499">
        <w:rPr>
          <w:rFonts w:ascii="Times New Roman" w:hAnsi="Times New Roman" w:cs="Times New Roman"/>
          <w:b/>
          <w:lang w:val="en-US"/>
        </w:rPr>
        <w:t>Resources</w:t>
      </w:r>
    </w:p>
    <w:p w14:paraId="78A81401" w14:textId="1DD39392" w:rsidR="007A4A39" w:rsidRPr="00905499" w:rsidRDefault="00C02DC3" w:rsidP="003245DD">
      <w:pPr>
        <w:spacing w:line="360" w:lineRule="auto"/>
        <w:ind w:firstLine="720"/>
        <w:jc w:val="both"/>
        <w:rPr>
          <w:rFonts w:ascii="Times New Roman" w:hAnsi="Times New Roman" w:cs="Times New Roman"/>
          <w:lang w:val="en-US"/>
        </w:rPr>
      </w:pPr>
      <w:r w:rsidRPr="00905499">
        <w:rPr>
          <w:rFonts w:ascii="Times New Roman" w:hAnsi="Times New Roman" w:cs="Times New Roman"/>
          <w:lang w:val="en-US"/>
        </w:rPr>
        <w:t xml:space="preserve">Having a </w:t>
      </w:r>
      <w:r w:rsidR="008B74D0" w:rsidRPr="00905499">
        <w:rPr>
          <w:rFonts w:ascii="Times New Roman" w:hAnsi="Times New Roman" w:cs="Times New Roman"/>
          <w:lang w:val="en-US"/>
        </w:rPr>
        <w:t xml:space="preserve">campus </w:t>
      </w:r>
      <w:r w:rsidRPr="00905499">
        <w:rPr>
          <w:rFonts w:ascii="Times New Roman" w:hAnsi="Times New Roman" w:cs="Times New Roman"/>
          <w:lang w:val="en-US"/>
        </w:rPr>
        <w:t xml:space="preserve">close by may provide young people with additional resources that encourage a </w:t>
      </w:r>
      <w:r w:rsidR="00140C7F" w:rsidRPr="00905499">
        <w:rPr>
          <w:rFonts w:ascii="Times New Roman" w:hAnsi="Times New Roman" w:cs="Times New Roman"/>
          <w:lang w:val="en-US"/>
        </w:rPr>
        <w:t>university</w:t>
      </w:r>
      <w:r w:rsidR="00D34BEC" w:rsidRPr="00905499">
        <w:rPr>
          <w:rFonts w:ascii="Times New Roman" w:hAnsi="Times New Roman" w:cs="Times New Roman"/>
          <w:lang w:val="en-US"/>
        </w:rPr>
        <w:t>-</w:t>
      </w:r>
      <w:r w:rsidRPr="00905499">
        <w:rPr>
          <w:rFonts w:ascii="Times New Roman" w:hAnsi="Times New Roman" w:cs="Times New Roman"/>
          <w:lang w:val="en-US"/>
        </w:rPr>
        <w:t xml:space="preserve">going </w:t>
      </w:r>
      <w:r w:rsidR="004A2AFE" w:rsidRPr="00905499">
        <w:rPr>
          <w:rFonts w:ascii="Times New Roman" w:hAnsi="Times New Roman" w:cs="Times New Roman"/>
          <w:lang w:val="en-US"/>
        </w:rPr>
        <w:t>predisposition</w:t>
      </w:r>
      <w:r w:rsidRPr="00905499">
        <w:rPr>
          <w:rFonts w:ascii="Times New Roman" w:hAnsi="Times New Roman" w:cs="Times New Roman"/>
          <w:lang w:val="en-US"/>
        </w:rPr>
        <w:t xml:space="preserve"> </w:t>
      </w:r>
      <w:r w:rsidR="0080430F" w:rsidRPr="00905499">
        <w:rPr>
          <w:rFonts w:ascii="Times New Roman" w:hAnsi="Times New Roman" w:cs="Times New Roman"/>
          <w:lang w:val="en-US"/>
        </w:rPr>
        <w:t>(Griffith &amp; Rothstein, 2009)</w:t>
      </w:r>
      <w:r w:rsidRPr="00905499">
        <w:rPr>
          <w:rFonts w:ascii="Times New Roman" w:hAnsi="Times New Roman" w:cs="Times New Roman"/>
          <w:lang w:val="en-US"/>
        </w:rPr>
        <w:t xml:space="preserve">. </w:t>
      </w:r>
      <w:r w:rsidR="007E4B29" w:rsidRPr="00905499">
        <w:rPr>
          <w:rFonts w:ascii="Times New Roman" w:hAnsi="Times New Roman" w:cs="Times New Roman"/>
          <w:lang w:val="en-US"/>
        </w:rPr>
        <w:t>Turley</w:t>
      </w:r>
      <w:r w:rsidRPr="00905499">
        <w:rPr>
          <w:rFonts w:ascii="Times New Roman" w:hAnsi="Times New Roman" w:cs="Times New Roman"/>
          <w:lang w:val="en-US"/>
        </w:rPr>
        <w:t xml:space="preserve"> (2009) </w:t>
      </w:r>
      <w:r w:rsidR="00481EBD" w:rsidRPr="00905499">
        <w:rPr>
          <w:rFonts w:ascii="Times New Roman" w:hAnsi="Times New Roman" w:cs="Times New Roman"/>
          <w:lang w:val="en-US"/>
        </w:rPr>
        <w:t>suggests</w:t>
      </w:r>
      <w:r w:rsidRPr="00905499">
        <w:rPr>
          <w:rFonts w:ascii="Times New Roman" w:hAnsi="Times New Roman" w:cs="Times New Roman"/>
          <w:lang w:val="en-US"/>
        </w:rPr>
        <w:t xml:space="preserve"> universities typically have a number of outreach programs</w:t>
      </w:r>
      <w:r w:rsidR="002F3E31" w:rsidRPr="00905499">
        <w:rPr>
          <w:rFonts w:ascii="Times New Roman" w:hAnsi="Times New Roman" w:cs="Times New Roman"/>
          <w:lang w:val="en-US"/>
        </w:rPr>
        <w:t xml:space="preserve"> </w:t>
      </w:r>
      <w:r w:rsidR="00A97ED2" w:rsidRPr="00905499">
        <w:rPr>
          <w:rFonts w:ascii="Times New Roman" w:hAnsi="Times New Roman" w:cs="Times New Roman"/>
          <w:lang w:val="en-US"/>
        </w:rPr>
        <w:t>that</w:t>
      </w:r>
      <w:r w:rsidR="002F3E31" w:rsidRPr="00905499">
        <w:rPr>
          <w:rFonts w:ascii="Times New Roman" w:hAnsi="Times New Roman" w:cs="Times New Roman"/>
          <w:lang w:val="en-US"/>
        </w:rPr>
        <w:t xml:space="preserve"> may </w:t>
      </w:r>
      <w:r w:rsidR="00D34BEC" w:rsidRPr="00905499">
        <w:rPr>
          <w:rFonts w:ascii="Times New Roman" w:hAnsi="Times New Roman" w:cs="Times New Roman"/>
          <w:lang w:val="en-US"/>
        </w:rPr>
        <w:t xml:space="preserve">facilitate </w:t>
      </w:r>
      <w:r w:rsidR="002F3E31" w:rsidRPr="00905499">
        <w:rPr>
          <w:rFonts w:ascii="Times New Roman" w:hAnsi="Times New Roman" w:cs="Times New Roman"/>
          <w:lang w:val="en-US"/>
        </w:rPr>
        <w:t>a preference for university entry in young people and their peers</w:t>
      </w:r>
      <w:r w:rsidR="00037FA5" w:rsidRPr="00905499">
        <w:rPr>
          <w:rFonts w:ascii="Times New Roman" w:hAnsi="Times New Roman" w:cs="Times New Roman"/>
          <w:lang w:val="en-US"/>
        </w:rPr>
        <w:t xml:space="preserve"> within the surrounding area</w:t>
      </w:r>
      <w:r w:rsidRPr="00905499">
        <w:rPr>
          <w:rFonts w:ascii="Times New Roman" w:hAnsi="Times New Roman" w:cs="Times New Roman"/>
          <w:lang w:val="en-US"/>
        </w:rPr>
        <w:t>.</w:t>
      </w:r>
      <w:r w:rsidR="002F3E31" w:rsidRPr="00905499">
        <w:rPr>
          <w:rFonts w:ascii="Times New Roman" w:hAnsi="Times New Roman" w:cs="Times New Roman"/>
          <w:lang w:val="en-US"/>
        </w:rPr>
        <w:t xml:space="preserve"> Such programs </w:t>
      </w:r>
      <w:r w:rsidR="00A97ED2" w:rsidRPr="00905499">
        <w:rPr>
          <w:rFonts w:ascii="Times New Roman" w:hAnsi="Times New Roman" w:cs="Times New Roman"/>
          <w:lang w:val="en-US"/>
        </w:rPr>
        <w:t>provide</w:t>
      </w:r>
      <w:r w:rsidR="002F3E31" w:rsidRPr="00905499">
        <w:rPr>
          <w:rFonts w:ascii="Times New Roman" w:hAnsi="Times New Roman" w:cs="Times New Roman"/>
          <w:lang w:val="en-US"/>
        </w:rPr>
        <w:t xml:space="preserve"> information</w:t>
      </w:r>
      <w:r w:rsidR="003C3CCD" w:rsidRPr="00905499">
        <w:rPr>
          <w:rFonts w:ascii="Times New Roman" w:hAnsi="Times New Roman" w:cs="Times New Roman"/>
          <w:lang w:val="en-US"/>
        </w:rPr>
        <w:t xml:space="preserve"> </w:t>
      </w:r>
      <w:r w:rsidR="00575135" w:rsidRPr="00905499">
        <w:rPr>
          <w:rFonts w:ascii="Times New Roman" w:hAnsi="Times New Roman" w:cs="Times New Roman"/>
          <w:lang w:val="en-US"/>
        </w:rPr>
        <w:t>on</w:t>
      </w:r>
      <w:r w:rsidR="003C3CCD" w:rsidRPr="00905499">
        <w:rPr>
          <w:rFonts w:ascii="Times New Roman" w:hAnsi="Times New Roman" w:cs="Times New Roman"/>
          <w:lang w:val="en-US"/>
        </w:rPr>
        <w:t xml:space="preserve"> how to </w:t>
      </w:r>
      <w:proofErr w:type="gramStart"/>
      <w:r w:rsidR="003C3CCD" w:rsidRPr="00905499">
        <w:rPr>
          <w:rFonts w:ascii="Times New Roman" w:hAnsi="Times New Roman" w:cs="Times New Roman"/>
          <w:lang w:val="en-US"/>
        </w:rPr>
        <w:t>access university</w:t>
      </w:r>
      <w:proofErr w:type="gramEnd"/>
      <w:r w:rsidR="003C3CCD" w:rsidRPr="00905499">
        <w:rPr>
          <w:rFonts w:ascii="Times New Roman" w:hAnsi="Times New Roman" w:cs="Times New Roman"/>
          <w:lang w:val="en-US"/>
        </w:rPr>
        <w:t xml:space="preserve"> and experience of what</w:t>
      </w:r>
      <w:r w:rsidR="008B74D0" w:rsidRPr="00905499">
        <w:rPr>
          <w:rFonts w:ascii="Times New Roman" w:hAnsi="Times New Roman" w:cs="Times New Roman"/>
          <w:lang w:val="en-US"/>
        </w:rPr>
        <w:t xml:space="preserve"> going to</w:t>
      </w:r>
      <w:r w:rsidR="003C3CCD" w:rsidRPr="00905499">
        <w:rPr>
          <w:rFonts w:ascii="Times New Roman" w:hAnsi="Times New Roman" w:cs="Times New Roman"/>
          <w:lang w:val="en-US"/>
        </w:rPr>
        <w:t xml:space="preserve"> university may be like. </w:t>
      </w:r>
      <w:r w:rsidR="008B74D0" w:rsidRPr="00905499">
        <w:rPr>
          <w:rFonts w:ascii="Times New Roman" w:hAnsi="Times New Roman" w:cs="Times New Roman"/>
          <w:lang w:val="en-US"/>
        </w:rPr>
        <w:t>Similarly</w:t>
      </w:r>
      <w:r w:rsidR="003C3CCD" w:rsidRPr="00905499">
        <w:rPr>
          <w:rFonts w:ascii="Times New Roman" w:hAnsi="Times New Roman" w:cs="Times New Roman"/>
          <w:lang w:val="en-US"/>
        </w:rPr>
        <w:t>, such programs</w:t>
      </w:r>
      <w:r w:rsidR="008B74D0" w:rsidRPr="00905499">
        <w:rPr>
          <w:rFonts w:ascii="Times New Roman" w:hAnsi="Times New Roman" w:cs="Times New Roman"/>
          <w:lang w:val="en-US"/>
        </w:rPr>
        <w:t xml:space="preserve"> may</w:t>
      </w:r>
      <w:r w:rsidR="003C3CCD" w:rsidRPr="00905499">
        <w:rPr>
          <w:rFonts w:ascii="Times New Roman" w:hAnsi="Times New Roman" w:cs="Times New Roman"/>
          <w:lang w:val="en-US"/>
        </w:rPr>
        <w:t xml:space="preserve"> promote university preferences among </w:t>
      </w:r>
      <w:r w:rsidR="008B74D0" w:rsidRPr="00905499">
        <w:rPr>
          <w:rFonts w:ascii="Times New Roman" w:hAnsi="Times New Roman" w:cs="Times New Roman"/>
          <w:lang w:val="en-US"/>
        </w:rPr>
        <w:t>a young person’s</w:t>
      </w:r>
      <w:r w:rsidR="003C3CCD" w:rsidRPr="00905499">
        <w:rPr>
          <w:rFonts w:ascii="Times New Roman" w:hAnsi="Times New Roman" w:cs="Times New Roman"/>
          <w:lang w:val="en-US"/>
        </w:rPr>
        <w:t xml:space="preserve"> peers</w:t>
      </w:r>
      <w:r w:rsidR="008B74D0" w:rsidRPr="00905499">
        <w:rPr>
          <w:rFonts w:ascii="Times New Roman" w:hAnsi="Times New Roman" w:cs="Times New Roman"/>
          <w:lang w:val="en-US"/>
        </w:rPr>
        <w:t>, thereby</w:t>
      </w:r>
      <w:r w:rsidR="003C3CCD" w:rsidRPr="00905499">
        <w:rPr>
          <w:rFonts w:ascii="Times New Roman" w:hAnsi="Times New Roman" w:cs="Times New Roman"/>
          <w:lang w:val="en-US"/>
        </w:rPr>
        <w:t xml:space="preserve"> </w:t>
      </w:r>
      <w:r w:rsidR="008B74D0" w:rsidRPr="00905499">
        <w:rPr>
          <w:rFonts w:ascii="Times New Roman" w:hAnsi="Times New Roman" w:cs="Times New Roman"/>
          <w:lang w:val="en-US"/>
        </w:rPr>
        <w:t>also</w:t>
      </w:r>
      <w:r w:rsidR="003C3CCD" w:rsidRPr="00905499">
        <w:rPr>
          <w:rFonts w:ascii="Times New Roman" w:hAnsi="Times New Roman" w:cs="Times New Roman"/>
          <w:lang w:val="en-US"/>
        </w:rPr>
        <w:t xml:space="preserve"> </w:t>
      </w:r>
      <w:r w:rsidR="008B74D0" w:rsidRPr="00905499">
        <w:rPr>
          <w:rFonts w:ascii="Times New Roman" w:hAnsi="Times New Roman" w:cs="Times New Roman"/>
          <w:lang w:val="en-US"/>
        </w:rPr>
        <w:t xml:space="preserve">encouraging their own </w:t>
      </w:r>
      <w:r w:rsidR="003C3CCD" w:rsidRPr="00905499">
        <w:rPr>
          <w:rFonts w:ascii="Times New Roman" w:hAnsi="Times New Roman" w:cs="Times New Roman"/>
          <w:lang w:val="en-US"/>
        </w:rPr>
        <w:t xml:space="preserve">university entry. </w:t>
      </w:r>
      <w:r w:rsidR="0080430F" w:rsidRPr="00905499">
        <w:rPr>
          <w:rFonts w:ascii="Times New Roman" w:hAnsi="Times New Roman" w:cs="Times New Roman"/>
          <w:lang w:val="en-US"/>
        </w:rPr>
        <w:t xml:space="preserve">It is </w:t>
      </w:r>
      <w:r w:rsidR="00A97ED2" w:rsidRPr="00905499">
        <w:rPr>
          <w:rFonts w:ascii="Times New Roman" w:hAnsi="Times New Roman" w:cs="Times New Roman"/>
          <w:lang w:val="en-US"/>
        </w:rPr>
        <w:t>thus</w:t>
      </w:r>
      <w:r w:rsidR="0080430F" w:rsidRPr="00905499">
        <w:rPr>
          <w:rFonts w:ascii="Times New Roman" w:hAnsi="Times New Roman" w:cs="Times New Roman"/>
          <w:lang w:val="en-US"/>
        </w:rPr>
        <w:t xml:space="preserve"> possible</w:t>
      </w:r>
      <w:r w:rsidR="002F3E31" w:rsidRPr="00905499">
        <w:rPr>
          <w:rFonts w:ascii="Times New Roman" w:hAnsi="Times New Roman" w:cs="Times New Roman"/>
          <w:lang w:val="en-US"/>
        </w:rPr>
        <w:t xml:space="preserve"> that </w:t>
      </w:r>
      <w:r w:rsidR="002402A0" w:rsidRPr="00905499">
        <w:rPr>
          <w:rFonts w:ascii="Times New Roman" w:hAnsi="Times New Roman" w:cs="Times New Roman"/>
          <w:lang w:val="en-US"/>
        </w:rPr>
        <w:t>adolescents</w:t>
      </w:r>
      <w:r w:rsidR="002F3E31" w:rsidRPr="00905499">
        <w:rPr>
          <w:rFonts w:ascii="Times New Roman" w:hAnsi="Times New Roman" w:cs="Times New Roman"/>
          <w:lang w:val="en-US"/>
        </w:rPr>
        <w:t xml:space="preserve"> in rural and remote regions may have lower </w:t>
      </w:r>
      <w:r w:rsidR="008B74D0" w:rsidRPr="00905499">
        <w:rPr>
          <w:rFonts w:ascii="Times New Roman" w:hAnsi="Times New Roman" w:cs="Times New Roman"/>
          <w:lang w:val="en-US"/>
        </w:rPr>
        <w:t xml:space="preserve">educational </w:t>
      </w:r>
      <w:r w:rsidR="002F3E31" w:rsidRPr="00905499">
        <w:rPr>
          <w:rFonts w:ascii="Times New Roman" w:hAnsi="Times New Roman" w:cs="Times New Roman"/>
          <w:lang w:val="en-US"/>
        </w:rPr>
        <w:t xml:space="preserve">expectations because they </w:t>
      </w:r>
      <w:r w:rsidR="00A97ED2" w:rsidRPr="00905499">
        <w:rPr>
          <w:rFonts w:ascii="Times New Roman" w:hAnsi="Times New Roman" w:cs="Times New Roman"/>
          <w:lang w:val="en-US"/>
        </w:rPr>
        <w:t>do not have access to the same outreach programs</w:t>
      </w:r>
      <w:r w:rsidR="0080430F" w:rsidRPr="00905499">
        <w:rPr>
          <w:rFonts w:ascii="Times New Roman" w:hAnsi="Times New Roman" w:cs="Times New Roman"/>
          <w:lang w:val="en-US"/>
        </w:rPr>
        <w:t xml:space="preserve"> (Mangan et al., 2010)</w:t>
      </w:r>
      <w:r w:rsidR="002F3E31" w:rsidRPr="00905499">
        <w:rPr>
          <w:rFonts w:ascii="Times New Roman" w:hAnsi="Times New Roman" w:cs="Times New Roman"/>
          <w:lang w:val="en-US"/>
        </w:rPr>
        <w:t xml:space="preserve">. </w:t>
      </w:r>
      <w:r w:rsidR="00481EBD" w:rsidRPr="00905499">
        <w:rPr>
          <w:rFonts w:ascii="Times New Roman" w:hAnsi="Times New Roman" w:cs="Times New Roman"/>
          <w:lang w:val="en-US"/>
        </w:rPr>
        <w:t xml:space="preserve">There remains limited empirical evidence, however, as to whether young people who live further away from a university campus actually do receive less university </w:t>
      </w:r>
      <w:r w:rsidR="00481EBD" w:rsidRPr="00905499">
        <w:rPr>
          <w:rFonts w:ascii="Times New Roman" w:hAnsi="Times New Roman" w:cs="Times New Roman"/>
          <w:lang w:val="en-US"/>
        </w:rPr>
        <w:lastRenderedPageBreak/>
        <w:t>outreach programs. Such a hypothes</w:t>
      </w:r>
      <w:r w:rsidR="0079507C" w:rsidRPr="00905499">
        <w:rPr>
          <w:rFonts w:ascii="Times New Roman" w:hAnsi="Times New Roman" w:cs="Times New Roman"/>
          <w:lang w:val="en-US"/>
        </w:rPr>
        <w:t>i</w:t>
      </w:r>
      <w:r w:rsidR="00481EBD" w:rsidRPr="00905499">
        <w:rPr>
          <w:rFonts w:ascii="Times New Roman" w:hAnsi="Times New Roman" w:cs="Times New Roman"/>
          <w:lang w:val="en-US"/>
        </w:rPr>
        <w:t xml:space="preserve">s needs testing in modern contexts where the advent of the </w:t>
      </w:r>
      <w:r w:rsidR="00645D3D" w:rsidRPr="00905499">
        <w:rPr>
          <w:rFonts w:ascii="Times New Roman" w:hAnsi="Times New Roman" w:cs="Times New Roman"/>
          <w:lang w:val="en-US"/>
        </w:rPr>
        <w:t>Internet</w:t>
      </w:r>
      <w:r w:rsidR="00481EBD" w:rsidRPr="00905499">
        <w:rPr>
          <w:rFonts w:ascii="Times New Roman" w:hAnsi="Times New Roman" w:cs="Times New Roman"/>
          <w:lang w:val="en-US"/>
        </w:rPr>
        <w:t xml:space="preserve"> allows </w:t>
      </w:r>
      <w:r w:rsidR="004C1A25" w:rsidRPr="00905499">
        <w:rPr>
          <w:rFonts w:ascii="Times New Roman" w:hAnsi="Times New Roman" w:cs="Times New Roman"/>
          <w:lang w:val="en-US"/>
        </w:rPr>
        <w:t xml:space="preserve">universities </w:t>
      </w:r>
      <w:r w:rsidR="00481EBD" w:rsidRPr="00905499">
        <w:rPr>
          <w:rFonts w:ascii="Times New Roman" w:hAnsi="Times New Roman" w:cs="Times New Roman"/>
          <w:lang w:val="en-US"/>
        </w:rPr>
        <w:t xml:space="preserve">greater access to remote communities. </w:t>
      </w:r>
    </w:p>
    <w:p w14:paraId="617E704A" w14:textId="77777777" w:rsidR="00856881" w:rsidRPr="00905499" w:rsidRDefault="008F1F2B" w:rsidP="00856881">
      <w:pPr>
        <w:spacing w:line="360" w:lineRule="auto"/>
        <w:jc w:val="both"/>
        <w:rPr>
          <w:rFonts w:ascii="Times New Roman" w:hAnsi="Times New Roman" w:cs="Times New Roman"/>
          <w:b/>
          <w:lang w:val="en-US"/>
        </w:rPr>
      </w:pPr>
      <w:r w:rsidRPr="00905499">
        <w:rPr>
          <w:rFonts w:ascii="Times New Roman" w:hAnsi="Times New Roman" w:cs="Times New Roman"/>
          <w:lang w:val="en-US"/>
        </w:rPr>
        <w:t xml:space="preserve"> </w:t>
      </w:r>
      <w:r w:rsidR="00856881" w:rsidRPr="00905499">
        <w:rPr>
          <w:rFonts w:ascii="Times New Roman" w:hAnsi="Times New Roman" w:cs="Times New Roman"/>
          <w:b/>
          <w:lang w:val="en-US"/>
        </w:rPr>
        <w:t>Elite University Entry</w:t>
      </w:r>
    </w:p>
    <w:p w14:paraId="746D6409" w14:textId="66093E07" w:rsidR="00CC1D5F" w:rsidRPr="00905499" w:rsidRDefault="00ED1798" w:rsidP="003F3F07">
      <w:pPr>
        <w:spacing w:line="360" w:lineRule="auto"/>
        <w:ind w:firstLine="720"/>
        <w:jc w:val="both"/>
        <w:rPr>
          <w:rFonts w:ascii="Times New Roman" w:hAnsi="Times New Roman" w:cs="Times New Roman"/>
          <w:lang w:val="en-US"/>
        </w:rPr>
      </w:pPr>
      <w:r w:rsidRPr="00905499">
        <w:rPr>
          <w:rFonts w:ascii="Times New Roman" w:hAnsi="Times New Roman" w:cs="Times New Roman"/>
          <w:lang w:val="en-US"/>
        </w:rPr>
        <w:t>Up to</w:t>
      </w:r>
      <w:r w:rsidR="000740B7" w:rsidRPr="00905499">
        <w:rPr>
          <w:rFonts w:ascii="Times New Roman" w:hAnsi="Times New Roman" w:cs="Times New Roman"/>
          <w:lang w:val="en-US"/>
        </w:rPr>
        <w:t xml:space="preserve"> </w:t>
      </w:r>
      <w:r w:rsidR="00FA3BAF" w:rsidRPr="00905499">
        <w:rPr>
          <w:rFonts w:ascii="Times New Roman" w:hAnsi="Times New Roman" w:cs="Times New Roman"/>
          <w:lang w:val="en-US"/>
        </w:rPr>
        <w:t>now</w:t>
      </w:r>
      <w:r w:rsidR="00BF3CEC">
        <w:rPr>
          <w:rFonts w:ascii="Times New Roman" w:hAnsi="Times New Roman" w:cs="Times New Roman"/>
          <w:lang w:val="en-US"/>
        </w:rPr>
        <w:t>,</w:t>
      </w:r>
      <w:r w:rsidR="00FA3BAF" w:rsidRPr="00905499">
        <w:rPr>
          <w:rFonts w:ascii="Times New Roman" w:hAnsi="Times New Roman" w:cs="Times New Roman"/>
          <w:lang w:val="en-US"/>
        </w:rPr>
        <w:t xml:space="preserve"> we have focused our attention on university entry. Increasingly, however, the issue of institutional choice is a </w:t>
      </w:r>
      <w:r w:rsidR="00337BC9" w:rsidRPr="00905499">
        <w:rPr>
          <w:rFonts w:ascii="Times New Roman" w:hAnsi="Times New Roman" w:cs="Times New Roman"/>
          <w:lang w:val="en-US"/>
        </w:rPr>
        <w:t>critical factor in explaining long-term st</w:t>
      </w:r>
      <w:r w:rsidR="00405702" w:rsidRPr="00905499">
        <w:rPr>
          <w:rFonts w:ascii="Times New Roman" w:hAnsi="Times New Roman" w:cs="Times New Roman"/>
          <w:lang w:val="en-US"/>
        </w:rPr>
        <w:t>atus attainment (Jerrim et al., in press</w:t>
      </w:r>
      <w:r w:rsidR="00337BC9" w:rsidRPr="00905499">
        <w:rPr>
          <w:rFonts w:ascii="Times New Roman" w:hAnsi="Times New Roman" w:cs="Times New Roman"/>
          <w:lang w:val="en-US"/>
        </w:rPr>
        <w:t xml:space="preserve">; Bowen et al., 2010). </w:t>
      </w:r>
      <w:r w:rsidR="00CC1D5F" w:rsidRPr="00905499">
        <w:rPr>
          <w:rFonts w:ascii="Times New Roman" w:hAnsi="Times New Roman" w:cs="Times New Roman"/>
          <w:lang w:val="en-US"/>
        </w:rPr>
        <w:t>Graduates from such universities earn more (Black &amp; Smith, 2006; Hoekstra, 2009; Long, 2007), with a “quality” signal to employers that have implications for long term status attainment (</w:t>
      </w:r>
      <w:r w:rsidR="00CC1D5F" w:rsidRPr="00905499">
        <w:rPr>
          <w:rFonts w:ascii="Times New Roman" w:hAnsi="Times New Roman" w:cs="Times New Roman"/>
          <w:color w:val="000000" w:themeColor="text1"/>
          <w:lang w:val="en-US"/>
        </w:rPr>
        <w:t>Rivera, 2011)</w:t>
      </w:r>
      <w:r w:rsidR="00CC1D5F" w:rsidRPr="00905499">
        <w:rPr>
          <w:rFonts w:ascii="Times New Roman" w:hAnsi="Times New Roman" w:cs="Times New Roman"/>
          <w:lang w:val="en-US"/>
        </w:rPr>
        <w:t xml:space="preserve">. A critical concern then is the degree to which the theoretical model outlined in Figure 1 holds not just for entry into university globally, but for those who </w:t>
      </w:r>
      <w:r w:rsidR="00645D3D" w:rsidRPr="00905499">
        <w:rPr>
          <w:rFonts w:ascii="Times New Roman" w:hAnsi="Times New Roman" w:cs="Times New Roman"/>
          <w:lang w:val="en-US"/>
        </w:rPr>
        <w:t>enroll</w:t>
      </w:r>
      <w:r w:rsidR="004F6D92">
        <w:rPr>
          <w:rFonts w:ascii="Times New Roman" w:hAnsi="Times New Roman" w:cs="Times New Roman"/>
          <w:lang w:val="en-US"/>
        </w:rPr>
        <w:t xml:space="preserve"> in an elite university (the gra</w:t>
      </w:r>
      <w:r w:rsidR="00CC1D5F" w:rsidRPr="00905499">
        <w:rPr>
          <w:rFonts w:ascii="Times New Roman" w:hAnsi="Times New Roman" w:cs="Times New Roman"/>
          <w:lang w:val="en-US"/>
        </w:rPr>
        <w:t>y box in Figure 1).</w:t>
      </w:r>
      <w:r w:rsidR="00E1549F" w:rsidRPr="00905499">
        <w:rPr>
          <w:rFonts w:ascii="Times New Roman" w:hAnsi="Times New Roman" w:cs="Times New Roman"/>
          <w:lang w:val="en-US"/>
        </w:rPr>
        <w:t xml:space="preserve"> Here we turn our focus to institution choice and thus our focus moves from distance to any university to distance to an elite university.</w:t>
      </w:r>
    </w:p>
    <w:p w14:paraId="4440BBAE" w14:textId="416BC707" w:rsidR="003F3F07" w:rsidRPr="00905499" w:rsidRDefault="00337BC9" w:rsidP="003F3F07">
      <w:pPr>
        <w:spacing w:line="360" w:lineRule="auto"/>
        <w:ind w:firstLine="720"/>
        <w:jc w:val="both"/>
        <w:rPr>
          <w:rFonts w:ascii="Times New Roman" w:hAnsi="Times New Roman" w:cs="Times New Roman"/>
          <w:b/>
          <w:lang w:val="en-US"/>
        </w:rPr>
      </w:pPr>
      <w:r w:rsidRPr="00905499">
        <w:rPr>
          <w:rFonts w:ascii="Times New Roman" w:hAnsi="Times New Roman" w:cs="Times New Roman"/>
          <w:lang w:val="en-US"/>
        </w:rPr>
        <w:t>A</w:t>
      </w:r>
      <w:r w:rsidR="003F3F07" w:rsidRPr="00905499">
        <w:rPr>
          <w:rFonts w:ascii="Times New Roman" w:hAnsi="Times New Roman" w:cs="Times New Roman"/>
          <w:lang w:val="en-US"/>
        </w:rPr>
        <w:t xml:space="preserve"> notable conclusion from the work of Gibbons and Vignoles (2009) in the </w:t>
      </w:r>
      <w:r w:rsidR="007E7FB7">
        <w:rPr>
          <w:rFonts w:ascii="Times New Roman" w:hAnsi="Times New Roman" w:cs="Times New Roman"/>
          <w:lang w:val="en-US"/>
        </w:rPr>
        <w:t>U.K.</w:t>
      </w:r>
      <w:r w:rsidRPr="00905499">
        <w:rPr>
          <w:rFonts w:ascii="Times New Roman" w:hAnsi="Times New Roman" w:cs="Times New Roman"/>
          <w:lang w:val="en-US"/>
        </w:rPr>
        <w:t xml:space="preserve"> is that distance may also have a critical role in whether young people </w:t>
      </w:r>
      <w:r w:rsidR="00645D3D" w:rsidRPr="00905499">
        <w:rPr>
          <w:rFonts w:ascii="Times New Roman" w:hAnsi="Times New Roman" w:cs="Times New Roman"/>
          <w:lang w:val="en-US"/>
        </w:rPr>
        <w:t>enroll</w:t>
      </w:r>
      <w:r w:rsidRPr="00905499">
        <w:rPr>
          <w:rFonts w:ascii="Times New Roman" w:hAnsi="Times New Roman" w:cs="Times New Roman"/>
          <w:lang w:val="en-US"/>
        </w:rPr>
        <w:t xml:space="preserve"> in elite universities</w:t>
      </w:r>
      <w:r w:rsidR="003F3F07" w:rsidRPr="00905499">
        <w:rPr>
          <w:rFonts w:ascii="Times New Roman" w:hAnsi="Times New Roman" w:cs="Times New Roman"/>
          <w:lang w:val="en-US"/>
        </w:rPr>
        <w:t xml:space="preserve">. </w:t>
      </w:r>
      <w:r w:rsidR="00E1549F" w:rsidRPr="00905499">
        <w:rPr>
          <w:rFonts w:ascii="Times New Roman" w:hAnsi="Times New Roman" w:cs="Times New Roman"/>
          <w:lang w:val="en-US"/>
        </w:rPr>
        <w:t xml:space="preserve">Indeed, their findings suggest that distance is the single most important factor in institutional choice. </w:t>
      </w:r>
      <w:r w:rsidR="003F3F07" w:rsidRPr="00905499">
        <w:rPr>
          <w:rFonts w:ascii="Times New Roman" w:hAnsi="Times New Roman" w:cs="Times New Roman"/>
          <w:lang w:val="en-US"/>
        </w:rPr>
        <w:t>Mangan</w:t>
      </w:r>
      <w:r w:rsidR="006D116F" w:rsidRPr="00905499">
        <w:rPr>
          <w:rFonts w:ascii="Times New Roman" w:hAnsi="Times New Roman" w:cs="Times New Roman"/>
          <w:lang w:val="en-US"/>
        </w:rPr>
        <w:t xml:space="preserve"> et al.</w:t>
      </w:r>
      <w:r w:rsidR="003F3F07" w:rsidRPr="00905499">
        <w:rPr>
          <w:rFonts w:ascii="Times New Roman" w:hAnsi="Times New Roman" w:cs="Times New Roman"/>
          <w:lang w:val="en-US"/>
        </w:rPr>
        <w:t xml:space="preserve"> (2010)</w:t>
      </w:r>
      <w:r w:rsidRPr="00905499">
        <w:rPr>
          <w:rFonts w:ascii="Times New Roman" w:hAnsi="Times New Roman" w:cs="Times New Roman"/>
          <w:lang w:val="en-US"/>
        </w:rPr>
        <w:t xml:space="preserve"> likewise</w:t>
      </w:r>
      <w:r w:rsidR="003F3F07" w:rsidRPr="00905499">
        <w:rPr>
          <w:rFonts w:ascii="Times New Roman" w:hAnsi="Times New Roman" w:cs="Times New Roman"/>
          <w:lang w:val="en-US"/>
        </w:rPr>
        <w:t xml:space="preserve"> </w:t>
      </w:r>
      <w:r w:rsidR="00367DE9" w:rsidRPr="00905499">
        <w:rPr>
          <w:rFonts w:ascii="Times New Roman" w:hAnsi="Times New Roman" w:cs="Times New Roman"/>
          <w:lang w:val="en-US"/>
        </w:rPr>
        <w:t xml:space="preserve">suggest </w:t>
      </w:r>
      <w:r w:rsidR="00BF3CEC">
        <w:rPr>
          <w:rFonts w:ascii="Times New Roman" w:hAnsi="Times New Roman" w:cs="Times New Roman"/>
          <w:lang w:val="en-US"/>
        </w:rPr>
        <w:t xml:space="preserve">that </w:t>
      </w:r>
      <w:r w:rsidR="00367DE9" w:rsidRPr="00905499">
        <w:rPr>
          <w:rFonts w:ascii="Times New Roman" w:hAnsi="Times New Roman" w:cs="Times New Roman"/>
          <w:lang w:val="en-US"/>
        </w:rPr>
        <w:t>there exists a “</w:t>
      </w:r>
      <w:r w:rsidR="003F3F07" w:rsidRPr="00905499">
        <w:rPr>
          <w:rFonts w:ascii="Times New Roman" w:hAnsi="Times New Roman" w:cs="Times New Roman"/>
          <w:lang w:val="en-US"/>
        </w:rPr>
        <w:t>postcode lottery</w:t>
      </w:r>
      <w:r w:rsidR="00367DE9" w:rsidRPr="00905499">
        <w:rPr>
          <w:rFonts w:ascii="Times New Roman" w:hAnsi="Times New Roman" w:cs="Times New Roman"/>
          <w:lang w:val="en-US"/>
        </w:rPr>
        <w:t>”</w:t>
      </w:r>
      <w:r w:rsidR="003F3F07" w:rsidRPr="00905499">
        <w:rPr>
          <w:rFonts w:ascii="Times New Roman" w:hAnsi="Times New Roman" w:cs="Times New Roman"/>
          <w:lang w:val="en-US"/>
        </w:rPr>
        <w:t xml:space="preserve"> in the same country (the </w:t>
      </w:r>
      <w:r w:rsidR="007E7FB7">
        <w:rPr>
          <w:rFonts w:ascii="Times New Roman" w:hAnsi="Times New Roman" w:cs="Times New Roman"/>
          <w:lang w:val="en-US"/>
        </w:rPr>
        <w:t>U.K.</w:t>
      </w:r>
      <w:r w:rsidR="003F3F07" w:rsidRPr="00905499">
        <w:rPr>
          <w:rFonts w:ascii="Times New Roman" w:hAnsi="Times New Roman" w:cs="Times New Roman"/>
          <w:lang w:val="en-US"/>
        </w:rPr>
        <w:t xml:space="preserve">) when it comes to accessing elite universities. In the United States, Bowen et al (2010) note similar concerns, with those from rural and remote areas being less likely to attend </w:t>
      </w:r>
      <w:r w:rsidR="00B00ED9" w:rsidRPr="00905499">
        <w:rPr>
          <w:rFonts w:ascii="Times New Roman" w:hAnsi="Times New Roman" w:cs="Times New Roman"/>
          <w:lang w:val="en-US"/>
        </w:rPr>
        <w:t xml:space="preserve">elite </w:t>
      </w:r>
      <w:r w:rsidR="003F3F07" w:rsidRPr="00905499">
        <w:rPr>
          <w:rFonts w:ascii="Times New Roman" w:hAnsi="Times New Roman" w:cs="Times New Roman"/>
          <w:lang w:val="en-US"/>
        </w:rPr>
        <w:t>universities and more likely to attend community colleges. Much of this effect, in the U</w:t>
      </w:r>
      <w:r w:rsidR="008A44BC">
        <w:rPr>
          <w:rFonts w:ascii="Times New Roman" w:hAnsi="Times New Roman" w:cs="Times New Roman"/>
          <w:lang w:val="en-US"/>
        </w:rPr>
        <w:t>.</w:t>
      </w:r>
      <w:r w:rsidR="003F3F07" w:rsidRPr="00905499">
        <w:rPr>
          <w:rFonts w:ascii="Times New Roman" w:hAnsi="Times New Roman" w:cs="Times New Roman"/>
          <w:lang w:val="en-US"/>
        </w:rPr>
        <w:t>S</w:t>
      </w:r>
      <w:r w:rsidR="008A44BC">
        <w:rPr>
          <w:rFonts w:ascii="Times New Roman" w:hAnsi="Times New Roman" w:cs="Times New Roman"/>
          <w:lang w:val="en-US"/>
        </w:rPr>
        <w:t>.</w:t>
      </w:r>
      <w:r w:rsidR="003F3F07" w:rsidRPr="00905499">
        <w:rPr>
          <w:rFonts w:ascii="Times New Roman" w:hAnsi="Times New Roman" w:cs="Times New Roman"/>
          <w:lang w:val="en-US"/>
        </w:rPr>
        <w:t xml:space="preserve">, is likely explained by geography, with almost half of all elite universities located in the north east of the country (Griffith &amp; Rothstein, 2009). In Australia the idea that geography may have an influence on access to elite universities is particularly concerning, given that all Group of Eight (Go8) institutions are in major cities, and all but two are in the southeast (see Figure </w:t>
      </w:r>
      <w:r w:rsidR="00CC1D5F" w:rsidRPr="00905499">
        <w:rPr>
          <w:rFonts w:ascii="Times New Roman" w:hAnsi="Times New Roman" w:cs="Times New Roman"/>
          <w:lang w:val="en-US"/>
        </w:rPr>
        <w:t>2</w:t>
      </w:r>
      <w:r w:rsidR="003F3F07" w:rsidRPr="00905499">
        <w:rPr>
          <w:rFonts w:ascii="Times New Roman" w:hAnsi="Times New Roman" w:cs="Times New Roman"/>
          <w:lang w:val="en-US"/>
        </w:rPr>
        <w:t>).</w:t>
      </w:r>
    </w:p>
    <w:p w14:paraId="113BB9BA" w14:textId="2C58C544" w:rsidR="00834609" w:rsidRPr="00905499" w:rsidRDefault="008F1F2B" w:rsidP="006B325F">
      <w:pPr>
        <w:spacing w:line="360" w:lineRule="auto"/>
        <w:jc w:val="center"/>
        <w:rPr>
          <w:rFonts w:ascii="Times New Roman" w:hAnsi="Times New Roman" w:cs="Times New Roman"/>
          <w:b/>
          <w:lang w:val="en-US"/>
        </w:rPr>
      </w:pPr>
      <w:r w:rsidRPr="00905499">
        <w:rPr>
          <w:rFonts w:ascii="Times New Roman" w:hAnsi="Times New Roman" w:cs="Times New Roman"/>
          <w:b/>
          <w:lang w:val="en-US"/>
        </w:rPr>
        <w:t>Current Research</w:t>
      </w:r>
    </w:p>
    <w:p w14:paraId="386ECE61" w14:textId="58F2F046" w:rsidR="00834609" w:rsidRPr="00905499" w:rsidRDefault="00FE3B12" w:rsidP="008B74D0">
      <w:pPr>
        <w:spacing w:line="360" w:lineRule="auto"/>
        <w:ind w:firstLine="360"/>
        <w:jc w:val="both"/>
        <w:rPr>
          <w:rFonts w:ascii="Times New Roman" w:hAnsi="Times New Roman" w:cs="Times New Roman"/>
          <w:lang w:val="en-US"/>
        </w:rPr>
      </w:pPr>
      <w:r w:rsidRPr="00905499">
        <w:rPr>
          <w:rFonts w:ascii="Times New Roman" w:hAnsi="Times New Roman" w:cs="Times New Roman"/>
          <w:lang w:val="en-US"/>
        </w:rPr>
        <w:t xml:space="preserve">In the current research we identify </w:t>
      </w:r>
      <w:r w:rsidR="00D13A0A" w:rsidRPr="00905499">
        <w:rPr>
          <w:rFonts w:ascii="Times New Roman" w:hAnsi="Times New Roman" w:cs="Times New Roman"/>
          <w:lang w:val="en-US"/>
        </w:rPr>
        <w:t xml:space="preserve">and test a series of hypotheses about the </w:t>
      </w:r>
      <w:r w:rsidRPr="00905499">
        <w:rPr>
          <w:rFonts w:ascii="Times New Roman" w:hAnsi="Times New Roman" w:cs="Times New Roman"/>
          <w:lang w:val="en-US"/>
        </w:rPr>
        <w:t>mechanisms by which distance may affect university entry</w:t>
      </w:r>
      <w:r w:rsidR="00D13A0A" w:rsidRPr="00905499">
        <w:rPr>
          <w:rFonts w:ascii="Times New Roman" w:hAnsi="Times New Roman" w:cs="Times New Roman"/>
          <w:lang w:val="en-US"/>
        </w:rPr>
        <w:t xml:space="preserve"> and subsequently</w:t>
      </w:r>
      <w:r w:rsidR="00692D01" w:rsidRPr="00905499">
        <w:rPr>
          <w:rFonts w:ascii="Times New Roman" w:hAnsi="Times New Roman" w:cs="Times New Roman"/>
          <w:lang w:val="en-US"/>
        </w:rPr>
        <w:t xml:space="preserve"> enrolment in an elite university</w:t>
      </w:r>
      <w:r w:rsidRPr="00905499">
        <w:rPr>
          <w:rFonts w:ascii="Times New Roman" w:hAnsi="Times New Roman" w:cs="Times New Roman"/>
          <w:lang w:val="en-US"/>
        </w:rPr>
        <w:t xml:space="preserve">. </w:t>
      </w:r>
      <w:r w:rsidR="009742E5" w:rsidRPr="00905499">
        <w:rPr>
          <w:rFonts w:ascii="Times New Roman" w:hAnsi="Times New Roman" w:cs="Times New Roman"/>
          <w:lang w:val="en-US"/>
        </w:rPr>
        <w:t xml:space="preserve">We specify four broad </w:t>
      </w:r>
      <w:r w:rsidR="00692D01" w:rsidRPr="00905499">
        <w:rPr>
          <w:rFonts w:ascii="Times New Roman" w:hAnsi="Times New Roman" w:cs="Times New Roman"/>
          <w:lang w:val="en-US"/>
        </w:rPr>
        <w:t>hypotheses.</w:t>
      </w:r>
    </w:p>
    <w:p w14:paraId="3ABA5661" w14:textId="594A3D7D" w:rsidR="009742E5" w:rsidRPr="00905499" w:rsidRDefault="009742E5" w:rsidP="009742E5">
      <w:pPr>
        <w:spacing w:line="360" w:lineRule="auto"/>
        <w:jc w:val="both"/>
        <w:rPr>
          <w:rFonts w:ascii="Times New Roman" w:hAnsi="Times New Roman" w:cs="Times New Roman"/>
          <w:b/>
          <w:lang w:val="en-US"/>
        </w:rPr>
      </w:pPr>
      <w:r w:rsidRPr="00905499">
        <w:rPr>
          <w:rFonts w:ascii="Times New Roman" w:hAnsi="Times New Roman" w:cs="Times New Roman"/>
          <w:b/>
          <w:lang w:val="en-US"/>
        </w:rPr>
        <w:t>Selection H</w:t>
      </w:r>
      <w:r w:rsidR="00EA169A" w:rsidRPr="00905499">
        <w:rPr>
          <w:rFonts w:ascii="Times New Roman" w:hAnsi="Times New Roman" w:cs="Times New Roman"/>
          <w:b/>
          <w:lang w:val="en-US"/>
        </w:rPr>
        <w:t>ypothesis</w:t>
      </w:r>
    </w:p>
    <w:p w14:paraId="3B5DE6B4" w14:textId="19909FF5" w:rsidR="008C3641" w:rsidRPr="00905499" w:rsidRDefault="00692D01" w:rsidP="009742E5">
      <w:pPr>
        <w:spacing w:line="360" w:lineRule="auto"/>
        <w:ind w:firstLine="360"/>
        <w:jc w:val="both"/>
        <w:rPr>
          <w:rFonts w:ascii="Times New Roman" w:hAnsi="Times New Roman" w:cs="Times New Roman"/>
          <w:lang w:val="en-US"/>
        </w:rPr>
      </w:pPr>
      <w:r w:rsidRPr="00905499">
        <w:rPr>
          <w:rFonts w:ascii="Times New Roman" w:hAnsi="Times New Roman" w:cs="Times New Roman"/>
          <w:lang w:val="en-US"/>
        </w:rPr>
        <w:t>We predict that</w:t>
      </w:r>
      <w:r w:rsidR="00C20378" w:rsidRPr="00905499">
        <w:rPr>
          <w:rFonts w:ascii="Times New Roman" w:hAnsi="Times New Roman" w:cs="Times New Roman"/>
          <w:lang w:val="en-US"/>
        </w:rPr>
        <w:t xml:space="preserve"> distance has an</w:t>
      </w:r>
      <w:r w:rsidR="008C3641" w:rsidRPr="00905499">
        <w:rPr>
          <w:rFonts w:ascii="Times New Roman" w:hAnsi="Times New Roman" w:cs="Times New Roman"/>
          <w:lang w:val="en-US"/>
        </w:rPr>
        <w:t xml:space="preserve"> effect on university outcomes</w:t>
      </w:r>
      <w:r w:rsidR="0001642F" w:rsidRPr="00905499">
        <w:rPr>
          <w:rFonts w:ascii="Times New Roman" w:hAnsi="Times New Roman" w:cs="Times New Roman"/>
          <w:lang w:val="en-US"/>
        </w:rPr>
        <w:t>,</w:t>
      </w:r>
      <w:r w:rsidR="008C3641" w:rsidRPr="00905499">
        <w:rPr>
          <w:rFonts w:ascii="Times New Roman" w:hAnsi="Times New Roman" w:cs="Times New Roman"/>
          <w:lang w:val="en-US"/>
        </w:rPr>
        <w:t xml:space="preserve"> over and above prominent covariates</w:t>
      </w:r>
      <w:r w:rsidRPr="00905499">
        <w:rPr>
          <w:rFonts w:ascii="Times New Roman" w:hAnsi="Times New Roman" w:cs="Times New Roman"/>
          <w:lang w:val="en-US"/>
        </w:rPr>
        <w:t xml:space="preserve"> and in particular socioeconomic status. Support for this hypothesis</w:t>
      </w:r>
      <w:r w:rsidR="008C3641" w:rsidRPr="00905499">
        <w:rPr>
          <w:rFonts w:ascii="Times New Roman" w:hAnsi="Times New Roman" w:cs="Times New Roman"/>
          <w:lang w:val="en-US"/>
        </w:rPr>
        <w:t xml:space="preserve"> would lend credence to a </w:t>
      </w:r>
      <w:r w:rsidR="0001642F" w:rsidRPr="00905499">
        <w:rPr>
          <w:rFonts w:ascii="Times New Roman" w:hAnsi="Times New Roman" w:cs="Times New Roman"/>
          <w:lang w:val="en-US"/>
        </w:rPr>
        <w:t>“</w:t>
      </w:r>
      <w:r w:rsidR="008C3641" w:rsidRPr="00905499">
        <w:rPr>
          <w:rFonts w:ascii="Times New Roman" w:hAnsi="Times New Roman" w:cs="Times New Roman"/>
          <w:lang w:val="en-US"/>
        </w:rPr>
        <w:t>true</w:t>
      </w:r>
      <w:r w:rsidR="0001642F" w:rsidRPr="00905499">
        <w:rPr>
          <w:rFonts w:ascii="Times New Roman" w:hAnsi="Times New Roman" w:cs="Times New Roman"/>
          <w:lang w:val="en-US"/>
        </w:rPr>
        <w:t>”</w:t>
      </w:r>
      <w:r w:rsidR="008C3641" w:rsidRPr="00905499">
        <w:rPr>
          <w:rFonts w:ascii="Times New Roman" w:hAnsi="Times New Roman" w:cs="Times New Roman"/>
          <w:lang w:val="en-US"/>
        </w:rPr>
        <w:t xml:space="preserve"> </w:t>
      </w:r>
      <w:r w:rsidR="00194B5D" w:rsidRPr="00905499">
        <w:rPr>
          <w:rFonts w:ascii="Times New Roman" w:hAnsi="Times New Roman" w:cs="Times New Roman"/>
          <w:lang w:val="en-US"/>
        </w:rPr>
        <w:t>distance</w:t>
      </w:r>
      <w:r w:rsidR="008C3641" w:rsidRPr="00905499">
        <w:rPr>
          <w:rFonts w:ascii="Times New Roman" w:hAnsi="Times New Roman" w:cs="Times New Roman"/>
          <w:lang w:val="en-US"/>
        </w:rPr>
        <w:t xml:space="preserve"> effect</w:t>
      </w:r>
      <w:r w:rsidR="0001642F" w:rsidRPr="00905499">
        <w:rPr>
          <w:rFonts w:ascii="Times New Roman" w:hAnsi="Times New Roman" w:cs="Times New Roman"/>
          <w:lang w:val="en-US"/>
        </w:rPr>
        <w:t xml:space="preserve">. In other words, there is an </w:t>
      </w:r>
      <w:r w:rsidR="0001642F" w:rsidRPr="00905499">
        <w:rPr>
          <w:rFonts w:ascii="Times New Roman" w:hAnsi="Times New Roman" w:cs="Times New Roman"/>
          <w:lang w:val="en-US"/>
        </w:rPr>
        <w:lastRenderedPageBreak/>
        <w:t>effect of distance per se, and that an association with university outcomes is not simply being observed due to</w:t>
      </w:r>
      <w:r w:rsidR="008C3641" w:rsidRPr="00905499">
        <w:rPr>
          <w:rFonts w:ascii="Times New Roman" w:hAnsi="Times New Roman" w:cs="Times New Roman"/>
          <w:lang w:val="en-US"/>
        </w:rPr>
        <w:t xml:space="preserve"> </w:t>
      </w:r>
      <w:r w:rsidR="0001642F" w:rsidRPr="00905499">
        <w:rPr>
          <w:rFonts w:ascii="Times New Roman" w:hAnsi="Times New Roman" w:cs="Times New Roman"/>
          <w:lang w:val="en-US"/>
        </w:rPr>
        <w:t>social</w:t>
      </w:r>
      <w:r w:rsidR="00C20378" w:rsidRPr="00905499">
        <w:rPr>
          <w:rFonts w:ascii="Times New Roman" w:hAnsi="Times New Roman" w:cs="Times New Roman"/>
          <w:lang w:val="en-US"/>
        </w:rPr>
        <w:t xml:space="preserve"> selection</w:t>
      </w:r>
      <w:r w:rsidR="008C3641" w:rsidRPr="00905499">
        <w:rPr>
          <w:rFonts w:ascii="Times New Roman" w:hAnsi="Times New Roman" w:cs="Times New Roman"/>
          <w:lang w:val="en-US"/>
        </w:rPr>
        <w:t>.</w:t>
      </w:r>
    </w:p>
    <w:p w14:paraId="6A31D37B" w14:textId="77B91C55" w:rsidR="009742E5" w:rsidRPr="00905499" w:rsidRDefault="00692D01" w:rsidP="009742E5">
      <w:pPr>
        <w:spacing w:line="360" w:lineRule="auto"/>
        <w:jc w:val="both"/>
        <w:rPr>
          <w:rFonts w:ascii="Times New Roman" w:hAnsi="Times New Roman" w:cs="Times New Roman"/>
          <w:b/>
          <w:lang w:val="en-US"/>
        </w:rPr>
      </w:pPr>
      <w:r w:rsidRPr="00905499">
        <w:rPr>
          <w:rFonts w:ascii="Times New Roman" w:hAnsi="Times New Roman" w:cs="Times New Roman"/>
          <w:b/>
          <w:lang w:val="en-US"/>
        </w:rPr>
        <w:t>A</w:t>
      </w:r>
      <w:r w:rsidR="009742E5" w:rsidRPr="00905499">
        <w:rPr>
          <w:rFonts w:ascii="Times New Roman" w:hAnsi="Times New Roman" w:cs="Times New Roman"/>
          <w:b/>
          <w:lang w:val="en-US"/>
        </w:rPr>
        <w:t xml:space="preserve">nticipatory </w:t>
      </w:r>
      <w:r w:rsidR="001C32C7" w:rsidRPr="00905499">
        <w:rPr>
          <w:rFonts w:ascii="Times New Roman" w:hAnsi="Times New Roman" w:cs="Times New Roman"/>
          <w:b/>
          <w:lang w:val="en-US"/>
        </w:rPr>
        <w:t>Decision H</w:t>
      </w:r>
      <w:r w:rsidR="009742E5" w:rsidRPr="00905499">
        <w:rPr>
          <w:rFonts w:ascii="Times New Roman" w:hAnsi="Times New Roman" w:cs="Times New Roman"/>
          <w:b/>
          <w:lang w:val="en-US"/>
        </w:rPr>
        <w:t>ypothesis</w:t>
      </w:r>
    </w:p>
    <w:p w14:paraId="16C2BB83" w14:textId="107B4EE9" w:rsidR="00692D01" w:rsidRPr="00905499" w:rsidRDefault="00692D01" w:rsidP="009742E5">
      <w:pPr>
        <w:spacing w:line="360" w:lineRule="auto"/>
        <w:ind w:firstLine="360"/>
        <w:jc w:val="both"/>
        <w:rPr>
          <w:rFonts w:ascii="Times New Roman" w:hAnsi="Times New Roman" w:cs="Times New Roman"/>
          <w:lang w:val="en-US"/>
        </w:rPr>
      </w:pPr>
      <w:r w:rsidRPr="00905499">
        <w:rPr>
          <w:rFonts w:ascii="Times New Roman" w:hAnsi="Times New Roman" w:cs="Times New Roman"/>
          <w:i/>
          <w:lang w:val="en-US"/>
        </w:rPr>
        <w:t xml:space="preserve"> </w:t>
      </w:r>
      <w:r w:rsidRPr="00905499">
        <w:rPr>
          <w:rFonts w:ascii="Times New Roman" w:hAnsi="Times New Roman" w:cs="Times New Roman"/>
          <w:lang w:val="en-US"/>
        </w:rPr>
        <w:t xml:space="preserve">We </w:t>
      </w:r>
      <w:r w:rsidR="00ED756B" w:rsidRPr="00905499">
        <w:rPr>
          <w:rFonts w:ascii="Times New Roman" w:hAnsi="Times New Roman" w:cs="Times New Roman"/>
          <w:lang w:val="en-US"/>
        </w:rPr>
        <w:t>hypothesize</w:t>
      </w:r>
      <w:r w:rsidRPr="00905499">
        <w:rPr>
          <w:rFonts w:ascii="Times New Roman" w:hAnsi="Times New Roman" w:cs="Times New Roman"/>
          <w:lang w:val="en-US"/>
        </w:rPr>
        <w:t xml:space="preserve"> that distance has an effect on university expectations at age 15 and that these expectations will be a strong predictor of university entry. Support for this hypothesis would suggest that the effect of distance </w:t>
      </w:r>
      <w:r w:rsidR="00736646" w:rsidRPr="00905499">
        <w:rPr>
          <w:rFonts w:ascii="Times New Roman" w:hAnsi="Times New Roman" w:cs="Times New Roman"/>
          <w:lang w:val="en-US"/>
        </w:rPr>
        <w:t>is</w:t>
      </w:r>
      <w:r w:rsidRPr="00905499">
        <w:rPr>
          <w:rFonts w:ascii="Times New Roman" w:hAnsi="Times New Roman" w:cs="Times New Roman"/>
          <w:lang w:val="en-US"/>
        </w:rPr>
        <w:t xml:space="preserve"> not merely </w:t>
      </w:r>
      <w:r w:rsidR="00736646" w:rsidRPr="00905499">
        <w:rPr>
          <w:rFonts w:ascii="Times New Roman" w:hAnsi="Times New Roman" w:cs="Times New Roman"/>
          <w:lang w:val="en-US"/>
        </w:rPr>
        <w:t>due</w:t>
      </w:r>
      <w:r w:rsidRPr="00905499">
        <w:rPr>
          <w:rFonts w:ascii="Times New Roman" w:hAnsi="Times New Roman" w:cs="Times New Roman"/>
          <w:lang w:val="en-US"/>
        </w:rPr>
        <w:t xml:space="preserve"> to costs.</w:t>
      </w:r>
    </w:p>
    <w:p w14:paraId="7229E168" w14:textId="012BFE3B" w:rsidR="001C32C7" w:rsidRPr="00905499" w:rsidRDefault="001C32C7" w:rsidP="001C32C7">
      <w:pPr>
        <w:spacing w:line="360" w:lineRule="auto"/>
        <w:jc w:val="both"/>
        <w:rPr>
          <w:rFonts w:ascii="Times New Roman" w:hAnsi="Times New Roman" w:cs="Times New Roman"/>
          <w:b/>
          <w:lang w:val="en-US"/>
        </w:rPr>
      </w:pPr>
      <w:r w:rsidRPr="00905499">
        <w:rPr>
          <w:rFonts w:ascii="Times New Roman" w:hAnsi="Times New Roman" w:cs="Times New Roman"/>
          <w:b/>
          <w:lang w:val="en-US"/>
        </w:rPr>
        <w:t>Cost Hypothesis</w:t>
      </w:r>
    </w:p>
    <w:p w14:paraId="326719A7" w14:textId="3F019801" w:rsidR="00692D01" w:rsidRPr="00905499" w:rsidRDefault="00692D01" w:rsidP="001C32C7">
      <w:pPr>
        <w:spacing w:line="360" w:lineRule="auto"/>
        <w:ind w:firstLine="360"/>
        <w:jc w:val="both"/>
        <w:rPr>
          <w:rFonts w:ascii="Times New Roman" w:hAnsi="Times New Roman" w:cs="Times New Roman"/>
          <w:lang w:val="en-US"/>
        </w:rPr>
      </w:pPr>
      <w:r w:rsidRPr="00905499">
        <w:rPr>
          <w:rFonts w:ascii="Times New Roman" w:hAnsi="Times New Roman" w:cs="Times New Roman"/>
          <w:lang w:val="en-US"/>
        </w:rPr>
        <w:t xml:space="preserve">We </w:t>
      </w:r>
      <w:r w:rsidR="00ED756B" w:rsidRPr="00905499">
        <w:rPr>
          <w:rFonts w:ascii="Times New Roman" w:hAnsi="Times New Roman" w:cs="Times New Roman"/>
          <w:lang w:val="en-US"/>
        </w:rPr>
        <w:t>hypothesize</w:t>
      </w:r>
      <w:r w:rsidRPr="00905499">
        <w:rPr>
          <w:rFonts w:ascii="Times New Roman" w:hAnsi="Times New Roman" w:cs="Times New Roman"/>
          <w:lang w:val="en-US"/>
        </w:rPr>
        <w:t xml:space="preserve"> that distance has an effect on university entry controlling for educational expectations. Support for this hypothesis would indicate that the effect of distance is unlikely to </w:t>
      </w:r>
      <w:r w:rsidRPr="00905499">
        <w:rPr>
          <w:rFonts w:ascii="Times New Roman" w:hAnsi="Times New Roman" w:cs="Times New Roman"/>
          <w:i/>
          <w:lang w:val="en-US"/>
        </w:rPr>
        <w:t>only</w:t>
      </w:r>
      <w:r w:rsidRPr="00905499">
        <w:rPr>
          <w:rFonts w:ascii="Times New Roman" w:hAnsi="Times New Roman" w:cs="Times New Roman"/>
          <w:lang w:val="en-US"/>
        </w:rPr>
        <w:t xml:space="preserve"> reflect anticipatory decisions of young people. Rather it will provide indicative evidence of an important role of costs, highlighting the potential value of scholarship or bursary packages. Further,</w:t>
      </w:r>
      <w:r w:rsidRPr="00905499">
        <w:rPr>
          <w:rFonts w:ascii="Times New Roman" w:hAnsi="Times New Roman" w:cs="Times New Roman"/>
          <w:i/>
          <w:lang w:val="en-US"/>
        </w:rPr>
        <w:t xml:space="preserve"> </w:t>
      </w:r>
      <w:r w:rsidRPr="00905499">
        <w:rPr>
          <w:rFonts w:ascii="Times New Roman" w:hAnsi="Times New Roman" w:cs="Times New Roman"/>
          <w:lang w:val="en-US"/>
        </w:rPr>
        <w:t xml:space="preserve">if distance has differential effects for advantaged and disadvantaged youth, costs relating to relocation and living expenses are likely to be a major contributing factor (Gibbons &amp; Vignoles, 2009; Griffith &amp; Rothstein, 2009). </w:t>
      </w:r>
      <w:r w:rsidR="00E1549F" w:rsidRPr="00905499">
        <w:rPr>
          <w:rFonts w:ascii="Times New Roman" w:hAnsi="Times New Roman" w:cs="Times New Roman"/>
          <w:lang w:val="en-US"/>
        </w:rPr>
        <w:t>Given unique issues of the Australian context</w:t>
      </w:r>
      <w:r w:rsidR="00B47F48">
        <w:rPr>
          <w:rFonts w:ascii="Times New Roman" w:hAnsi="Times New Roman" w:cs="Times New Roman"/>
          <w:lang w:val="en-US"/>
        </w:rPr>
        <w:t>,</w:t>
      </w:r>
      <w:r w:rsidR="00E1549F" w:rsidRPr="00905499">
        <w:rPr>
          <w:rFonts w:ascii="Times New Roman" w:hAnsi="Times New Roman" w:cs="Times New Roman"/>
          <w:lang w:val="en-US"/>
        </w:rPr>
        <w:t xml:space="preserve"> we also consider the interaction between distance and Indigenous status</w:t>
      </w:r>
      <w:r w:rsidR="007A4A39" w:rsidRPr="00905499">
        <w:rPr>
          <w:rFonts w:ascii="Times New Roman" w:hAnsi="Times New Roman" w:cs="Times New Roman"/>
          <w:lang w:val="en-US"/>
        </w:rPr>
        <w:t xml:space="preserve"> (</w:t>
      </w:r>
      <w:r w:rsidR="00BD04A3" w:rsidRPr="00905499">
        <w:rPr>
          <w:rFonts w:ascii="Times New Roman" w:hAnsi="Times New Roman" w:cs="Times New Roman"/>
          <w:lang w:val="en-US"/>
        </w:rPr>
        <w:t>Parker et al., in press</w:t>
      </w:r>
      <w:r w:rsidR="007A4A39" w:rsidRPr="00905499">
        <w:rPr>
          <w:rFonts w:ascii="Times New Roman" w:hAnsi="Times New Roman" w:cs="Times New Roman"/>
          <w:lang w:val="en-US"/>
        </w:rPr>
        <w:t>)</w:t>
      </w:r>
      <w:r w:rsidR="00E1549F" w:rsidRPr="00905499">
        <w:rPr>
          <w:rFonts w:ascii="Times New Roman" w:hAnsi="Times New Roman" w:cs="Times New Roman"/>
          <w:lang w:val="en-US"/>
        </w:rPr>
        <w:t>.</w:t>
      </w:r>
      <w:r w:rsidR="00326D5D" w:rsidRPr="00905499">
        <w:rPr>
          <w:rFonts w:ascii="Times New Roman" w:hAnsi="Times New Roman" w:cs="Times New Roman"/>
          <w:lang w:val="en-US"/>
        </w:rPr>
        <w:t xml:space="preserve"> </w:t>
      </w:r>
    </w:p>
    <w:p w14:paraId="69E4ADFB" w14:textId="5363FB04" w:rsidR="001C32C7" w:rsidRPr="00905499" w:rsidRDefault="00EA169A" w:rsidP="001C32C7">
      <w:pPr>
        <w:spacing w:line="360" w:lineRule="auto"/>
        <w:jc w:val="both"/>
        <w:rPr>
          <w:rFonts w:ascii="Times New Roman" w:hAnsi="Times New Roman" w:cs="Times New Roman"/>
          <w:b/>
          <w:lang w:val="en-US"/>
        </w:rPr>
      </w:pPr>
      <w:r w:rsidRPr="00905499">
        <w:rPr>
          <w:rFonts w:ascii="Times New Roman" w:hAnsi="Times New Roman" w:cs="Times New Roman"/>
          <w:b/>
          <w:lang w:val="en-US"/>
        </w:rPr>
        <w:t>Universit</w:t>
      </w:r>
      <w:r w:rsidR="001C32C7" w:rsidRPr="00905499">
        <w:rPr>
          <w:rFonts w:ascii="Times New Roman" w:hAnsi="Times New Roman" w:cs="Times New Roman"/>
          <w:b/>
          <w:lang w:val="en-US"/>
        </w:rPr>
        <w:t xml:space="preserve">y </w:t>
      </w:r>
      <w:r w:rsidR="00227B67" w:rsidRPr="00905499">
        <w:rPr>
          <w:rFonts w:ascii="Times New Roman" w:hAnsi="Times New Roman" w:cs="Times New Roman"/>
          <w:b/>
          <w:lang w:val="en-US"/>
        </w:rPr>
        <w:t>O</w:t>
      </w:r>
      <w:r w:rsidR="001C32C7" w:rsidRPr="00905499">
        <w:rPr>
          <w:rFonts w:ascii="Times New Roman" w:hAnsi="Times New Roman" w:cs="Times New Roman"/>
          <w:b/>
          <w:lang w:val="en-US"/>
        </w:rPr>
        <w:t xml:space="preserve">utreach </w:t>
      </w:r>
      <w:r w:rsidR="00227B67" w:rsidRPr="00905499">
        <w:rPr>
          <w:rFonts w:ascii="Times New Roman" w:hAnsi="Times New Roman" w:cs="Times New Roman"/>
          <w:b/>
          <w:lang w:val="en-US"/>
        </w:rPr>
        <w:t>I</w:t>
      </w:r>
      <w:r w:rsidR="001C32C7" w:rsidRPr="00905499">
        <w:rPr>
          <w:rFonts w:ascii="Times New Roman" w:hAnsi="Times New Roman" w:cs="Times New Roman"/>
          <w:b/>
          <w:lang w:val="en-US"/>
        </w:rPr>
        <w:t xml:space="preserve">nfluence </w:t>
      </w:r>
      <w:r w:rsidR="00227B67" w:rsidRPr="00905499">
        <w:rPr>
          <w:rFonts w:ascii="Times New Roman" w:hAnsi="Times New Roman" w:cs="Times New Roman"/>
          <w:b/>
          <w:lang w:val="en-US"/>
        </w:rPr>
        <w:t>H</w:t>
      </w:r>
      <w:r w:rsidR="001C32C7" w:rsidRPr="00905499">
        <w:rPr>
          <w:rFonts w:ascii="Times New Roman" w:hAnsi="Times New Roman" w:cs="Times New Roman"/>
          <w:b/>
          <w:lang w:val="en-US"/>
        </w:rPr>
        <w:t>ypothesis</w:t>
      </w:r>
    </w:p>
    <w:p w14:paraId="59F5A374" w14:textId="65877854" w:rsidR="00250FC5" w:rsidRPr="00905499" w:rsidRDefault="00EA169A" w:rsidP="00227B67">
      <w:pPr>
        <w:spacing w:line="360" w:lineRule="auto"/>
        <w:ind w:firstLine="720"/>
        <w:jc w:val="both"/>
        <w:rPr>
          <w:rFonts w:ascii="Times New Roman" w:hAnsi="Times New Roman" w:cs="Times New Roman"/>
          <w:lang w:val="en-US"/>
        </w:rPr>
      </w:pPr>
      <w:r w:rsidRPr="00905499">
        <w:rPr>
          <w:rFonts w:ascii="Times New Roman" w:hAnsi="Times New Roman" w:cs="Times New Roman"/>
          <w:i/>
          <w:lang w:val="en-US"/>
        </w:rPr>
        <w:t xml:space="preserve"> </w:t>
      </w:r>
      <w:r w:rsidR="00F62584" w:rsidRPr="00905499">
        <w:rPr>
          <w:rFonts w:ascii="Times New Roman" w:hAnsi="Times New Roman" w:cs="Times New Roman"/>
          <w:lang w:val="en-US"/>
        </w:rPr>
        <w:t>Consistent with Turley (2009)</w:t>
      </w:r>
      <w:r w:rsidR="00B47F48">
        <w:rPr>
          <w:rFonts w:ascii="Times New Roman" w:hAnsi="Times New Roman" w:cs="Times New Roman"/>
          <w:lang w:val="en-US"/>
        </w:rPr>
        <w:t>,</w:t>
      </w:r>
      <w:r w:rsidR="00F62584" w:rsidRPr="00905499">
        <w:rPr>
          <w:rFonts w:ascii="Times New Roman" w:hAnsi="Times New Roman" w:cs="Times New Roman"/>
          <w:lang w:val="en-US"/>
        </w:rPr>
        <w:t xml:space="preserve"> we </w:t>
      </w:r>
      <w:r w:rsidR="00B47F48" w:rsidRPr="00905499">
        <w:rPr>
          <w:rFonts w:ascii="Times New Roman" w:hAnsi="Times New Roman" w:cs="Times New Roman"/>
          <w:lang w:val="en-US"/>
        </w:rPr>
        <w:t>hypothesize</w:t>
      </w:r>
      <w:r w:rsidR="00F62584" w:rsidRPr="00905499">
        <w:rPr>
          <w:rFonts w:ascii="Times New Roman" w:hAnsi="Times New Roman" w:cs="Times New Roman"/>
          <w:lang w:val="en-US"/>
        </w:rPr>
        <w:t xml:space="preserve"> that distance is associated with </w:t>
      </w:r>
      <w:r w:rsidR="00B64DAB" w:rsidRPr="00905499">
        <w:rPr>
          <w:rFonts w:ascii="Times New Roman" w:hAnsi="Times New Roman" w:cs="Times New Roman"/>
          <w:lang w:val="en-US"/>
        </w:rPr>
        <w:t xml:space="preserve">poorer </w:t>
      </w:r>
      <w:r w:rsidR="00F62584" w:rsidRPr="00905499">
        <w:rPr>
          <w:rFonts w:ascii="Times New Roman" w:hAnsi="Times New Roman" w:cs="Times New Roman"/>
          <w:lang w:val="en-US"/>
        </w:rPr>
        <w:t>access to</w:t>
      </w:r>
      <w:r w:rsidR="00194B5D" w:rsidRPr="00905499">
        <w:rPr>
          <w:rFonts w:ascii="Times New Roman" w:hAnsi="Times New Roman" w:cs="Times New Roman"/>
          <w:lang w:val="en-US"/>
        </w:rPr>
        <w:t xml:space="preserve"> university</w:t>
      </w:r>
      <w:r w:rsidR="00226BB8" w:rsidRPr="00905499">
        <w:rPr>
          <w:rFonts w:ascii="Times New Roman" w:hAnsi="Times New Roman" w:cs="Times New Roman"/>
          <w:lang w:val="en-US"/>
        </w:rPr>
        <w:t>-</w:t>
      </w:r>
      <w:r w:rsidR="00194B5D" w:rsidRPr="00905499">
        <w:rPr>
          <w:rFonts w:ascii="Times New Roman" w:hAnsi="Times New Roman" w:cs="Times New Roman"/>
          <w:lang w:val="en-US"/>
        </w:rPr>
        <w:t>led</w:t>
      </w:r>
      <w:r w:rsidR="00D03E14" w:rsidRPr="00905499">
        <w:rPr>
          <w:rFonts w:ascii="Times New Roman" w:hAnsi="Times New Roman" w:cs="Times New Roman"/>
          <w:lang w:val="en-US"/>
        </w:rPr>
        <w:t xml:space="preserve"> outreach programs. </w:t>
      </w:r>
    </w:p>
    <w:p w14:paraId="3D61B64B" w14:textId="0FC1D983" w:rsidR="00227B67" w:rsidRPr="00905499" w:rsidRDefault="00692D01" w:rsidP="00227B67">
      <w:pPr>
        <w:spacing w:line="360" w:lineRule="auto"/>
        <w:jc w:val="both"/>
        <w:rPr>
          <w:rFonts w:ascii="Times New Roman" w:hAnsi="Times New Roman" w:cs="Times New Roman"/>
          <w:b/>
          <w:lang w:val="en-US"/>
        </w:rPr>
      </w:pPr>
      <w:r w:rsidRPr="00905499">
        <w:rPr>
          <w:rFonts w:ascii="Times New Roman" w:hAnsi="Times New Roman" w:cs="Times New Roman"/>
          <w:b/>
          <w:lang w:val="en-US"/>
        </w:rPr>
        <w:t xml:space="preserve">Elite </w:t>
      </w:r>
      <w:r w:rsidR="00227B67" w:rsidRPr="00905499">
        <w:rPr>
          <w:rFonts w:ascii="Times New Roman" w:hAnsi="Times New Roman" w:cs="Times New Roman"/>
          <w:b/>
          <w:lang w:val="en-US"/>
        </w:rPr>
        <w:t>University E</w:t>
      </w:r>
      <w:r w:rsidRPr="00905499">
        <w:rPr>
          <w:rFonts w:ascii="Times New Roman" w:hAnsi="Times New Roman" w:cs="Times New Roman"/>
          <w:b/>
          <w:lang w:val="en-US"/>
        </w:rPr>
        <w:t>nrolment</w:t>
      </w:r>
    </w:p>
    <w:p w14:paraId="2602A25C" w14:textId="2362642B" w:rsidR="00692D01" w:rsidRPr="00905499" w:rsidRDefault="00692D01" w:rsidP="00227B67">
      <w:pPr>
        <w:spacing w:line="360" w:lineRule="auto"/>
        <w:ind w:firstLine="720"/>
        <w:jc w:val="both"/>
        <w:rPr>
          <w:rFonts w:ascii="Times New Roman" w:hAnsi="Times New Roman" w:cs="Times New Roman"/>
          <w:lang w:val="en-US"/>
        </w:rPr>
      </w:pPr>
      <w:r w:rsidRPr="00905499">
        <w:rPr>
          <w:rFonts w:ascii="Times New Roman" w:hAnsi="Times New Roman" w:cs="Times New Roman"/>
          <w:lang w:val="en-US"/>
        </w:rPr>
        <w:t>Increasingly</w:t>
      </w:r>
      <w:r w:rsidR="00B47F48">
        <w:rPr>
          <w:rFonts w:ascii="Times New Roman" w:hAnsi="Times New Roman" w:cs="Times New Roman"/>
          <w:lang w:val="en-US"/>
        </w:rPr>
        <w:t>,</w:t>
      </w:r>
      <w:r w:rsidRPr="00905499">
        <w:rPr>
          <w:rFonts w:ascii="Times New Roman" w:hAnsi="Times New Roman" w:cs="Times New Roman"/>
          <w:lang w:val="en-US"/>
        </w:rPr>
        <w:t xml:space="preserve"> there is interest not only in the role that distance plays in predicting university entry but also </w:t>
      </w:r>
      <w:r w:rsidR="00B47F48">
        <w:rPr>
          <w:rFonts w:ascii="Times New Roman" w:hAnsi="Times New Roman" w:cs="Times New Roman"/>
          <w:lang w:val="en-US"/>
        </w:rPr>
        <w:t xml:space="preserve">in </w:t>
      </w:r>
      <w:r w:rsidRPr="00905499">
        <w:rPr>
          <w:rFonts w:ascii="Times New Roman" w:hAnsi="Times New Roman" w:cs="Times New Roman"/>
          <w:lang w:val="en-US"/>
        </w:rPr>
        <w:t xml:space="preserve">institutional choice. Much of this research has focused on enrolment in elite universities. We </w:t>
      </w:r>
      <w:r w:rsidR="00B47F48" w:rsidRPr="00905499">
        <w:rPr>
          <w:rFonts w:ascii="Times New Roman" w:hAnsi="Times New Roman" w:cs="Times New Roman"/>
          <w:lang w:val="en-US"/>
        </w:rPr>
        <w:t>hypothesize</w:t>
      </w:r>
      <w:r w:rsidRPr="00905499">
        <w:rPr>
          <w:rFonts w:ascii="Times New Roman" w:hAnsi="Times New Roman" w:cs="Times New Roman"/>
          <w:lang w:val="en-US"/>
        </w:rPr>
        <w:t xml:space="preserve"> that distance from an elite university campus will predict this enrolment and we consider whether </w:t>
      </w:r>
      <w:r w:rsidR="008D3183" w:rsidRPr="00905499">
        <w:rPr>
          <w:rFonts w:ascii="Times New Roman" w:hAnsi="Times New Roman" w:cs="Times New Roman"/>
          <w:lang w:val="en-US"/>
        </w:rPr>
        <w:t xml:space="preserve">hypotheses </w:t>
      </w:r>
      <w:r w:rsidR="00DC2B36">
        <w:rPr>
          <w:rFonts w:ascii="Times New Roman" w:hAnsi="Times New Roman" w:cs="Times New Roman"/>
          <w:lang w:val="en-US"/>
        </w:rPr>
        <w:t>one</w:t>
      </w:r>
      <w:r w:rsidR="008D3183" w:rsidRPr="00905499">
        <w:rPr>
          <w:rFonts w:ascii="Times New Roman" w:hAnsi="Times New Roman" w:cs="Times New Roman"/>
          <w:lang w:val="en-US"/>
        </w:rPr>
        <w:t xml:space="preserve"> through </w:t>
      </w:r>
      <w:r w:rsidR="00DC2B36">
        <w:rPr>
          <w:rFonts w:ascii="Times New Roman" w:hAnsi="Times New Roman" w:cs="Times New Roman"/>
          <w:lang w:val="en-US"/>
        </w:rPr>
        <w:t>four</w:t>
      </w:r>
      <w:r w:rsidR="008D3183" w:rsidRPr="00905499">
        <w:rPr>
          <w:rFonts w:ascii="Times New Roman" w:hAnsi="Times New Roman" w:cs="Times New Roman"/>
          <w:lang w:val="en-US"/>
        </w:rPr>
        <w:t xml:space="preserve"> operate similarly when elite university enrolment is the focus of research.</w:t>
      </w:r>
    </w:p>
    <w:p w14:paraId="17149F50" w14:textId="77777777" w:rsidR="00877C7E" w:rsidRPr="00905499" w:rsidRDefault="00877C7E" w:rsidP="008B74D0">
      <w:pPr>
        <w:spacing w:line="360" w:lineRule="auto"/>
        <w:jc w:val="both"/>
        <w:rPr>
          <w:rFonts w:ascii="Times New Roman" w:hAnsi="Times New Roman" w:cs="Times New Roman"/>
          <w:lang w:val="en-US"/>
        </w:rPr>
      </w:pPr>
    </w:p>
    <w:p w14:paraId="3D4F341A" w14:textId="1B31343E" w:rsidR="00824666" w:rsidRPr="00905499" w:rsidRDefault="00877C7E" w:rsidP="00B863BE">
      <w:pPr>
        <w:spacing w:line="360" w:lineRule="auto"/>
        <w:jc w:val="center"/>
        <w:rPr>
          <w:rFonts w:ascii="Times New Roman" w:hAnsi="Times New Roman" w:cs="Times New Roman"/>
          <w:b/>
          <w:lang w:val="en-US"/>
        </w:rPr>
      </w:pPr>
      <w:r w:rsidRPr="00905499">
        <w:rPr>
          <w:rFonts w:ascii="Times New Roman" w:hAnsi="Times New Roman" w:cs="Times New Roman"/>
          <w:b/>
          <w:lang w:val="en-US"/>
        </w:rPr>
        <w:t>Methodology</w:t>
      </w:r>
    </w:p>
    <w:p w14:paraId="7F9FB1E3" w14:textId="4EFE9EA1" w:rsidR="00D60B43" w:rsidRPr="00905499" w:rsidRDefault="00E77645" w:rsidP="008B74D0">
      <w:pPr>
        <w:spacing w:line="360" w:lineRule="auto"/>
        <w:jc w:val="both"/>
        <w:rPr>
          <w:rFonts w:ascii="Times New Roman" w:hAnsi="Times New Roman" w:cs="Times New Roman"/>
          <w:b/>
          <w:lang w:val="en-US"/>
        </w:rPr>
      </w:pPr>
      <w:r w:rsidRPr="00905499">
        <w:rPr>
          <w:rFonts w:ascii="Times New Roman" w:hAnsi="Times New Roman" w:cs="Times New Roman"/>
          <w:b/>
          <w:lang w:val="en-US"/>
        </w:rPr>
        <w:t>Participants</w:t>
      </w:r>
    </w:p>
    <w:p w14:paraId="3E4D7D68" w14:textId="6D73D068" w:rsidR="00513B36" w:rsidRPr="00905499" w:rsidRDefault="00E77645" w:rsidP="008B74D0">
      <w:pPr>
        <w:spacing w:line="360" w:lineRule="auto"/>
        <w:ind w:firstLine="720"/>
        <w:jc w:val="both"/>
        <w:rPr>
          <w:rFonts w:ascii="Times New Roman" w:hAnsi="Times New Roman" w:cs="Times New Roman"/>
          <w:lang w:val="en-US"/>
        </w:rPr>
      </w:pPr>
      <w:r w:rsidRPr="00905499">
        <w:rPr>
          <w:rFonts w:ascii="Times New Roman" w:hAnsi="Times New Roman" w:cs="Times New Roman"/>
          <w:lang w:val="en-US"/>
        </w:rPr>
        <w:t xml:space="preserve">Two cohorts of the LSAY database were used: </w:t>
      </w:r>
      <w:r w:rsidR="009177B5" w:rsidRPr="00905499">
        <w:rPr>
          <w:rFonts w:ascii="Times New Roman" w:hAnsi="Times New Roman" w:cs="Times New Roman"/>
          <w:lang w:val="en-US"/>
        </w:rPr>
        <w:t>LSAY2003 and LSAY2006</w:t>
      </w:r>
      <w:r w:rsidR="00166C7E" w:rsidRPr="00905499">
        <w:rPr>
          <w:rFonts w:ascii="Times New Roman" w:hAnsi="Times New Roman" w:cs="Times New Roman"/>
          <w:lang w:val="en-US"/>
        </w:rPr>
        <w:t>. Using two cohort</w:t>
      </w:r>
      <w:r w:rsidR="00946E2D" w:rsidRPr="00905499">
        <w:rPr>
          <w:rFonts w:ascii="Times New Roman" w:hAnsi="Times New Roman" w:cs="Times New Roman"/>
          <w:lang w:val="en-US"/>
        </w:rPr>
        <w:t>s</w:t>
      </w:r>
      <w:r w:rsidR="00166C7E" w:rsidRPr="00905499">
        <w:rPr>
          <w:rFonts w:ascii="Times New Roman" w:hAnsi="Times New Roman" w:cs="Times New Roman"/>
          <w:lang w:val="en-US"/>
        </w:rPr>
        <w:t xml:space="preserve"> provided greater</w:t>
      </w:r>
      <w:r w:rsidR="009177B5" w:rsidRPr="00905499">
        <w:rPr>
          <w:rFonts w:ascii="Times New Roman" w:hAnsi="Times New Roman" w:cs="Times New Roman"/>
          <w:lang w:val="en-US"/>
        </w:rPr>
        <w:t xml:space="preserve"> coverage of the </w:t>
      </w:r>
      <w:r w:rsidR="00166C7E" w:rsidRPr="00905499">
        <w:rPr>
          <w:rFonts w:ascii="Times New Roman" w:hAnsi="Times New Roman" w:cs="Times New Roman"/>
          <w:lang w:val="en-US"/>
        </w:rPr>
        <w:t xml:space="preserve">population centers on the </w:t>
      </w:r>
      <w:r w:rsidR="009177B5" w:rsidRPr="00905499">
        <w:rPr>
          <w:rFonts w:ascii="Times New Roman" w:hAnsi="Times New Roman" w:cs="Times New Roman"/>
          <w:lang w:val="en-US"/>
        </w:rPr>
        <w:t>Australia mainland</w:t>
      </w:r>
      <w:r w:rsidR="00D419E4" w:rsidRPr="00905499">
        <w:rPr>
          <w:rFonts w:ascii="Times New Roman" w:hAnsi="Times New Roman" w:cs="Times New Roman"/>
          <w:lang w:val="en-US"/>
        </w:rPr>
        <w:t xml:space="preserve"> (</w:t>
      </w:r>
      <w:r w:rsidR="00D419E4" w:rsidRPr="00905499">
        <w:rPr>
          <w:rFonts w:ascii="Times New Roman" w:hAnsi="Times New Roman" w:cs="Times New Roman"/>
          <w:i/>
          <w:lang w:val="en-US"/>
        </w:rPr>
        <w:t>N</w:t>
      </w:r>
      <w:r w:rsidR="00D419E4" w:rsidRPr="00905499">
        <w:rPr>
          <w:rFonts w:ascii="Times New Roman" w:hAnsi="Times New Roman" w:cs="Times New Roman"/>
          <w:lang w:val="en-US"/>
        </w:rPr>
        <w:t xml:space="preserve"> = 11,999)</w:t>
      </w:r>
      <w:r w:rsidRPr="00905499">
        <w:rPr>
          <w:rFonts w:ascii="Times New Roman" w:hAnsi="Times New Roman" w:cs="Times New Roman"/>
          <w:lang w:val="en-US"/>
        </w:rPr>
        <w:t>. The</w:t>
      </w:r>
      <w:r w:rsidR="004C4AB5" w:rsidRPr="00905499">
        <w:rPr>
          <w:rFonts w:ascii="Times New Roman" w:hAnsi="Times New Roman" w:cs="Times New Roman"/>
          <w:lang w:val="en-US"/>
        </w:rPr>
        <w:t xml:space="preserve">se </w:t>
      </w:r>
      <w:r w:rsidRPr="00905499">
        <w:rPr>
          <w:rFonts w:ascii="Times New Roman" w:hAnsi="Times New Roman" w:cs="Times New Roman"/>
          <w:lang w:val="en-US"/>
        </w:rPr>
        <w:t xml:space="preserve">cohorts represent longitudinal extensions of the </w:t>
      </w:r>
      <w:proofErr w:type="spellStart"/>
      <w:r w:rsidRPr="00905499">
        <w:rPr>
          <w:rFonts w:ascii="Times New Roman" w:hAnsi="Times New Roman" w:cs="Times New Roman"/>
          <w:lang w:val="en-US"/>
        </w:rPr>
        <w:t>Programme</w:t>
      </w:r>
      <w:proofErr w:type="spellEnd"/>
      <w:r w:rsidRPr="00905499">
        <w:rPr>
          <w:rFonts w:ascii="Times New Roman" w:hAnsi="Times New Roman" w:cs="Times New Roman"/>
          <w:lang w:val="en-US"/>
        </w:rPr>
        <w:t xml:space="preserve"> for International Student Assessment (PISA</w:t>
      </w:r>
      <w:r w:rsidR="009177B5" w:rsidRPr="00905499">
        <w:rPr>
          <w:rFonts w:ascii="Times New Roman" w:hAnsi="Times New Roman" w:cs="Times New Roman"/>
          <w:lang w:val="en-US"/>
        </w:rPr>
        <w:t>2003 and PISA2006</w:t>
      </w:r>
      <w:r w:rsidRPr="00905499">
        <w:rPr>
          <w:rFonts w:ascii="Times New Roman" w:hAnsi="Times New Roman" w:cs="Times New Roman"/>
          <w:lang w:val="en-US"/>
        </w:rPr>
        <w:t xml:space="preserve">), a </w:t>
      </w:r>
      <w:r w:rsidRPr="00905499">
        <w:rPr>
          <w:rFonts w:ascii="Times New Roman" w:hAnsi="Times New Roman" w:cs="Times New Roman"/>
          <w:lang w:val="en-US"/>
        </w:rPr>
        <w:lastRenderedPageBreak/>
        <w:t xml:space="preserve">representative sample of 15 year olds. Population weighted </w:t>
      </w:r>
      <w:r w:rsidR="00EF1F7B" w:rsidRPr="00905499">
        <w:rPr>
          <w:rFonts w:ascii="Times New Roman" w:hAnsi="Times New Roman" w:cs="Times New Roman"/>
          <w:lang w:val="en-US"/>
        </w:rPr>
        <w:t xml:space="preserve">distance </w:t>
      </w:r>
      <w:proofErr w:type="spellStart"/>
      <w:r w:rsidR="00EF1F7B" w:rsidRPr="00905499">
        <w:rPr>
          <w:rFonts w:ascii="Times New Roman" w:hAnsi="Times New Roman" w:cs="Times New Roman"/>
          <w:lang w:val="en-US"/>
        </w:rPr>
        <w:t>quantiles</w:t>
      </w:r>
      <w:proofErr w:type="spellEnd"/>
      <w:r w:rsidR="00EF1F7B" w:rsidRPr="00905499">
        <w:rPr>
          <w:rFonts w:ascii="Times New Roman" w:hAnsi="Times New Roman" w:cs="Times New Roman"/>
          <w:lang w:val="en-US"/>
        </w:rPr>
        <w:t xml:space="preserve"> can be found in</w:t>
      </w:r>
      <w:r w:rsidRPr="00905499">
        <w:rPr>
          <w:rFonts w:ascii="Times New Roman" w:hAnsi="Times New Roman" w:cs="Times New Roman"/>
          <w:lang w:val="en-US"/>
        </w:rPr>
        <w:t xml:space="preserve"> Table 1</w:t>
      </w:r>
      <w:r w:rsidR="00EF1F7B" w:rsidRPr="00905499">
        <w:rPr>
          <w:rFonts w:ascii="Times New Roman" w:hAnsi="Times New Roman" w:cs="Times New Roman"/>
          <w:lang w:val="en-US"/>
        </w:rPr>
        <w:t xml:space="preserve"> and basic </w:t>
      </w:r>
      <w:r w:rsidR="0001642F" w:rsidRPr="00905499">
        <w:rPr>
          <w:rFonts w:ascii="Times New Roman" w:hAnsi="Times New Roman" w:cs="Times New Roman"/>
          <w:lang w:val="en-US"/>
        </w:rPr>
        <w:t>descriptive statistics</w:t>
      </w:r>
      <w:r w:rsidR="00EF1F7B" w:rsidRPr="00905499">
        <w:rPr>
          <w:rFonts w:ascii="Times New Roman" w:hAnsi="Times New Roman" w:cs="Times New Roman"/>
          <w:lang w:val="en-US"/>
        </w:rPr>
        <w:t xml:space="preserve"> in Table 2</w:t>
      </w:r>
      <w:r w:rsidRPr="00905499">
        <w:rPr>
          <w:rFonts w:ascii="Times New Roman" w:hAnsi="Times New Roman" w:cs="Times New Roman"/>
          <w:lang w:val="en-US"/>
        </w:rPr>
        <w:t>.</w:t>
      </w:r>
      <w:r w:rsidR="004C4AB5" w:rsidRPr="00905499">
        <w:rPr>
          <w:rFonts w:ascii="Times New Roman" w:hAnsi="Times New Roman" w:cs="Times New Roman"/>
          <w:lang w:val="en-US"/>
        </w:rPr>
        <w:t xml:space="preserve"> Both</w:t>
      </w:r>
      <w:r w:rsidRPr="00905499">
        <w:rPr>
          <w:rFonts w:ascii="Times New Roman" w:hAnsi="Times New Roman" w:cs="Times New Roman"/>
          <w:lang w:val="en-US"/>
        </w:rPr>
        <w:t xml:space="preserve"> cohorts used a two-stage sampling procedure</w:t>
      </w:r>
      <w:r w:rsidR="0001642F" w:rsidRPr="00905499">
        <w:rPr>
          <w:rFonts w:ascii="Times New Roman" w:hAnsi="Times New Roman" w:cs="Times New Roman"/>
          <w:lang w:val="en-US"/>
        </w:rPr>
        <w:t>,</w:t>
      </w:r>
      <w:r w:rsidRPr="00905499">
        <w:rPr>
          <w:rFonts w:ascii="Times New Roman" w:hAnsi="Times New Roman" w:cs="Times New Roman"/>
          <w:lang w:val="en-US"/>
        </w:rPr>
        <w:t xml:space="preserve"> with the primary sampling unit being schools selected proportional to size</w:t>
      </w:r>
      <w:r w:rsidR="0001642F" w:rsidRPr="00905499">
        <w:rPr>
          <w:rFonts w:ascii="Times New Roman" w:hAnsi="Times New Roman" w:cs="Times New Roman"/>
          <w:lang w:val="en-US"/>
        </w:rPr>
        <w:t>,</w:t>
      </w:r>
      <w:r w:rsidRPr="00905499">
        <w:rPr>
          <w:rFonts w:ascii="Times New Roman" w:hAnsi="Times New Roman" w:cs="Times New Roman"/>
          <w:lang w:val="en-US"/>
        </w:rPr>
        <w:t xml:space="preserve"> and then a random sample of students from that school. </w:t>
      </w:r>
      <w:r w:rsidR="008757D7" w:rsidRPr="00905499">
        <w:rPr>
          <w:rFonts w:ascii="Times New Roman" w:hAnsi="Times New Roman" w:cs="Times New Roman"/>
          <w:lang w:val="en-US"/>
        </w:rPr>
        <w:t xml:space="preserve">As with any large-scale longitudinal survey, particularly those covering major developmental transitions, attrition was present. </w:t>
      </w:r>
      <w:r w:rsidRPr="00905499">
        <w:rPr>
          <w:rFonts w:ascii="Times New Roman" w:hAnsi="Times New Roman" w:cs="Times New Roman"/>
          <w:lang w:val="en-US"/>
        </w:rPr>
        <w:t xml:space="preserve">Weights are provided that aim to account for </w:t>
      </w:r>
      <w:r w:rsidR="0001642F" w:rsidRPr="00905499">
        <w:rPr>
          <w:rFonts w:ascii="Times New Roman" w:hAnsi="Times New Roman" w:cs="Times New Roman"/>
          <w:lang w:val="en-US"/>
        </w:rPr>
        <w:t>the multi-stage sample design</w:t>
      </w:r>
      <w:r w:rsidR="009177B5" w:rsidRPr="00905499">
        <w:rPr>
          <w:rFonts w:ascii="Times New Roman" w:hAnsi="Times New Roman" w:cs="Times New Roman"/>
          <w:lang w:val="en-US"/>
        </w:rPr>
        <w:t xml:space="preserve"> </w:t>
      </w:r>
      <w:r w:rsidR="00557B4A" w:rsidRPr="00905499">
        <w:rPr>
          <w:rFonts w:ascii="Times New Roman" w:hAnsi="Times New Roman" w:cs="Times New Roman"/>
          <w:lang w:val="en-US"/>
        </w:rPr>
        <w:t xml:space="preserve">and attrition </w:t>
      </w:r>
      <w:r w:rsidRPr="00905499">
        <w:rPr>
          <w:rFonts w:ascii="Times New Roman" w:hAnsi="Times New Roman" w:cs="Times New Roman"/>
          <w:lang w:val="en-US"/>
        </w:rPr>
        <w:t xml:space="preserve">(Marks &amp; Long, 2000). </w:t>
      </w:r>
      <w:r w:rsidR="00594C93" w:rsidRPr="00905499">
        <w:rPr>
          <w:rFonts w:ascii="Times New Roman" w:hAnsi="Times New Roman" w:cs="Times New Roman"/>
          <w:lang w:val="en-US"/>
        </w:rPr>
        <w:t xml:space="preserve">A map of participant </w:t>
      </w:r>
      <w:r w:rsidR="00AC39DC" w:rsidRPr="00905499">
        <w:rPr>
          <w:rFonts w:ascii="Times New Roman" w:hAnsi="Times New Roman" w:cs="Times New Roman"/>
          <w:lang w:val="en-US"/>
        </w:rPr>
        <w:t>coverage</w:t>
      </w:r>
      <w:r w:rsidR="00594C93" w:rsidRPr="00905499">
        <w:rPr>
          <w:rFonts w:ascii="Times New Roman" w:hAnsi="Times New Roman" w:cs="Times New Roman"/>
          <w:lang w:val="en-US"/>
        </w:rPr>
        <w:t xml:space="preserve"> and the locations of all university campuses </w:t>
      </w:r>
      <w:r w:rsidR="009874A9" w:rsidRPr="00905499">
        <w:rPr>
          <w:rFonts w:ascii="Times New Roman" w:hAnsi="Times New Roman" w:cs="Times New Roman"/>
          <w:lang w:val="en-US"/>
        </w:rPr>
        <w:t xml:space="preserve">based in Australia </w:t>
      </w:r>
      <w:proofErr w:type="gramStart"/>
      <w:r w:rsidR="00594C93" w:rsidRPr="00905499">
        <w:rPr>
          <w:rFonts w:ascii="Times New Roman" w:hAnsi="Times New Roman" w:cs="Times New Roman"/>
          <w:lang w:val="en-US"/>
        </w:rPr>
        <w:t>is</w:t>
      </w:r>
      <w:proofErr w:type="gramEnd"/>
      <w:r w:rsidR="00594C93" w:rsidRPr="00905499">
        <w:rPr>
          <w:rFonts w:ascii="Times New Roman" w:hAnsi="Times New Roman" w:cs="Times New Roman"/>
          <w:lang w:val="en-US"/>
        </w:rPr>
        <w:t xml:space="preserve"> presented in Figure 1.</w:t>
      </w:r>
      <w:r w:rsidR="007E1002" w:rsidRPr="00905499">
        <w:rPr>
          <w:rFonts w:ascii="Times New Roman" w:hAnsi="Times New Roman" w:cs="Times New Roman"/>
          <w:lang w:val="en-US"/>
        </w:rPr>
        <w:t xml:space="preserve"> </w:t>
      </w:r>
    </w:p>
    <w:p w14:paraId="74B60DA0" w14:textId="2F819B4B" w:rsidR="00D32A51" w:rsidRPr="00905499" w:rsidRDefault="00D32A51" w:rsidP="008B74D0">
      <w:pPr>
        <w:spacing w:line="360" w:lineRule="auto"/>
        <w:ind w:firstLine="720"/>
        <w:jc w:val="both"/>
        <w:rPr>
          <w:rFonts w:ascii="Times New Roman" w:hAnsi="Times New Roman" w:cs="Times New Roman"/>
          <w:lang w:val="en-US"/>
        </w:rPr>
      </w:pPr>
      <w:r w:rsidRPr="00905499">
        <w:rPr>
          <w:rFonts w:ascii="Times New Roman" w:hAnsi="Times New Roman" w:cs="Times New Roman"/>
          <w:lang w:val="en-US"/>
        </w:rPr>
        <w:t xml:space="preserve">For university expectations and university entry we used the full sample. When we considered elite university enrolment however, we restricted our sample only to those who entered university so as to focus on institution choice (see Table 2 for sample size). This is consistent with similar research including research focused on attainment as a sequence of transitions (Lucas, 2001) and research focused on performance </w:t>
      </w:r>
      <w:r w:rsidR="00326D5D" w:rsidRPr="00905499">
        <w:rPr>
          <w:rFonts w:ascii="Times New Roman" w:hAnsi="Times New Roman" w:cs="Times New Roman"/>
          <w:lang w:val="en-US"/>
        </w:rPr>
        <w:t>versus</w:t>
      </w:r>
      <w:r w:rsidRPr="00905499">
        <w:rPr>
          <w:rFonts w:ascii="Times New Roman" w:hAnsi="Times New Roman" w:cs="Times New Roman"/>
          <w:lang w:val="en-US"/>
        </w:rPr>
        <w:t xml:space="preserve"> choice influences on educational attainment (see </w:t>
      </w:r>
      <w:r w:rsidR="006C14C6" w:rsidRPr="00905499">
        <w:rPr>
          <w:rFonts w:ascii="Times New Roman" w:hAnsi="Times New Roman" w:cs="Times New Roman"/>
          <w:lang w:val="en-US"/>
        </w:rPr>
        <w:t>Jerrim et al., in press</w:t>
      </w:r>
      <w:r w:rsidRPr="00905499">
        <w:rPr>
          <w:rFonts w:ascii="Times New Roman" w:hAnsi="Times New Roman" w:cs="Times New Roman"/>
          <w:lang w:val="en-US"/>
        </w:rPr>
        <w:t>; Jackson, 2013 for examples).</w:t>
      </w:r>
    </w:p>
    <w:p w14:paraId="6CDC262D" w14:textId="2292FDC7" w:rsidR="00D60B43" w:rsidRPr="00905499" w:rsidRDefault="00C03DA6" w:rsidP="008B74D0">
      <w:pPr>
        <w:spacing w:line="360" w:lineRule="auto"/>
        <w:jc w:val="both"/>
        <w:rPr>
          <w:rFonts w:ascii="Times New Roman" w:hAnsi="Times New Roman" w:cs="Times New Roman"/>
          <w:b/>
          <w:lang w:val="en-US"/>
        </w:rPr>
      </w:pPr>
      <w:r w:rsidRPr="00905499">
        <w:rPr>
          <w:rFonts w:ascii="Times New Roman" w:hAnsi="Times New Roman" w:cs="Times New Roman"/>
          <w:b/>
          <w:lang w:val="en-US"/>
        </w:rPr>
        <w:t>Measures</w:t>
      </w:r>
    </w:p>
    <w:p w14:paraId="6CE12B7F" w14:textId="04EF0904" w:rsidR="00CD31BF" w:rsidRPr="00905499" w:rsidRDefault="00250FC5" w:rsidP="00F53083">
      <w:pPr>
        <w:spacing w:line="360" w:lineRule="auto"/>
        <w:jc w:val="both"/>
        <w:rPr>
          <w:rFonts w:ascii="Times New Roman" w:hAnsi="Times New Roman" w:cs="Times New Roman"/>
          <w:i/>
          <w:lang w:val="en-US"/>
        </w:rPr>
      </w:pPr>
      <w:proofErr w:type="gramStart"/>
      <w:r w:rsidRPr="00905499">
        <w:rPr>
          <w:rFonts w:ascii="Times New Roman" w:hAnsi="Times New Roman" w:cs="Times New Roman"/>
          <w:b/>
          <w:lang w:val="en-US"/>
        </w:rPr>
        <w:t xml:space="preserve">University </w:t>
      </w:r>
      <w:r w:rsidR="00F53083" w:rsidRPr="00905499">
        <w:rPr>
          <w:rFonts w:ascii="Times New Roman" w:hAnsi="Times New Roman" w:cs="Times New Roman"/>
          <w:b/>
          <w:lang w:val="en-US"/>
        </w:rPr>
        <w:t>e</w:t>
      </w:r>
      <w:r w:rsidR="00C03DA6" w:rsidRPr="00905499">
        <w:rPr>
          <w:rFonts w:ascii="Times New Roman" w:hAnsi="Times New Roman" w:cs="Times New Roman"/>
          <w:b/>
          <w:lang w:val="en-US"/>
        </w:rPr>
        <w:t>xpectations</w:t>
      </w:r>
      <w:r w:rsidRPr="00905499">
        <w:rPr>
          <w:rFonts w:ascii="Times New Roman" w:hAnsi="Times New Roman" w:cs="Times New Roman"/>
          <w:b/>
          <w:lang w:val="en-US"/>
        </w:rPr>
        <w:t>,</w:t>
      </w:r>
      <w:r w:rsidR="00C03DA6" w:rsidRPr="00905499">
        <w:rPr>
          <w:rFonts w:ascii="Times New Roman" w:hAnsi="Times New Roman" w:cs="Times New Roman"/>
          <w:b/>
          <w:lang w:val="en-US"/>
        </w:rPr>
        <w:t xml:space="preserve"> </w:t>
      </w:r>
      <w:r w:rsidR="00F53083" w:rsidRPr="00905499">
        <w:rPr>
          <w:rFonts w:ascii="Times New Roman" w:hAnsi="Times New Roman" w:cs="Times New Roman"/>
          <w:b/>
          <w:lang w:val="en-US"/>
        </w:rPr>
        <w:t>e</w:t>
      </w:r>
      <w:r w:rsidR="00C03DA6" w:rsidRPr="00905499">
        <w:rPr>
          <w:rFonts w:ascii="Times New Roman" w:hAnsi="Times New Roman" w:cs="Times New Roman"/>
          <w:b/>
          <w:lang w:val="en-US"/>
        </w:rPr>
        <w:t>ntry</w:t>
      </w:r>
      <w:r w:rsidRPr="00905499">
        <w:rPr>
          <w:rFonts w:ascii="Times New Roman" w:hAnsi="Times New Roman" w:cs="Times New Roman"/>
          <w:b/>
          <w:lang w:val="en-US"/>
        </w:rPr>
        <w:t xml:space="preserve">, and </w:t>
      </w:r>
      <w:r w:rsidR="00F53083" w:rsidRPr="00905499">
        <w:rPr>
          <w:rFonts w:ascii="Times New Roman" w:hAnsi="Times New Roman" w:cs="Times New Roman"/>
          <w:b/>
          <w:lang w:val="en-US"/>
        </w:rPr>
        <w:t>i</w:t>
      </w:r>
      <w:r w:rsidRPr="00905499">
        <w:rPr>
          <w:rFonts w:ascii="Times New Roman" w:hAnsi="Times New Roman" w:cs="Times New Roman"/>
          <w:b/>
          <w:lang w:val="en-US"/>
        </w:rPr>
        <w:t xml:space="preserve">nformation </w:t>
      </w:r>
      <w:r w:rsidR="00F53083" w:rsidRPr="00905499">
        <w:rPr>
          <w:rFonts w:ascii="Times New Roman" w:hAnsi="Times New Roman" w:cs="Times New Roman"/>
          <w:b/>
          <w:lang w:val="en-US"/>
        </w:rPr>
        <w:t>s</w:t>
      </w:r>
      <w:r w:rsidRPr="00905499">
        <w:rPr>
          <w:rFonts w:ascii="Times New Roman" w:hAnsi="Times New Roman" w:cs="Times New Roman"/>
          <w:b/>
          <w:lang w:val="en-US"/>
        </w:rPr>
        <w:t>essions</w:t>
      </w:r>
      <w:r w:rsidR="00C03DA6" w:rsidRPr="00905499">
        <w:rPr>
          <w:rFonts w:ascii="Times New Roman" w:hAnsi="Times New Roman" w:cs="Times New Roman"/>
          <w:i/>
          <w:lang w:val="en-US"/>
        </w:rPr>
        <w:t>.</w:t>
      </w:r>
      <w:proofErr w:type="gramEnd"/>
      <w:r w:rsidR="00F53083" w:rsidRPr="00905499">
        <w:rPr>
          <w:rFonts w:ascii="Times New Roman" w:hAnsi="Times New Roman" w:cs="Times New Roman"/>
          <w:i/>
          <w:lang w:val="en-US"/>
        </w:rPr>
        <w:t xml:space="preserve"> </w:t>
      </w:r>
      <w:r w:rsidR="00C03DA6" w:rsidRPr="00905499">
        <w:rPr>
          <w:rFonts w:ascii="Times New Roman" w:hAnsi="Times New Roman" w:cs="Times New Roman"/>
          <w:lang w:val="en-US"/>
        </w:rPr>
        <w:t xml:space="preserve">Three variables were derived relating to expectations of a university education, university entry, and entry into an elite </w:t>
      </w:r>
      <w:r w:rsidR="00695692" w:rsidRPr="00905499">
        <w:rPr>
          <w:rFonts w:ascii="Times New Roman" w:hAnsi="Times New Roman" w:cs="Times New Roman"/>
          <w:lang w:val="en-US"/>
        </w:rPr>
        <w:t>higher education institution</w:t>
      </w:r>
      <w:r w:rsidR="00C03DA6" w:rsidRPr="00905499">
        <w:rPr>
          <w:rFonts w:ascii="Times New Roman" w:hAnsi="Times New Roman" w:cs="Times New Roman"/>
          <w:lang w:val="en-US"/>
        </w:rPr>
        <w:t xml:space="preserve">. </w:t>
      </w:r>
      <w:r w:rsidR="00695692" w:rsidRPr="00905499">
        <w:rPr>
          <w:rFonts w:ascii="Times New Roman" w:hAnsi="Times New Roman" w:cs="Times New Roman"/>
          <w:lang w:val="en-US"/>
        </w:rPr>
        <w:t>Children were</w:t>
      </w:r>
      <w:r w:rsidR="00C03DA6" w:rsidRPr="00905499">
        <w:rPr>
          <w:rFonts w:ascii="Times New Roman" w:hAnsi="Times New Roman" w:cs="Times New Roman"/>
          <w:lang w:val="en-US"/>
        </w:rPr>
        <w:t xml:space="preserve"> asked </w:t>
      </w:r>
      <w:r w:rsidR="00695692" w:rsidRPr="00905499">
        <w:rPr>
          <w:rFonts w:ascii="Times New Roman" w:hAnsi="Times New Roman" w:cs="Times New Roman"/>
          <w:lang w:val="en-US"/>
        </w:rPr>
        <w:t xml:space="preserve">at age 15 </w:t>
      </w:r>
      <w:r w:rsidR="00C03DA6" w:rsidRPr="00905499">
        <w:rPr>
          <w:rFonts w:ascii="Times New Roman" w:hAnsi="Times New Roman" w:cs="Times New Roman"/>
          <w:lang w:val="en-US"/>
        </w:rPr>
        <w:t>what level of education they expected to achieve</w:t>
      </w:r>
      <w:r w:rsidR="00E76A7F" w:rsidRPr="00905499">
        <w:rPr>
          <w:rFonts w:ascii="Times New Roman" w:hAnsi="Times New Roman" w:cs="Times New Roman"/>
          <w:lang w:val="en-US"/>
        </w:rPr>
        <w:t xml:space="preserve">. </w:t>
      </w:r>
      <w:r w:rsidR="00AC39DC" w:rsidRPr="00905499">
        <w:rPr>
          <w:rFonts w:ascii="Times New Roman" w:hAnsi="Times New Roman" w:cs="Times New Roman"/>
          <w:lang w:val="en-US"/>
        </w:rPr>
        <w:t>W</w:t>
      </w:r>
      <w:r w:rsidR="00C03DA6" w:rsidRPr="00905499">
        <w:rPr>
          <w:rFonts w:ascii="Times New Roman" w:hAnsi="Times New Roman" w:cs="Times New Roman"/>
          <w:lang w:val="en-US"/>
        </w:rPr>
        <w:t xml:space="preserve">e coded those </w:t>
      </w:r>
      <w:r w:rsidR="00917008" w:rsidRPr="00905499">
        <w:rPr>
          <w:rFonts w:ascii="Times New Roman" w:hAnsi="Times New Roman" w:cs="Times New Roman"/>
          <w:lang w:val="en-US"/>
        </w:rPr>
        <w:t>selecting</w:t>
      </w:r>
      <w:r w:rsidR="00C03DA6" w:rsidRPr="00905499">
        <w:rPr>
          <w:rFonts w:ascii="Times New Roman" w:hAnsi="Times New Roman" w:cs="Times New Roman"/>
          <w:lang w:val="en-US"/>
        </w:rPr>
        <w:t xml:space="preserve"> </w:t>
      </w:r>
      <w:r w:rsidR="00695692" w:rsidRPr="00905499">
        <w:rPr>
          <w:rFonts w:ascii="Times New Roman" w:hAnsi="Times New Roman" w:cs="Times New Roman"/>
          <w:lang w:val="en-US"/>
        </w:rPr>
        <w:t>bachelor’s</w:t>
      </w:r>
      <w:r w:rsidR="00946E2D" w:rsidRPr="00905499">
        <w:rPr>
          <w:rFonts w:ascii="Times New Roman" w:hAnsi="Times New Roman" w:cs="Times New Roman"/>
          <w:lang w:val="en-US"/>
        </w:rPr>
        <w:t xml:space="preserve"> degree or </w:t>
      </w:r>
      <w:r w:rsidR="00AC39DC" w:rsidRPr="00905499">
        <w:rPr>
          <w:rFonts w:ascii="Times New Roman" w:hAnsi="Times New Roman" w:cs="Times New Roman"/>
          <w:lang w:val="en-US"/>
        </w:rPr>
        <w:t>equivalent</w:t>
      </w:r>
      <w:r w:rsidR="00695692" w:rsidRPr="00905499">
        <w:rPr>
          <w:rFonts w:ascii="Times New Roman" w:hAnsi="Times New Roman" w:cs="Times New Roman"/>
          <w:lang w:val="en-US"/>
        </w:rPr>
        <w:t>,</w:t>
      </w:r>
      <w:r w:rsidR="00C03DA6" w:rsidRPr="00905499">
        <w:rPr>
          <w:rFonts w:ascii="Times New Roman" w:hAnsi="Times New Roman" w:cs="Times New Roman"/>
          <w:lang w:val="en-US"/>
        </w:rPr>
        <w:t xml:space="preserve"> </w:t>
      </w:r>
      <w:r w:rsidR="009177B5" w:rsidRPr="00905499">
        <w:rPr>
          <w:rFonts w:ascii="Times New Roman" w:hAnsi="Times New Roman" w:cs="Times New Roman"/>
          <w:lang w:val="en-US"/>
        </w:rPr>
        <w:t xml:space="preserve">or </w:t>
      </w:r>
      <w:r w:rsidR="00946E2D" w:rsidRPr="00905499">
        <w:rPr>
          <w:rFonts w:ascii="Times New Roman" w:hAnsi="Times New Roman" w:cs="Times New Roman"/>
          <w:lang w:val="en-US"/>
        </w:rPr>
        <w:t>postgraduate study</w:t>
      </w:r>
      <w:r w:rsidR="00695692" w:rsidRPr="00905499">
        <w:rPr>
          <w:rFonts w:ascii="Times New Roman" w:hAnsi="Times New Roman" w:cs="Times New Roman"/>
          <w:lang w:val="en-US"/>
        </w:rPr>
        <w:t>,</w:t>
      </w:r>
      <w:r w:rsidR="00946E2D" w:rsidRPr="00905499">
        <w:rPr>
          <w:rFonts w:ascii="Times New Roman" w:hAnsi="Times New Roman" w:cs="Times New Roman"/>
          <w:lang w:val="en-US"/>
        </w:rPr>
        <w:t xml:space="preserve"> </w:t>
      </w:r>
      <w:r w:rsidR="00C03DA6" w:rsidRPr="00905499">
        <w:rPr>
          <w:rFonts w:ascii="Times New Roman" w:hAnsi="Times New Roman" w:cs="Times New Roman"/>
          <w:lang w:val="en-US"/>
        </w:rPr>
        <w:t xml:space="preserve">as expecting a university level of education. Individuals were considered to </w:t>
      </w:r>
      <w:r w:rsidR="00CD31BF" w:rsidRPr="00905499">
        <w:rPr>
          <w:rFonts w:ascii="Times New Roman" w:hAnsi="Times New Roman" w:cs="Times New Roman"/>
          <w:lang w:val="en-US"/>
        </w:rPr>
        <w:t xml:space="preserve">have entered university if at any time during the waves covering ages 17 to 19 they indicated they had entered, were currently studying, had </w:t>
      </w:r>
      <w:r w:rsidR="00695692" w:rsidRPr="00905499">
        <w:rPr>
          <w:rFonts w:ascii="Times New Roman" w:hAnsi="Times New Roman" w:cs="Times New Roman"/>
          <w:lang w:val="en-US"/>
        </w:rPr>
        <w:t>stopped</w:t>
      </w:r>
      <w:r w:rsidR="00CD31BF" w:rsidRPr="00905499">
        <w:rPr>
          <w:rFonts w:ascii="Times New Roman" w:hAnsi="Times New Roman" w:cs="Times New Roman"/>
          <w:lang w:val="en-US"/>
        </w:rPr>
        <w:t xml:space="preserve"> studying, or had completed a university degree. Elite university entry was defined </w:t>
      </w:r>
      <w:r w:rsidR="00695692" w:rsidRPr="00905499">
        <w:rPr>
          <w:rFonts w:ascii="Times New Roman" w:hAnsi="Times New Roman" w:cs="Times New Roman"/>
          <w:lang w:val="en-US"/>
        </w:rPr>
        <w:t>as attending</w:t>
      </w:r>
      <w:r w:rsidR="00CD31BF" w:rsidRPr="00905499">
        <w:rPr>
          <w:rFonts w:ascii="Times New Roman" w:hAnsi="Times New Roman" w:cs="Times New Roman"/>
          <w:lang w:val="en-US"/>
        </w:rPr>
        <w:t xml:space="preserve"> a member of the Group of Eight (</w:t>
      </w:r>
      <w:r w:rsidR="00BC0D35" w:rsidRPr="00905499">
        <w:rPr>
          <w:rFonts w:ascii="Times New Roman" w:hAnsi="Times New Roman" w:cs="Times New Roman"/>
          <w:lang w:val="en-US"/>
        </w:rPr>
        <w:t xml:space="preserve">Go8; </w:t>
      </w:r>
      <w:r w:rsidR="00CD31BF" w:rsidRPr="00905499">
        <w:rPr>
          <w:rFonts w:ascii="Times New Roman" w:hAnsi="Times New Roman" w:cs="Times New Roman"/>
          <w:lang w:val="en-US"/>
        </w:rPr>
        <w:t xml:space="preserve">see </w:t>
      </w:r>
      <w:r w:rsidR="00E87AC9" w:rsidRPr="00905499">
        <w:rPr>
          <w:rFonts w:ascii="Times New Roman" w:hAnsi="Times New Roman" w:cs="Times New Roman"/>
          <w:lang w:val="en-US"/>
        </w:rPr>
        <w:t>Jerrim et al., in press</w:t>
      </w:r>
      <w:r w:rsidR="00BC0D35" w:rsidRPr="00905499">
        <w:rPr>
          <w:rFonts w:ascii="Times New Roman" w:hAnsi="Times New Roman" w:cs="Times New Roman"/>
          <w:lang w:val="en-US"/>
        </w:rPr>
        <w:t xml:space="preserve"> for further details</w:t>
      </w:r>
      <w:r w:rsidR="00CD31BF" w:rsidRPr="00905499">
        <w:rPr>
          <w:rFonts w:ascii="Times New Roman" w:hAnsi="Times New Roman" w:cs="Times New Roman"/>
          <w:lang w:val="en-US"/>
        </w:rPr>
        <w:t xml:space="preserve">).  </w:t>
      </w:r>
      <w:r w:rsidR="00BC0D35" w:rsidRPr="00905499">
        <w:rPr>
          <w:rFonts w:ascii="Times New Roman" w:hAnsi="Times New Roman" w:cs="Times New Roman"/>
          <w:lang w:val="en-US"/>
        </w:rPr>
        <w:t>The Go8 is a self-selected alliance of research-intensive universities</w:t>
      </w:r>
      <w:r w:rsidR="003915DD" w:rsidRPr="00905499">
        <w:rPr>
          <w:rFonts w:ascii="Times New Roman" w:hAnsi="Times New Roman" w:cs="Times New Roman"/>
          <w:lang w:val="en-US"/>
        </w:rPr>
        <w:t xml:space="preserve"> t</w:t>
      </w:r>
      <w:r w:rsidR="00166C7E" w:rsidRPr="00905499">
        <w:rPr>
          <w:rFonts w:ascii="Times New Roman" w:hAnsi="Times New Roman" w:cs="Times New Roman"/>
          <w:lang w:val="en-US"/>
        </w:rPr>
        <w:t>hat represent the oldest, most prestigious, and internationally recognized universities in Australia</w:t>
      </w:r>
      <w:r w:rsidR="00BC0D35" w:rsidRPr="00905499">
        <w:rPr>
          <w:rFonts w:ascii="Times New Roman" w:hAnsi="Times New Roman" w:cs="Times New Roman"/>
          <w:lang w:val="en-US"/>
        </w:rPr>
        <w:t>.</w:t>
      </w:r>
      <w:r w:rsidR="003915DD" w:rsidRPr="00905499">
        <w:rPr>
          <w:rFonts w:ascii="Times New Roman" w:hAnsi="Times New Roman" w:cs="Times New Roman"/>
          <w:lang w:val="en-US"/>
        </w:rPr>
        <w:t xml:space="preserve"> Indeed, in the most recent Times World University Ranking, the Go8 were the highest ranked universities in the Oceania region</w:t>
      </w:r>
      <w:r w:rsidR="00695692" w:rsidRPr="00905499">
        <w:rPr>
          <w:rFonts w:ascii="Times New Roman" w:hAnsi="Times New Roman" w:cs="Times New Roman"/>
          <w:lang w:val="en-US"/>
        </w:rPr>
        <w:t>. They</w:t>
      </w:r>
      <w:r w:rsidR="003915DD" w:rsidRPr="00905499">
        <w:rPr>
          <w:rFonts w:ascii="Times New Roman" w:hAnsi="Times New Roman" w:cs="Times New Roman"/>
          <w:lang w:val="en-US"/>
        </w:rPr>
        <w:t xml:space="preserve"> </w:t>
      </w:r>
      <w:r w:rsidR="00695692" w:rsidRPr="00905499">
        <w:rPr>
          <w:rFonts w:ascii="Times New Roman" w:hAnsi="Times New Roman" w:cs="Times New Roman"/>
          <w:lang w:val="en-US"/>
        </w:rPr>
        <w:t>are also the</w:t>
      </w:r>
      <w:r w:rsidR="003915DD" w:rsidRPr="00905499">
        <w:rPr>
          <w:rFonts w:ascii="Times New Roman" w:hAnsi="Times New Roman" w:cs="Times New Roman"/>
          <w:lang w:val="en-US"/>
        </w:rPr>
        <w:t xml:space="preserve"> only Australian universities in the top 200 universities worldwide (</w:t>
      </w:r>
      <w:hyperlink r:id="rId12" w:history="1">
        <w:r w:rsidR="003915DD" w:rsidRPr="00905499">
          <w:rPr>
            <w:rStyle w:val="Hyperlink"/>
            <w:rFonts w:ascii="Times New Roman" w:hAnsi="Times New Roman" w:cs="Times New Roman"/>
            <w:lang w:val="en-US"/>
          </w:rPr>
          <w:t>https://www.timeshighereducation.co.uk/world-university-rankings/2014-15/world-ranking/region/oceania</w:t>
        </w:r>
      </w:hyperlink>
      <w:r w:rsidR="003915DD" w:rsidRPr="00905499">
        <w:rPr>
          <w:rFonts w:ascii="Times New Roman" w:hAnsi="Times New Roman" w:cs="Times New Roman"/>
          <w:lang w:val="en-US"/>
        </w:rPr>
        <w:t xml:space="preserve">). </w:t>
      </w:r>
      <w:r w:rsidR="00BC0D35" w:rsidRPr="00905499">
        <w:rPr>
          <w:rFonts w:ascii="Times New Roman" w:hAnsi="Times New Roman" w:cs="Times New Roman"/>
          <w:lang w:val="en-US"/>
        </w:rPr>
        <w:t xml:space="preserve"> </w:t>
      </w:r>
      <w:r w:rsidR="00CD31BF" w:rsidRPr="00905499">
        <w:rPr>
          <w:rFonts w:ascii="Times New Roman" w:hAnsi="Times New Roman" w:cs="Times New Roman"/>
          <w:lang w:val="en-US"/>
        </w:rPr>
        <w:t>Again</w:t>
      </w:r>
      <w:r w:rsidR="008757D7" w:rsidRPr="00905499">
        <w:rPr>
          <w:rFonts w:ascii="Times New Roman" w:hAnsi="Times New Roman" w:cs="Times New Roman"/>
          <w:lang w:val="en-US"/>
        </w:rPr>
        <w:t>,</w:t>
      </w:r>
      <w:r w:rsidR="00CD31BF" w:rsidRPr="00905499">
        <w:rPr>
          <w:rFonts w:ascii="Times New Roman" w:hAnsi="Times New Roman" w:cs="Times New Roman"/>
          <w:lang w:val="en-US"/>
        </w:rPr>
        <w:t xml:space="preserve"> </w:t>
      </w:r>
      <w:r w:rsidR="003915DD" w:rsidRPr="00905499">
        <w:rPr>
          <w:rFonts w:ascii="Times New Roman" w:hAnsi="Times New Roman" w:cs="Times New Roman"/>
          <w:lang w:val="en-US"/>
        </w:rPr>
        <w:t xml:space="preserve">data concerning entry into a Go8 university </w:t>
      </w:r>
      <w:r w:rsidR="00CD31BF" w:rsidRPr="00905499">
        <w:rPr>
          <w:rFonts w:ascii="Times New Roman" w:hAnsi="Times New Roman" w:cs="Times New Roman"/>
          <w:lang w:val="en-US"/>
        </w:rPr>
        <w:t>was taken from the waves covering ages 17 to 19.</w:t>
      </w:r>
    </w:p>
    <w:p w14:paraId="1A941826" w14:textId="436B8432" w:rsidR="00250FC5" w:rsidRPr="00905499" w:rsidRDefault="00250FC5" w:rsidP="008B74D0">
      <w:pPr>
        <w:spacing w:line="360" w:lineRule="auto"/>
        <w:ind w:firstLine="720"/>
        <w:jc w:val="both"/>
        <w:rPr>
          <w:rFonts w:ascii="Times New Roman" w:hAnsi="Times New Roman" w:cs="Times New Roman"/>
          <w:lang w:val="en-US"/>
        </w:rPr>
      </w:pPr>
      <w:r w:rsidRPr="00905499">
        <w:rPr>
          <w:rFonts w:ascii="Times New Roman" w:hAnsi="Times New Roman" w:cs="Times New Roman"/>
          <w:lang w:val="en-US"/>
        </w:rPr>
        <w:lastRenderedPageBreak/>
        <w:t xml:space="preserve">Finally, </w:t>
      </w:r>
      <w:r w:rsidR="006669AA" w:rsidRPr="00905499">
        <w:rPr>
          <w:rFonts w:ascii="Times New Roman" w:hAnsi="Times New Roman" w:cs="Times New Roman"/>
          <w:lang w:val="en-US"/>
        </w:rPr>
        <w:t xml:space="preserve">we considered the influence of university outreach programs via </w:t>
      </w:r>
      <w:r w:rsidRPr="00905499">
        <w:rPr>
          <w:rFonts w:ascii="Times New Roman" w:hAnsi="Times New Roman" w:cs="Times New Roman"/>
          <w:lang w:val="en-US"/>
        </w:rPr>
        <w:t>a single item from the second wave (age 16) of the LSAY2006</w:t>
      </w:r>
      <w:r w:rsidRPr="00905499">
        <w:rPr>
          <w:rStyle w:val="FootnoteReference"/>
          <w:rFonts w:ascii="Times New Roman" w:hAnsi="Times New Roman" w:cs="Times New Roman"/>
          <w:lang w:val="en-US"/>
        </w:rPr>
        <w:footnoteReference w:id="1"/>
      </w:r>
      <w:r w:rsidRPr="00905499">
        <w:rPr>
          <w:rFonts w:ascii="Times New Roman" w:hAnsi="Times New Roman" w:cs="Times New Roman"/>
          <w:lang w:val="en-US"/>
        </w:rPr>
        <w:t xml:space="preserve"> cohort. Here </w:t>
      </w:r>
      <w:proofErr w:type="gramStart"/>
      <w:r w:rsidRPr="00905499">
        <w:rPr>
          <w:rFonts w:ascii="Times New Roman" w:hAnsi="Times New Roman" w:cs="Times New Roman"/>
          <w:lang w:val="en-US"/>
        </w:rPr>
        <w:t>participants were asked whether they</w:t>
      </w:r>
      <w:r w:rsidR="006669AA" w:rsidRPr="00905499">
        <w:rPr>
          <w:rFonts w:ascii="Times New Roman" w:hAnsi="Times New Roman" w:cs="Times New Roman"/>
          <w:lang w:val="en-US"/>
        </w:rPr>
        <w:t xml:space="preserve"> had</w:t>
      </w:r>
      <w:r w:rsidRPr="00905499">
        <w:rPr>
          <w:rFonts w:ascii="Times New Roman" w:hAnsi="Times New Roman" w:cs="Times New Roman"/>
          <w:lang w:val="en-US"/>
        </w:rPr>
        <w:t xml:space="preserve"> “attended an information session at a university or by someone from a university</w:t>
      </w:r>
      <w:proofErr w:type="gramEnd"/>
      <w:r w:rsidRPr="00905499">
        <w:rPr>
          <w:rFonts w:ascii="Times New Roman" w:hAnsi="Times New Roman" w:cs="Times New Roman"/>
          <w:lang w:val="en-US"/>
        </w:rPr>
        <w:t xml:space="preserve">?”  In total, </w:t>
      </w:r>
      <w:r w:rsidR="00695692" w:rsidRPr="00905499">
        <w:rPr>
          <w:rFonts w:ascii="Times New Roman" w:hAnsi="Times New Roman" w:cs="Times New Roman"/>
          <w:lang w:val="en-US"/>
        </w:rPr>
        <w:t>47</w:t>
      </w:r>
      <w:r w:rsidRPr="00905499">
        <w:rPr>
          <w:rFonts w:ascii="Times New Roman" w:hAnsi="Times New Roman" w:cs="Times New Roman"/>
          <w:lang w:val="en-US"/>
        </w:rPr>
        <w:t>% of participants had attended such a session</w:t>
      </w:r>
      <w:r w:rsidR="003244BE" w:rsidRPr="00905499">
        <w:rPr>
          <w:rFonts w:ascii="Times New Roman" w:hAnsi="Times New Roman" w:cs="Times New Roman"/>
          <w:lang w:val="en-US"/>
        </w:rPr>
        <w:t xml:space="preserve"> </w:t>
      </w:r>
      <w:r w:rsidR="002D6B12" w:rsidRPr="00905499">
        <w:rPr>
          <w:rFonts w:ascii="Times New Roman" w:hAnsi="Times New Roman" w:cs="Times New Roman"/>
          <w:lang w:val="en-US"/>
        </w:rPr>
        <w:t>by</w:t>
      </w:r>
      <w:r w:rsidR="003244BE" w:rsidRPr="00905499">
        <w:rPr>
          <w:rFonts w:ascii="Times New Roman" w:hAnsi="Times New Roman" w:cs="Times New Roman"/>
          <w:lang w:val="en-US"/>
        </w:rPr>
        <w:t xml:space="preserve"> age 16</w:t>
      </w:r>
      <w:r w:rsidRPr="00905499">
        <w:rPr>
          <w:rFonts w:ascii="Times New Roman" w:hAnsi="Times New Roman" w:cs="Times New Roman"/>
          <w:lang w:val="en-US"/>
        </w:rPr>
        <w:t>.</w:t>
      </w:r>
    </w:p>
    <w:p w14:paraId="0F3A9798" w14:textId="1C7A78B0" w:rsidR="007E20C7" w:rsidRPr="00905499" w:rsidRDefault="00F53083" w:rsidP="00F53083">
      <w:pPr>
        <w:spacing w:line="360" w:lineRule="auto"/>
        <w:jc w:val="both"/>
        <w:rPr>
          <w:rFonts w:ascii="Times New Roman" w:hAnsi="Times New Roman" w:cs="Times New Roman"/>
          <w:b/>
          <w:lang w:val="en-US"/>
        </w:rPr>
      </w:pPr>
      <w:r w:rsidRPr="00905499">
        <w:rPr>
          <w:rFonts w:ascii="Times New Roman" w:hAnsi="Times New Roman" w:cs="Times New Roman"/>
          <w:b/>
          <w:lang w:val="en-US"/>
        </w:rPr>
        <w:t>Socioeconomic s</w:t>
      </w:r>
      <w:r w:rsidR="00221DB0" w:rsidRPr="00905499">
        <w:rPr>
          <w:rFonts w:ascii="Times New Roman" w:hAnsi="Times New Roman" w:cs="Times New Roman"/>
          <w:b/>
          <w:lang w:val="en-US"/>
        </w:rPr>
        <w:t>tatus.</w:t>
      </w:r>
      <w:r w:rsidRPr="00905499">
        <w:rPr>
          <w:rFonts w:ascii="Times New Roman" w:hAnsi="Times New Roman" w:cs="Times New Roman"/>
          <w:b/>
          <w:lang w:val="en-US"/>
        </w:rPr>
        <w:t xml:space="preserve"> </w:t>
      </w:r>
      <w:r w:rsidR="00221DB0" w:rsidRPr="00905499">
        <w:rPr>
          <w:rFonts w:ascii="Times New Roman" w:hAnsi="Times New Roman" w:cs="Times New Roman"/>
          <w:lang w:val="en-US"/>
        </w:rPr>
        <w:t xml:space="preserve">Socioeconomic status was </w:t>
      </w:r>
      <w:r w:rsidR="00695692" w:rsidRPr="00905499">
        <w:rPr>
          <w:rFonts w:ascii="Times New Roman" w:hAnsi="Times New Roman" w:cs="Times New Roman"/>
          <w:lang w:val="en-US"/>
        </w:rPr>
        <w:t>measured using the PISA</w:t>
      </w:r>
      <w:r w:rsidR="00221DB0" w:rsidRPr="00905499">
        <w:rPr>
          <w:rFonts w:ascii="Times New Roman" w:hAnsi="Times New Roman" w:cs="Times New Roman"/>
          <w:lang w:val="en-US"/>
        </w:rPr>
        <w:t xml:space="preserve"> index of economic, social, and cultural capital (ESCS) (</w:t>
      </w:r>
      <w:r w:rsidR="00917008" w:rsidRPr="00905499">
        <w:rPr>
          <w:rFonts w:ascii="Times New Roman" w:hAnsi="Times New Roman" w:cs="Times New Roman"/>
          <w:lang w:val="en-US"/>
        </w:rPr>
        <w:t>OECD, 2012</w:t>
      </w:r>
      <w:r w:rsidR="006C05F2" w:rsidRPr="00905499">
        <w:rPr>
          <w:rFonts w:ascii="Times New Roman" w:hAnsi="Times New Roman" w:cs="Times New Roman"/>
          <w:lang w:val="en-US"/>
        </w:rPr>
        <w:t xml:space="preserve">; see </w:t>
      </w:r>
      <w:hyperlink r:id="rId13" w:history="1">
        <w:r w:rsidR="006C05F2" w:rsidRPr="00905499">
          <w:rPr>
            <w:rStyle w:val="Hyperlink"/>
            <w:rFonts w:ascii="Times New Roman" w:hAnsi="Times New Roman" w:cs="Times New Roman"/>
            <w:lang w:val="en-US"/>
          </w:rPr>
          <w:t>http://stats.oecd.org/glossary/detail.asp?ID=5401</w:t>
        </w:r>
      </w:hyperlink>
      <w:r w:rsidR="00221DB0" w:rsidRPr="00905499">
        <w:rPr>
          <w:rFonts w:ascii="Times New Roman" w:hAnsi="Times New Roman" w:cs="Times New Roman"/>
          <w:lang w:val="en-US"/>
        </w:rPr>
        <w:t xml:space="preserve">). </w:t>
      </w:r>
      <w:r w:rsidR="00EF1F7B" w:rsidRPr="00905499">
        <w:rPr>
          <w:rFonts w:ascii="Times New Roman" w:hAnsi="Times New Roman" w:cs="Times New Roman"/>
          <w:lang w:val="en-US"/>
        </w:rPr>
        <w:t>Th</w:t>
      </w:r>
      <w:r w:rsidR="00695692" w:rsidRPr="00905499">
        <w:rPr>
          <w:rFonts w:ascii="Times New Roman" w:hAnsi="Times New Roman" w:cs="Times New Roman"/>
          <w:lang w:val="en-US"/>
        </w:rPr>
        <w:t>is</w:t>
      </w:r>
      <w:r w:rsidR="00EF1F7B" w:rsidRPr="00905499">
        <w:rPr>
          <w:rFonts w:ascii="Times New Roman" w:hAnsi="Times New Roman" w:cs="Times New Roman"/>
          <w:lang w:val="en-US"/>
        </w:rPr>
        <w:t xml:space="preserve"> index is t</w:t>
      </w:r>
      <w:r w:rsidR="002D6B12" w:rsidRPr="00905499">
        <w:rPr>
          <w:rFonts w:ascii="Times New Roman" w:hAnsi="Times New Roman" w:cs="Times New Roman"/>
          <w:lang w:val="en-US"/>
        </w:rPr>
        <w:t>aken from a principal component</w:t>
      </w:r>
      <w:r w:rsidR="00EF1F7B" w:rsidRPr="00905499">
        <w:rPr>
          <w:rFonts w:ascii="Times New Roman" w:hAnsi="Times New Roman" w:cs="Times New Roman"/>
          <w:lang w:val="en-US"/>
        </w:rPr>
        <w:t xml:space="preserve"> of parental employment, education, job prestige</w:t>
      </w:r>
      <w:r w:rsidR="00695692" w:rsidRPr="00905499">
        <w:rPr>
          <w:rFonts w:ascii="Times New Roman" w:hAnsi="Times New Roman" w:cs="Times New Roman"/>
          <w:lang w:val="en-US"/>
        </w:rPr>
        <w:t>,</w:t>
      </w:r>
      <w:r w:rsidR="00EF1F7B" w:rsidRPr="00905499">
        <w:rPr>
          <w:rFonts w:ascii="Times New Roman" w:hAnsi="Times New Roman" w:cs="Times New Roman"/>
          <w:lang w:val="en-US"/>
        </w:rPr>
        <w:t xml:space="preserve"> </w:t>
      </w:r>
      <w:r w:rsidR="00695692" w:rsidRPr="00905499">
        <w:rPr>
          <w:rFonts w:ascii="Times New Roman" w:hAnsi="Times New Roman" w:cs="Times New Roman"/>
          <w:lang w:val="en-US"/>
        </w:rPr>
        <w:t>and</w:t>
      </w:r>
      <w:r w:rsidR="00EF1F7B" w:rsidRPr="00905499">
        <w:rPr>
          <w:rFonts w:ascii="Times New Roman" w:hAnsi="Times New Roman" w:cs="Times New Roman"/>
          <w:lang w:val="en-US"/>
        </w:rPr>
        <w:t xml:space="preserve"> ho</w:t>
      </w:r>
      <w:r w:rsidR="00695692" w:rsidRPr="00905499">
        <w:rPr>
          <w:rFonts w:ascii="Times New Roman" w:hAnsi="Times New Roman" w:cs="Times New Roman"/>
          <w:lang w:val="en-US"/>
        </w:rPr>
        <w:t>usehold</w:t>
      </w:r>
      <w:r w:rsidR="006D116F" w:rsidRPr="00905499">
        <w:rPr>
          <w:rFonts w:ascii="Times New Roman" w:hAnsi="Times New Roman" w:cs="Times New Roman"/>
          <w:lang w:val="en-US"/>
        </w:rPr>
        <w:t xml:space="preserve"> possessions (</w:t>
      </w:r>
      <w:r w:rsidR="00EF1F7B" w:rsidRPr="00905499">
        <w:rPr>
          <w:rFonts w:ascii="Times New Roman" w:hAnsi="Times New Roman" w:cs="Times New Roman"/>
          <w:lang w:val="en-US"/>
        </w:rPr>
        <w:t xml:space="preserve">see Geske &amp; Grinfelds, 2012). The index has an international mean of zero and standard deviation of </w:t>
      </w:r>
      <w:r w:rsidR="00DC2B36">
        <w:rPr>
          <w:rFonts w:ascii="Times New Roman" w:hAnsi="Times New Roman" w:cs="Times New Roman"/>
          <w:lang w:val="en-US"/>
        </w:rPr>
        <w:t>one</w:t>
      </w:r>
      <w:r w:rsidR="00EF1F7B" w:rsidRPr="00905499">
        <w:rPr>
          <w:rFonts w:ascii="Times New Roman" w:hAnsi="Times New Roman" w:cs="Times New Roman"/>
          <w:lang w:val="en-US"/>
        </w:rPr>
        <w:t xml:space="preserve">. </w:t>
      </w:r>
      <w:r w:rsidR="00695692" w:rsidRPr="00905499">
        <w:rPr>
          <w:rFonts w:ascii="Times New Roman" w:hAnsi="Times New Roman" w:cs="Times New Roman"/>
          <w:lang w:val="en-US"/>
        </w:rPr>
        <w:t>In Table 2</w:t>
      </w:r>
      <w:r w:rsidR="00EF1F7B" w:rsidRPr="00905499">
        <w:rPr>
          <w:rFonts w:ascii="Times New Roman" w:hAnsi="Times New Roman" w:cs="Times New Roman"/>
          <w:lang w:val="en-US"/>
        </w:rPr>
        <w:t xml:space="preserve"> we report th</w:t>
      </w:r>
      <w:r w:rsidR="00695692" w:rsidRPr="00905499">
        <w:rPr>
          <w:rFonts w:ascii="Times New Roman" w:hAnsi="Times New Roman" w:cs="Times New Roman"/>
          <w:lang w:val="en-US"/>
        </w:rPr>
        <w:t>is</w:t>
      </w:r>
      <w:r w:rsidR="00EF1F7B" w:rsidRPr="00905499">
        <w:rPr>
          <w:rFonts w:ascii="Times New Roman" w:hAnsi="Times New Roman" w:cs="Times New Roman"/>
          <w:lang w:val="en-US"/>
        </w:rPr>
        <w:t xml:space="preserve"> index </w:t>
      </w:r>
      <w:r w:rsidR="00695692" w:rsidRPr="00905499">
        <w:rPr>
          <w:rFonts w:ascii="Times New Roman" w:hAnsi="Times New Roman" w:cs="Times New Roman"/>
          <w:lang w:val="en-US"/>
        </w:rPr>
        <w:t>i</w:t>
      </w:r>
      <w:r w:rsidR="00EF1F7B" w:rsidRPr="00905499">
        <w:rPr>
          <w:rFonts w:ascii="Times New Roman" w:hAnsi="Times New Roman" w:cs="Times New Roman"/>
          <w:lang w:val="en-US"/>
        </w:rPr>
        <w:t>n the original scale</w:t>
      </w:r>
      <w:r w:rsidR="00695692" w:rsidRPr="00905499">
        <w:rPr>
          <w:rFonts w:ascii="Times New Roman" w:hAnsi="Times New Roman" w:cs="Times New Roman"/>
          <w:lang w:val="en-US"/>
        </w:rPr>
        <w:t>,</w:t>
      </w:r>
      <w:r w:rsidR="00EF1F7B" w:rsidRPr="00905499">
        <w:rPr>
          <w:rFonts w:ascii="Times New Roman" w:hAnsi="Times New Roman" w:cs="Times New Roman"/>
          <w:lang w:val="en-US"/>
        </w:rPr>
        <w:t xml:space="preserve"> but re-</w:t>
      </w:r>
      <w:r w:rsidR="00645D3D" w:rsidRPr="00905499">
        <w:rPr>
          <w:rFonts w:ascii="Times New Roman" w:hAnsi="Times New Roman" w:cs="Times New Roman"/>
          <w:lang w:val="en-US"/>
        </w:rPr>
        <w:t>standardized</w:t>
      </w:r>
      <w:r w:rsidR="00EF1F7B" w:rsidRPr="00905499">
        <w:rPr>
          <w:rFonts w:ascii="Times New Roman" w:hAnsi="Times New Roman" w:cs="Times New Roman"/>
          <w:lang w:val="en-US"/>
        </w:rPr>
        <w:t xml:space="preserve"> </w:t>
      </w:r>
      <w:r w:rsidR="00695692" w:rsidRPr="00905499">
        <w:rPr>
          <w:rFonts w:ascii="Times New Roman" w:hAnsi="Times New Roman" w:cs="Times New Roman"/>
          <w:lang w:val="en-US"/>
        </w:rPr>
        <w:t>it within our models so that</w:t>
      </w:r>
      <w:r w:rsidR="00EF1F7B" w:rsidRPr="00905499">
        <w:rPr>
          <w:rFonts w:ascii="Times New Roman" w:hAnsi="Times New Roman" w:cs="Times New Roman"/>
          <w:lang w:val="en-US"/>
        </w:rPr>
        <w:t xml:space="preserve"> </w:t>
      </w:r>
      <w:r w:rsidR="00695692" w:rsidRPr="00905499">
        <w:rPr>
          <w:rFonts w:ascii="Times New Roman" w:hAnsi="Times New Roman" w:cs="Times New Roman"/>
          <w:lang w:val="en-US"/>
        </w:rPr>
        <w:t xml:space="preserve">the mean in </w:t>
      </w:r>
      <w:r w:rsidR="00EF1F7B" w:rsidRPr="00905499">
        <w:rPr>
          <w:rFonts w:ascii="Times New Roman" w:hAnsi="Times New Roman" w:cs="Times New Roman"/>
          <w:lang w:val="en-US"/>
        </w:rPr>
        <w:t xml:space="preserve">Australia </w:t>
      </w:r>
      <w:r w:rsidR="00695692" w:rsidRPr="00905499">
        <w:rPr>
          <w:rFonts w:ascii="Times New Roman" w:hAnsi="Times New Roman" w:cs="Times New Roman"/>
          <w:lang w:val="en-US"/>
        </w:rPr>
        <w:t>is</w:t>
      </w:r>
      <w:r w:rsidR="00DC2B36">
        <w:rPr>
          <w:rFonts w:ascii="Times New Roman" w:hAnsi="Times New Roman" w:cs="Times New Roman"/>
          <w:lang w:val="en-US"/>
        </w:rPr>
        <w:t xml:space="preserve"> zero and standard deviation one</w:t>
      </w:r>
      <w:r w:rsidR="00EF1F7B" w:rsidRPr="00905499">
        <w:rPr>
          <w:rFonts w:ascii="Times New Roman" w:hAnsi="Times New Roman" w:cs="Times New Roman"/>
          <w:lang w:val="en-US"/>
        </w:rPr>
        <w:t xml:space="preserve">. </w:t>
      </w:r>
    </w:p>
    <w:p w14:paraId="110BD89A" w14:textId="234633DF" w:rsidR="009874A9" w:rsidRPr="00905499" w:rsidRDefault="00E66C66" w:rsidP="00E66C66">
      <w:pPr>
        <w:spacing w:line="360" w:lineRule="auto"/>
        <w:jc w:val="both"/>
        <w:rPr>
          <w:rFonts w:ascii="Times New Roman" w:hAnsi="Times New Roman" w:cs="Times New Roman"/>
          <w:lang w:val="en-US"/>
        </w:rPr>
      </w:pPr>
      <w:r w:rsidRPr="00905499">
        <w:rPr>
          <w:rFonts w:ascii="Times New Roman" w:hAnsi="Times New Roman" w:cs="Times New Roman"/>
          <w:b/>
          <w:lang w:val="en-US"/>
        </w:rPr>
        <w:t>Distance m</w:t>
      </w:r>
      <w:r w:rsidR="00221DB0" w:rsidRPr="00905499">
        <w:rPr>
          <w:rFonts w:ascii="Times New Roman" w:hAnsi="Times New Roman" w:cs="Times New Roman"/>
          <w:b/>
          <w:lang w:val="en-US"/>
        </w:rPr>
        <w:t>easures</w:t>
      </w:r>
      <w:r w:rsidR="00221DB0" w:rsidRPr="00905499">
        <w:rPr>
          <w:rFonts w:ascii="Times New Roman" w:hAnsi="Times New Roman" w:cs="Times New Roman"/>
          <w:lang w:val="en-US"/>
        </w:rPr>
        <w:t xml:space="preserve">. Distance measures </w:t>
      </w:r>
      <w:r w:rsidR="009177B5" w:rsidRPr="00905499">
        <w:rPr>
          <w:rFonts w:ascii="Times New Roman" w:hAnsi="Times New Roman" w:cs="Times New Roman"/>
          <w:lang w:val="en-US"/>
        </w:rPr>
        <w:t>were</w:t>
      </w:r>
      <w:r w:rsidR="003915DD" w:rsidRPr="00905499">
        <w:rPr>
          <w:rFonts w:ascii="Times New Roman" w:hAnsi="Times New Roman" w:cs="Times New Roman"/>
          <w:lang w:val="en-US"/>
        </w:rPr>
        <w:t xml:space="preserve"> based on a three-</w:t>
      </w:r>
      <w:r w:rsidR="00221DB0" w:rsidRPr="00905499">
        <w:rPr>
          <w:rFonts w:ascii="Times New Roman" w:hAnsi="Times New Roman" w:cs="Times New Roman"/>
          <w:lang w:val="en-US"/>
        </w:rPr>
        <w:t>stage procedure. First, the Australian Government registry of educational providers (</w:t>
      </w:r>
      <w:hyperlink r:id="rId14" w:history="1">
        <w:r w:rsidR="00221DB0" w:rsidRPr="00905499">
          <w:rPr>
            <w:rStyle w:val="Hyperlink"/>
            <w:rFonts w:ascii="Times New Roman" w:hAnsi="Times New Roman" w:cs="Times New Roman"/>
            <w:lang w:val="en-US"/>
          </w:rPr>
          <w:t>http://cricos.education.gov.au/</w:t>
        </w:r>
      </w:hyperlink>
      <w:r w:rsidR="00221DB0" w:rsidRPr="00905499">
        <w:rPr>
          <w:rFonts w:ascii="Times New Roman" w:hAnsi="Times New Roman" w:cs="Times New Roman"/>
          <w:lang w:val="en-US"/>
        </w:rPr>
        <w:t xml:space="preserve">) was </w:t>
      </w:r>
      <w:r w:rsidR="009177B5" w:rsidRPr="00905499">
        <w:rPr>
          <w:rFonts w:ascii="Times New Roman" w:hAnsi="Times New Roman" w:cs="Times New Roman"/>
          <w:lang w:val="en-US"/>
        </w:rPr>
        <w:t>accessed</w:t>
      </w:r>
      <w:r w:rsidR="00221DB0" w:rsidRPr="00905499">
        <w:rPr>
          <w:rFonts w:ascii="Times New Roman" w:hAnsi="Times New Roman" w:cs="Times New Roman"/>
          <w:lang w:val="en-US"/>
        </w:rPr>
        <w:t xml:space="preserve"> to get the physical street address of all university campuses in Australia. We then removed any campus that </w:t>
      </w:r>
      <w:r w:rsidR="00695692" w:rsidRPr="00905499">
        <w:rPr>
          <w:rFonts w:ascii="Times New Roman" w:hAnsi="Times New Roman" w:cs="Times New Roman"/>
          <w:lang w:val="en-US"/>
        </w:rPr>
        <w:t>was</w:t>
      </w:r>
      <w:r w:rsidR="00221DB0" w:rsidRPr="00905499">
        <w:rPr>
          <w:rFonts w:ascii="Times New Roman" w:hAnsi="Times New Roman" w:cs="Times New Roman"/>
          <w:lang w:val="en-US"/>
        </w:rPr>
        <w:t xml:space="preserve"> </w:t>
      </w:r>
      <w:r w:rsidR="00695692" w:rsidRPr="00905499">
        <w:rPr>
          <w:rFonts w:ascii="Times New Roman" w:hAnsi="Times New Roman" w:cs="Times New Roman"/>
          <w:lang w:val="en-US"/>
        </w:rPr>
        <w:t xml:space="preserve">a </w:t>
      </w:r>
      <w:r w:rsidR="00221DB0" w:rsidRPr="00905499">
        <w:rPr>
          <w:rFonts w:ascii="Times New Roman" w:hAnsi="Times New Roman" w:cs="Times New Roman"/>
          <w:lang w:val="en-US"/>
        </w:rPr>
        <w:t xml:space="preserve">preparation college for international students </w:t>
      </w:r>
      <w:r w:rsidR="00632DBD" w:rsidRPr="00905499">
        <w:rPr>
          <w:rFonts w:ascii="Times New Roman" w:hAnsi="Times New Roman" w:cs="Times New Roman"/>
          <w:lang w:val="en-US"/>
        </w:rPr>
        <w:t>or</w:t>
      </w:r>
      <w:r w:rsidR="00221DB0" w:rsidRPr="00905499">
        <w:rPr>
          <w:rFonts w:ascii="Times New Roman" w:hAnsi="Times New Roman" w:cs="Times New Roman"/>
          <w:lang w:val="en-US"/>
        </w:rPr>
        <w:t xml:space="preserve"> offered less than 10 </w:t>
      </w:r>
      <w:r w:rsidR="00B479D9" w:rsidRPr="00905499">
        <w:rPr>
          <w:rFonts w:ascii="Times New Roman" w:hAnsi="Times New Roman" w:cs="Times New Roman"/>
          <w:lang w:val="en-US"/>
        </w:rPr>
        <w:t xml:space="preserve">government registered </w:t>
      </w:r>
      <w:r w:rsidR="00221DB0" w:rsidRPr="00905499">
        <w:rPr>
          <w:rFonts w:ascii="Times New Roman" w:hAnsi="Times New Roman" w:cs="Times New Roman"/>
          <w:lang w:val="en-US"/>
        </w:rPr>
        <w:t>courses on site</w:t>
      </w:r>
      <w:r w:rsidR="00B479D9" w:rsidRPr="00905499">
        <w:rPr>
          <w:rFonts w:ascii="Times New Roman" w:hAnsi="Times New Roman" w:cs="Times New Roman"/>
          <w:lang w:val="en-US"/>
        </w:rPr>
        <w:t xml:space="preserve"> (i.e., campuses that were both very small and highly specialized)</w:t>
      </w:r>
      <w:r w:rsidR="00221DB0" w:rsidRPr="00905499">
        <w:rPr>
          <w:rFonts w:ascii="Times New Roman" w:hAnsi="Times New Roman" w:cs="Times New Roman"/>
          <w:lang w:val="en-US"/>
        </w:rPr>
        <w:t>. As a result we developed a database of 176 campuses</w:t>
      </w:r>
      <w:r w:rsidR="003915DD" w:rsidRPr="00905499">
        <w:rPr>
          <w:rFonts w:ascii="Times New Roman" w:hAnsi="Times New Roman" w:cs="Times New Roman"/>
          <w:lang w:val="en-US"/>
        </w:rPr>
        <w:t>,</w:t>
      </w:r>
      <w:r w:rsidR="00B479D9" w:rsidRPr="00905499">
        <w:rPr>
          <w:rFonts w:ascii="Times New Roman" w:hAnsi="Times New Roman" w:cs="Times New Roman"/>
          <w:lang w:val="en-US"/>
        </w:rPr>
        <w:t xml:space="preserve"> covering the 39 universities</w:t>
      </w:r>
      <w:r w:rsidR="00695692" w:rsidRPr="00905499">
        <w:rPr>
          <w:rFonts w:ascii="Times New Roman" w:hAnsi="Times New Roman" w:cs="Times New Roman"/>
          <w:lang w:val="en-US"/>
        </w:rPr>
        <w:t>,</w:t>
      </w:r>
      <w:r w:rsidR="00B479D9" w:rsidRPr="00905499">
        <w:rPr>
          <w:rFonts w:ascii="Times New Roman" w:hAnsi="Times New Roman" w:cs="Times New Roman"/>
          <w:lang w:val="en-US"/>
        </w:rPr>
        <w:t xml:space="preserve"> on mainland Australia</w:t>
      </w:r>
      <w:r w:rsidR="00221DB0" w:rsidRPr="00905499">
        <w:rPr>
          <w:rFonts w:ascii="Times New Roman" w:hAnsi="Times New Roman" w:cs="Times New Roman"/>
          <w:lang w:val="en-US"/>
        </w:rPr>
        <w:t xml:space="preserve">. The </w:t>
      </w:r>
      <w:r w:rsidR="002F53E7" w:rsidRPr="00905499">
        <w:rPr>
          <w:rFonts w:ascii="Times New Roman" w:hAnsi="Times New Roman" w:cs="Times New Roman"/>
          <w:lang w:val="en-US"/>
        </w:rPr>
        <w:t>G</w:t>
      </w:r>
      <w:r w:rsidR="00221DB0" w:rsidRPr="00905499">
        <w:rPr>
          <w:rFonts w:ascii="Times New Roman" w:hAnsi="Times New Roman" w:cs="Times New Roman"/>
          <w:lang w:val="en-US"/>
        </w:rPr>
        <w:t xml:space="preserve">oogle </w:t>
      </w:r>
      <w:r w:rsidR="002F53E7" w:rsidRPr="00905499">
        <w:rPr>
          <w:rFonts w:ascii="Times New Roman" w:hAnsi="Times New Roman" w:cs="Times New Roman"/>
          <w:lang w:val="en-US"/>
        </w:rPr>
        <w:t>M</w:t>
      </w:r>
      <w:r w:rsidR="00221DB0" w:rsidRPr="00905499">
        <w:rPr>
          <w:rFonts w:ascii="Times New Roman" w:hAnsi="Times New Roman" w:cs="Times New Roman"/>
          <w:lang w:val="en-US"/>
        </w:rPr>
        <w:t>aps API was then used to get the latitude and longitude of the street addresses of each. Due to privacy restrictions</w:t>
      </w:r>
      <w:r w:rsidR="003915DD" w:rsidRPr="00905499">
        <w:rPr>
          <w:rFonts w:ascii="Times New Roman" w:hAnsi="Times New Roman" w:cs="Times New Roman"/>
          <w:lang w:val="en-US"/>
        </w:rPr>
        <w:t>,</w:t>
      </w:r>
      <w:r w:rsidR="00221DB0" w:rsidRPr="00905499">
        <w:rPr>
          <w:rFonts w:ascii="Times New Roman" w:hAnsi="Times New Roman" w:cs="Times New Roman"/>
          <w:lang w:val="en-US"/>
        </w:rPr>
        <w:t xml:space="preserve"> the LSAY database provides postcodes of residence rather than physical street address.  </w:t>
      </w:r>
      <w:r w:rsidR="009874A9" w:rsidRPr="00905499">
        <w:rPr>
          <w:rFonts w:ascii="Times New Roman" w:hAnsi="Times New Roman" w:cs="Times New Roman"/>
          <w:lang w:val="en-US"/>
        </w:rPr>
        <w:t xml:space="preserve">We used the population-weighted centroids of postcodes as a proxy for residential location of each participant in the absence of any finer-grained data. The use of population-weighted centroids adjusts the longitude and latitude coordinates for the distribution of the population within each postcode.  The coordinates of where participants lived and the university campuses were then used to calculate road network-based travel distances within a Geographic Information System. This network-based approach is more likely to represent the actual distance that a participant would be required to factor into their decision-making process, rather than a simpler Euclidean-based distance metric that would not take into account major </w:t>
      </w:r>
      <w:r w:rsidR="009874A9" w:rsidRPr="00905499">
        <w:rPr>
          <w:rFonts w:ascii="Times New Roman" w:hAnsi="Times New Roman" w:cs="Times New Roman"/>
          <w:lang w:val="en-US"/>
        </w:rPr>
        <w:lastRenderedPageBreak/>
        <w:t xml:space="preserve">variations in topography within Australia (likely resulting in an under-estimate). Distances for each participant were calculated for their </w:t>
      </w:r>
      <w:r w:rsidR="009874A9" w:rsidRPr="00905499">
        <w:rPr>
          <w:rFonts w:ascii="Times New Roman" w:hAnsi="Times New Roman" w:cs="Times New Roman"/>
          <w:i/>
          <w:lang w:val="en-US"/>
        </w:rPr>
        <w:t>nearest university campus</w:t>
      </w:r>
      <w:r w:rsidR="00485A5E" w:rsidRPr="00905499">
        <w:rPr>
          <w:rFonts w:ascii="Times New Roman" w:hAnsi="Times New Roman" w:cs="Times New Roman"/>
          <w:lang w:val="en-US"/>
        </w:rPr>
        <w:t xml:space="preserve"> and the </w:t>
      </w:r>
      <w:r w:rsidR="00485A5E" w:rsidRPr="00905499">
        <w:rPr>
          <w:rFonts w:ascii="Times New Roman" w:hAnsi="Times New Roman" w:cs="Times New Roman"/>
          <w:i/>
          <w:lang w:val="en-US"/>
        </w:rPr>
        <w:t>number of university campuses in proximity</w:t>
      </w:r>
      <w:r w:rsidR="00485A5E" w:rsidRPr="00905499">
        <w:rPr>
          <w:rFonts w:ascii="Times New Roman" w:hAnsi="Times New Roman" w:cs="Times New Roman"/>
          <w:lang w:val="en-US"/>
        </w:rPr>
        <w:t xml:space="preserve"> for predicting expectations of a university level of education and university entry. For predicting enrolment in an elite university we calculated distance to the </w:t>
      </w:r>
      <w:r w:rsidR="00485A5E" w:rsidRPr="00905499">
        <w:rPr>
          <w:rFonts w:ascii="Times New Roman" w:hAnsi="Times New Roman" w:cs="Times New Roman"/>
          <w:i/>
          <w:lang w:val="en-US"/>
        </w:rPr>
        <w:t xml:space="preserve">nearest </w:t>
      </w:r>
      <w:r w:rsidR="00485A5E" w:rsidRPr="00905499">
        <w:rPr>
          <w:rFonts w:ascii="Times New Roman" w:hAnsi="Times New Roman" w:cs="Times New Roman"/>
          <w:i/>
          <w:u w:val="single"/>
          <w:lang w:val="en-US"/>
        </w:rPr>
        <w:t>elite</w:t>
      </w:r>
      <w:r w:rsidR="00485A5E" w:rsidRPr="00905499">
        <w:rPr>
          <w:rFonts w:ascii="Times New Roman" w:hAnsi="Times New Roman" w:cs="Times New Roman"/>
          <w:i/>
          <w:lang w:val="en-US"/>
        </w:rPr>
        <w:t xml:space="preserve"> university</w:t>
      </w:r>
      <w:r w:rsidR="00485A5E" w:rsidRPr="00905499">
        <w:rPr>
          <w:rFonts w:ascii="Times New Roman" w:hAnsi="Times New Roman" w:cs="Times New Roman"/>
          <w:lang w:val="en-US"/>
        </w:rPr>
        <w:t xml:space="preserve"> campus and </w:t>
      </w:r>
      <w:r w:rsidR="009874A9" w:rsidRPr="00905499">
        <w:rPr>
          <w:rFonts w:ascii="Times New Roman" w:hAnsi="Times New Roman" w:cs="Times New Roman"/>
          <w:i/>
          <w:lang w:val="en-US"/>
        </w:rPr>
        <w:t xml:space="preserve">number of </w:t>
      </w:r>
      <w:r w:rsidR="009874A9" w:rsidRPr="00905499">
        <w:rPr>
          <w:rFonts w:ascii="Times New Roman" w:hAnsi="Times New Roman" w:cs="Times New Roman"/>
          <w:i/>
          <w:u w:val="single"/>
          <w:lang w:val="en-US"/>
        </w:rPr>
        <w:t>elite</w:t>
      </w:r>
      <w:r w:rsidR="009874A9" w:rsidRPr="00905499">
        <w:rPr>
          <w:rFonts w:ascii="Times New Roman" w:hAnsi="Times New Roman" w:cs="Times New Roman"/>
          <w:i/>
          <w:lang w:val="en-US"/>
        </w:rPr>
        <w:t xml:space="preserve"> university campuses</w:t>
      </w:r>
      <w:r w:rsidR="009874A9" w:rsidRPr="00905499">
        <w:rPr>
          <w:rFonts w:ascii="Times New Roman" w:hAnsi="Times New Roman" w:cs="Times New Roman"/>
          <w:lang w:val="en-US"/>
        </w:rPr>
        <w:t xml:space="preserve"> in proximity. All GIS-calculations were produced using</w:t>
      </w:r>
      <w:r w:rsidR="00D066CA" w:rsidRPr="00905499">
        <w:rPr>
          <w:rFonts w:ascii="Times New Roman" w:hAnsi="Times New Roman" w:cs="Times New Roman"/>
          <w:lang w:val="en-US"/>
        </w:rPr>
        <w:t xml:space="preserve"> </w:t>
      </w:r>
      <w:r w:rsidR="00D8474F" w:rsidRPr="00905499">
        <w:rPr>
          <w:rFonts w:ascii="Times New Roman" w:hAnsi="Times New Roman" w:cs="Times New Roman"/>
          <w:lang w:val="en-US"/>
        </w:rPr>
        <w:t xml:space="preserve">ArcGIS </w:t>
      </w:r>
      <w:r w:rsidR="009874A9" w:rsidRPr="00905499">
        <w:rPr>
          <w:rFonts w:ascii="Times New Roman" w:hAnsi="Times New Roman" w:cs="Times New Roman"/>
          <w:lang w:val="en-US"/>
        </w:rPr>
        <w:t>v.10.</w:t>
      </w:r>
    </w:p>
    <w:p w14:paraId="4D46C4A5" w14:textId="3E4BE97E" w:rsidR="00906BEE" w:rsidRPr="00905499" w:rsidRDefault="009874A9">
      <w:pPr>
        <w:spacing w:line="360" w:lineRule="auto"/>
        <w:ind w:firstLine="720"/>
        <w:jc w:val="both"/>
        <w:rPr>
          <w:rFonts w:ascii="Times New Roman" w:hAnsi="Times New Roman" w:cs="Times New Roman"/>
          <w:lang w:val="en-US"/>
        </w:rPr>
      </w:pPr>
      <w:r w:rsidRPr="00905499">
        <w:rPr>
          <w:rFonts w:ascii="Times New Roman" w:hAnsi="Times New Roman" w:cs="Times New Roman"/>
          <w:lang w:val="en-US"/>
        </w:rPr>
        <w:t xml:space="preserve">Proximity was defined based on the average commute distance of Australians (over 60% of Australians have a commute distance of 20km or less; Australia Bureau of Statistics [ABS], 2014 </w:t>
      </w:r>
      <w:r w:rsidR="00645D3D" w:rsidRPr="00905499">
        <w:rPr>
          <w:rFonts w:ascii="Times New Roman" w:hAnsi="Times New Roman" w:cs="Times New Roman"/>
          <w:lang w:val="en-US"/>
        </w:rPr>
        <w:t>Catalog</w:t>
      </w:r>
      <w:r w:rsidRPr="00905499">
        <w:rPr>
          <w:rFonts w:ascii="Times New Roman" w:hAnsi="Times New Roman" w:cs="Times New Roman"/>
          <w:lang w:val="en-US"/>
        </w:rPr>
        <w:t xml:space="preserve"> no. 4102). Research has tended to use distance to the nearest campus to define distance effects. Turley (2009), however, notes that there may</w:t>
      </w:r>
      <w:r w:rsidR="00695692" w:rsidRPr="00905499">
        <w:rPr>
          <w:rFonts w:ascii="Times New Roman" w:hAnsi="Times New Roman" w:cs="Times New Roman"/>
          <w:lang w:val="en-US"/>
        </w:rPr>
        <w:t xml:space="preserve"> </w:t>
      </w:r>
      <w:r w:rsidRPr="00905499">
        <w:rPr>
          <w:rFonts w:ascii="Times New Roman" w:hAnsi="Times New Roman" w:cs="Times New Roman"/>
          <w:lang w:val="en-US"/>
        </w:rPr>
        <w:t>be qualitative advantages in terms of increased options and resources for those that have more than one university campus in proximity. For this reason we also focus on number of universities in proximity</w:t>
      </w:r>
      <w:r w:rsidR="00695692" w:rsidRPr="00905499">
        <w:rPr>
          <w:rFonts w:ascii="Times New Roman" w:hAnsi="Times New Roman" w:cs="Times New Roman"/>
          <w:lang w:val="en-US"/>
        </w:rPr>
        <w:t>,</w:t>
      </w:r>
      <w:r w:rsidRPr="00905499">
        <w:rPr>
          <w:rFonts w:ascii="Times New Roman" w:hAnsi="Times New Roman" w:cs="Times New Roman"/>
          <w:lang w:val="en-US"/>
        </w:rPr>
        <w:t xml:space="preserve"> rather than the more typical distance to nearest university campus. Results based on these distance measures are presented in supplementary material. As noted below results are generally similar regardless of the distance measure used.</w:t>
      </w:r>
    </w:p>
    <w:p w14:paraId="2C617760" w14:textId="3BD5C8BF" w:rsidR="0010165D" w:rsidRPr="00905499" w:rsidRDefault="00581C47" w:rsidP="00E66C66">
      <w:pPr>
        <w:spacing w:line="360" w:lineRule="auto"/>
        <w:jc w:val="both"/>
        <w:rPr>
          <w:rFonts w:ascii="Times New Roman" w:hAnsi="Times New Roman" w:cs="Times New Roman"/>
          <w:lang w:val="en-US"/>
        </w:rPr>
      </w:pPr>
      <w:r w:rsidRPr="00905499">
        <w:rPr>
          <w:rFonts w:ascii="Times New Roman" w:hAnsi="Times New Roman" w:cs="Times New Roman"/>
          <w:b/>
          <w:lang w:val="en-US"/>
        </w:rPr>
        <w:t>Covariates</w:t>
      </w:r>
      <w:r w:rsidRPr="00905499">
        <w:rPr>
          <w:rFonts w:ascii="Times New Roman" w:hAnsi="Times New Roman" w:cs="Times New Roman"/>
          <w:i/>
          <w:lang w:val="en-US"/>
        </w:rPr>
        <w:t xml:space="preserve">. </w:t>
      </w:r>
      <w:r w:rsidRPr="00905499">
        <w:rPr>
          <w:rFonts w:ascii="Times New Roman" w:hAnsi="Times New Roman" w:cs="Times New Roman"/>
          <w:lang w:val="en-US"/>
        </w:rPr>
        <w:t xml:space="preserve">Several covariates were </w:t>
      </w:r>
      <w:r w:rsidR="00B97789" w:rsidRPr="00905499">
        <w:rPr>
          <w:rFonts w:ascii="Times New Roman" w:hAnsi="Times New Roman" w:cs="Times New Roman"/>
          <w:lang w:val="en-US"/>
        </w:rPr>
        <w:t>included in the analysis including state of residence, gender, Indigenous status, birth cohort, and science, reading, and mathematics standardized achievement scores from the PISA database</w:t>
      </w:r>
      <w:r w:rsidR="006C05F2" w:rsidRPr="00905499">
        <w:rPr>
          <w:rFonts w:ascii="Times New Roman" w:hAnsi="Times New Roman" w:cs="Times New Roman"/>
          <w:lang w:val="en-US"/>
        </w:rPr>
        <w:t xml:space="preserve"> </w:t>
      </w:r>
      <w:r w:rsidR="007A48B0" w:rsidRPr="00905499">
        <w:rPr>
          <w:rFonts w:ascii="Times New Roman" w:hAnsi="Times New Roman" w:cs="Times New Roman"/>
          <w:lang w:val="en-US"/>
        </w:rPr>
        <w:t>(</w:t>
      </w:r>
      <w:r w:rsidR="006C05F2" w:rsidRPr="00905499">
        <w:rPr>
          <w:rFonts w:ascii="Times New Roman" w:hAnsi="Times New Roman" w:cs="Times New Roman"/>
          <w:lang w:val="en-US"/>
        </w:rPr>
        <w:t>see OECD, 2004 for details)</w:t>
      </w:r>
      <w:r w:rsidR="00B97789" w:rsidRPr="00905499">
        <w:rPr>
          <w:rFonts w:ascii="Times New Roman" w:hAnsi="Times New Roman" w:cs="Times New Roman"/>
          <w:lang w:val="en-US"/>
        </w:rPr>
        <w:t xml:space="preserve">. </w:t>
      </w:r>
      <w:r w:rsidR="007A48B0" w:rsidRPr="00905499">
        <w:rPr>
          <w:rFonts w:ascii="Times New Roman" w:hAnsi="Times New Roman" w:cs="Times New Roman"/>
          <w:lang w:val="en-US"/>
        </w:rPr>
        <w:t>T</w:t>
      </w:r>
      <w:r w:rsidR="000F1106" w:rsidRPr="00905499">
        <w:rPr>
          <w:rFonts w:ascii="Times New Roman" w:hAnsi="Times New Roman" w:cs="Times New Roman"/>
          <w:lang w:val="en-US"/>
        </w:rPr>
        <w:t xml:space="preserve">he </w:t>
      </w:r>
      <w:r w:rsidR="00677D61" w:rsidRPr="00905499">
        <w:rPr>
          <w:rFonts w:ascii="Times New Roman" w:hAnsi="Times New Roman" w:cs="Times New Roman"/>
          <w:lang w:val="en-US"/>
        </w:rPr>
        <w:t xml:space="preserve">ABS </w:t>
      </w:r>
      <w:r w:rsidR="000F1106" w:rsidRPr="00905499">
        <w:rPr>
          <w:rFonts w:ascii="Times New Roman" w:hAnsi="Times New Roman" w:cs="Times New Roman"/>
          <w:lang w:val="en-US"/>
        </w:rPr>
        <w:t>index of educational and occupational level</w:t>
      </w:r>
      <w:r w:rsidR="00C81B39" w:rsidRPr="00905499">
        <w:rPr>
          <w:rFonts w:ascii="Times New Roman" w:hAnsi="Times New Roman" w:cs="Times New Roman"/>
          <w:lang w:val="en-US"/>
        </w:rPr>
        <w:t xml:space="preserve"> (IEO)</w:t>
      </w:r>
      <w:r w:rsidR="000F1106" w:rsidRPr="00905499">
        <w:rPr>
          <w:rFonts w:ascii="Times New Roman" w:hAnsi="Times New Roman" w:cs="Times New Roman"/>
          <w:lang w:val="en-US"/>
        </w:rPr>
        <w:t xml:space="preserve"> of the participants post-code</w:t>
      </w:r>
      <w:r w:rsidR="007A48B0" w:rsidRPr="00905499">
        <w:rPr>
          <w:rFonts w:ascii="Times New Roman" w:hAnsi="Times New Roman" w:cs="Times New Roman"/>
          <w:lang w:val="en-US"/>
        </w:rPr>
        <w:t xml:space="preserve"> was also included </w:t>
      </w:r>
    </w:p>
    <w:p w14:paraId="443AE4F7" w14:textId="0C90AE8D" w:rsidR="00581C47" w:rsidRPr="00905499" w:rsidRDefault="000F1106" w:rsidP="0010165D">
      <w:pPr>
        <w:jc w:val="both"/>
        <w:rPr>
          <w:rFonts w:ascii="Times New Roman" w:hAnsi="Times New Roman" w:cs="Times New Roman"/>
          <w:lang w:val="en-US"/>
        </w:rPr>
      </w:pPr>
      <w:r w:rsidRPr="00905499">
        <w:rPr>
          <w:rFonts w:ascii="Times New Roman" w:hAnsi="Times New Roman" w:cs="Times New Roman"/>
          <w:lang w:val="en-US"/>
        </w:rPr>
        <w:t>(</w:t>
      </w:r>
      <w:hyperlink r:id="rId15" w:history="1">
        <w:r w:rsidRPr="00905499">
          <w:rPr>
            <w:rStyle w:val="Hyperlink"/>
            <w:rFonts w:ascii="Times New Roman" w:hAnsi="Times New Roman" w:cs="Times New Roman"/>
            <w:lang w:val="en-US"/>
          </w:rPr>
          <w:t>http://www.abs.gov.au/ausstats/abs@.nsf/Lookup/2033.0.55.001main+features100072011</w:t>
        </w:r>
      </w:hyperlink>
      <w:r w:rsidRPr="00905499">
        <w:rPr>
          <w:rFonts w:ascii="Times New Roman" w:hAnsi="Times New Roman" w:cs="Times New Roman"/>
          <w:lang w:val="en-US"/>
        </w:rPr>
        <w:t xml:space="preserve">). </w:t>
      </w:r>
    </w:p>
    <w:p w14:paraId="4B671A90" w14:textId="77777777" w:rsidR="007A48B0" w:rsidRPr="00905499" w:rsidRDefault="007A48B0" w:rsidP="008B74D0">
      <w:pPr>
        <w:spacing w:line="360" w:lineRule="auto"/>
        <w:jc w:val="both"/>
        <w:rPr>
          <w:rFonts w:ascii="Times New Roman" w:hAnsi="Times New Roman" w:cs="Times New Roman"/>
          <w:b/>
          <w:lang w:val="en-US"/>
        </w:rPr>
      </w:pPr>
    </w:p>
    <w:p w14:paraId="0A9DD1A0" w14:textId="33A25D5D" w:rsidR="00B97789" w:rsidRPr="00905499" w:rsidRDefault="00B97789" w:rsidP="008B74D0">
      <w:pPr>
        <w:spacing w:line="360" w:lineRule="auto"/>
        <w:jc w:val="both"/>
        <w:rPr>
          <w:rFonts w:ascii="Times New Roman" w:hAnsi="Times New Roman" w:cs="Times New Roman"/>
          <w:b/>
          <w:lang w:val="en-US"/>
        </w:rPr>
      </w:pPr>
      <w:r w:rsidRPr="00905499">
        <w:rPr>
          <w:rFonts w:ascii="Times New Roman" w:hAnsi="Times New Roman" w:cs="Times New Roman"/>
          <w:b/>
          <w:lang w:val="en-US"/>
        </w:rPr>
        <w:t>Analysis</w:t>
      </w:r>
    </w:p>
    <w:p w14:paraId="6F0A3BA0" w14:textId="122DFAE4" w:rsidR="00BC0D35" w:rsidRPr="00905499" w:rsidRDefault="00BC0D35" w:rsidP="00270E95">
      <w:pPr>
        <w:spacing w:line="360" w:lineRule="auto"/>
        <w:ind w:firstLine="720"/>
        <w:jc w:val="both"/>
        <w:rPr>
          <w:rFonts w:ascii="Times New Roman" w:hAnsi="Times New Roman" w:cs="Times New Roman"/>
          <w:lang w:val="en-US"/>
        </w:rPr>
      </w:pPr>
      <w:r w:rsidRPr="00905499">
        <w:rPr>
          <w:rFonts w:ascii="Times New Roman" w:hAnsi="Times New Roman" w:cs="Times New Roman"/>
          <w:lang w:val="en-US"/>
        </w:rPr>
        <w:t xml:space="preserve">All models were analyzed using </w:t>
      </w:r>
      <w:r w:rsidR="004E4F58" w:rsidRPr="00905499">
        <w:rPr>
          <w:rFonts w:ascii="Times New Roman" w:hAnsi="Times New Roman" w:cs="Times New Roman"/>
          <w:lang w:val="en-US"/>
        </w:rPr>
        <w:t>logistic regression</w:t>
      </w:r>
      <w:r w:rsidRPr="00905499">
        <w:rPr>
          <w:rFonts w:ascii="Times New Roman" w:hAnsi="Times New Roman" w:cs="Times New Roman"/>
          <w:lang w:val="en-US"/>
        </w:rPr>
        <w:t xml:space="preserve">. The basic model </w:t>
      </w:r>
      <w:r w:rsidR="00267DF5" w:rsidRPr="00905499">
        <w:rPr>
          <w:rFonts w:ascii="Times New Roman" w:hAnsi="Times New Roman" w:cs="Times New Roman"/>
          <w:lang w:val="en-US"/>
        </w:rPr>
        <w:t xml:space="preserve">(M1) </w:t>
      </w:r>
      <w:r w:rsidRPr="00905499">
        <w:rPr>
          <w:rFonts w:ascii="Times New Roman" w:hAnsi="Times New Roman" w:cs="Times New Roman"/>
          <w:lang w:val="en-US"/>
        </w:rPr>
        <w:t xml:space="preserve">was </w:t>
      </w:r>
      <w:r w:rsidR="009177B5" w:rsidRPr="00905499">
        <w:rPr>
          <w:rFonts w:ascii="Times New Roman" w:hAnsi="Times New Roman" w:cs="Times New Roman"/>
          <w:lang w:val="en-US"/>
        </w:rPr>
        <w:t xml:space="preserve">constructed </w:t>
      </w:r>
      <w:r w:rsidRPr="00905499">
        <w:rPr>
          <w:rFonts w:ascii="Times New Roman" w:hAnsi="Times New Roman" w:cs="Times New Roman"/>
          <w:lang w:val="en-US"/>
        </w:rPr>
        <w:t>as follows:</w:t>
      </w:r>
    </w:p>
    <w:p w14:paraId="52AA19B1" w14:textId="08FEA8F7" w:rsidR="00BC0D35" w:rsidRPr="00905499" w:rsidRDefault="009177B5" w:rsidP="008B74D0">
      <w:pPr>
        <w:spacing w:line="360" w:lineRule="auto"/>
        <w:jc w:val="both"/>
        <w:rPr>
          <w:rFonts w:ascii="Times New Roman" w:hAnsi="Times New Roman" w:cs="Times New Roman"/>
          <w:lang w:val="en-US"/>
        </w:rPr>
      </w:pPr>
      <m:oMathPara>
        <m:oMath>
          <m:r>
            <w:rPr>
              <w:rFonts w:ascii="Cambria Math" w:hAnsi="Cambria Math" w:cs="Times New Roman"/>
              <w:lang w:val="en-US"/>
            </w:rPr>
            <m:t>PR(</m:t>
          </m:r>
          <m:sSub>
            <m:sSubPr>
              <m:ctrlPr>
                <w:rPr>
                  <w:rFonts w:ascii="Cambria Math" w:hAnsi="Cambria Math" w:cs="Times New Roman"/>
                  <w:i/>
                  <w:lang w:val="en-US"/>
                </w:rPr>
              </m:ctrlPr>
            </m:sSubPr>
            <m:e>
              <m:r>
                <w:rPr>
                  <w:rFonts w:ascii="Cambria Math" w:hAnsi="Cambria Math" w:cs="Times New Roman"/>
                  <w:lang w:val="en-US"/>
                </w:rPr>
                <m:t>U</m:t>
              </m:r>
            </m:e>
            <m:sub>
              <m:r>
                <w:rPr>
                  <w:rFonts w:ascii="Cambria Math" w:hAnsi="Cambria Math" w:cs="Times New Roman"/>
                  <w:lang w:val="en-US"/>
                </w:rPr>
                <m:t>i</m:t>
              </m:r>
            </m:sub>
          </m:sSub>
          <m:r>
            <w:rPr>
              <w:rFonts w:ascii="Cambria Math" w:hAnsi="Cambria Math" w:cs="Times New Roman"/>
              <w:lang w:val="en-US"/>
            </w:rPr>
            <m:t xml:space="preserve">=1)= </m:t>
          </m:r>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e</m:t>
                  </m:r>
                </m:e>
                <m:sup>
                  <m:r>
                    <w:rPr>
                      <w:rFonts w:ascii="Cambria Math" w:hAnsi="Cambria Math" w:cs="Times New Roman"/>
                      <w:lang w:val="en-US"/>
                    </w:rPr>
                    <m:t xml:space="preserve">α+ </m:t>
                  </m:r>
                  <m:sSub>
                    <m:sSubPr>
                      <m:ctrlPr>
                        <w:rPr>
                          <w:rFonts w:ascii="Cambria Math" w:hAnsi="Cambria Math" w:cs="Times New Roman"/>
                          <w:b/>
                          <w:lang w:val="en-US"/>
                        </w:rPr>
                      </m:ctrlPr>
                    </m:sSubPr>
                    <m:e>
                      <m:r>
                        <m:rPr>
                          <m:sty m:val="b"/>
                        </m:rPr>
                        <w:rPr>
                          <w:rFonts w:ascii="Cambria Math" w:hAnsi="Cambria Math" w:cs="Times New Roman"/>
                          <w:lang w:val="en-US"/>
                        </w:rPr>
                        <m:t>Χ</m:t>
                      </m:r>
                    </m:e>
                    <m:sub>
                      <m:r>
                        <m:rPr>
                          <m:sty m:val="b"/>
                        </m:rPr>
                        <w:rPr>
                          <w:rFonts w:ascii="Cambria Math" w:hAnsi="Cambria Math" w:cs="Times New Roman"/>
                          <w:lang w:val="en-US"/>
                        </w:rPr>
                        <m:t>i</m:t>
                      </m:r>
                    </m:sub>
                  </m:sSub>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1</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2</m:t>
                      </m:r>
                    </m:sub>
                  </m:sSub>
                  <m:r>
                    <w:rPr>
                      <w:rFonts w:ascii="Cambria Math" w:hAnsi="Cambria Math" w:cs="Times New Roman"/>
                      <w:lang w:val="en-US"/>
                    </w:rPr>
                    <m:t>distanc</m:t>
                  </m:r>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3</m:t>
                      </m:r>
                    </m:sub>
                  </m:sSub>
                  <m:r>
                    <w:rPr>
                      <w:rFonts w:ascii="Cambria Math" w:hAnsi="Cambria Math" w:cs="Times New Roman"/>
                      <w:lang w:val="en-US"/>
                    </w:rPr>
                    <m:t>se</m:t>
                  </m:r>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i</m:t>
                      </m:r>
                    </m:sub>
                  </m:sSub>
                </m:sup>
              </m:sSup>
            </m:num>
            <m:den>
              <m:r>
                <w:rPr>
                  <w:rFonts w:ascii="Cambria Math" w:hAnsi="Cambria Math" w:cs="Times New Roman"/>
                  <w:lang w:val="en-US"/>
                </w:rPr>
                <m:t xml:space="preserve">1+ </m:t>
              </m:r>
              <m:sSup>
                <m:sSupPr>
                  <m:ctrlPr>
                    <w:rPr>
                      <w:rFonts w:ascii="Cambria Math" w:hAnsi="Cambria Math" w:cs="Times New Roman"/>
                      <w:i/>
                      <w:lang w:val="en-US"/>
                    </w:rPr>
                  </m:ctrlPr>
                </m:sSupPr>
                <m:e>
                  <m:r>
                    <w:rPr>
                      <w:rFonts w:ascii="Cambria Math" w:hAnsi="Cambria Math" w:cs="Times New Roman"/>
                      <w:lang w:val="en-US"/>
                    </w:rPr>
                    <m:t>e</m:t>
                  </m:r>
                </m:e>
                <m:sup>
                  <m:r>
                    <w:rPr>
                      <w:rFonts w:ascii="Cambria Math" w:hAnsi="Cambria Math" w:cs="Times New Roman"/>
                      <w:lang w:val="en-US"/>
                    </w:rPr>
                    <m:t xml:space="preserve">α+ </m:t>
                  </m:r>
                  <m:sSub>
                    <m:sSubPr>
                      <m:ctrlPr>
                        <w:rPr>
                          <w:rFonts w:ascii="Cambria Math" w:hAnsi="Cambria Math" w:cs="Times New Roman"/>
                          <w:b/>
                          <w:lang w:val="en-US"/>
                        </w:rPr>
                      </m:ctrlPr>
                    </m:sSubPr>
                    <m:e>
                      <m:r>
                        <m:rPr>
                          <m:sty m:val="b"/>
                        </m:rPr>
                        <w:rPr>
                          <w:rFonts w:ascii="Cambria Math" w:hAnsi="Cambria Math" w:cs="Times New Roman"/>
                          <w:lang w:val="en-US"/>
                        </w:rPr>
                        <m:t>Χ</m:t>
                      </m:r>
                    </m:e>
                    <m:sub>
                      <m:r>
                        <m:rPr>
                          <m:sty m:val="b"/>
                        </m:rPr>
                        <w:rPr>
                          <w:rFonts w:ascii="Cambria Math" w:hAnsi="Cambria Math" w:cs="Times New Roman"/>
                          <w:lang w:val="en-US"/>
                        </w:rPr>
                        <m:t>i</m:t>
                      </m:r>
                    </m:sub>
                  </m:sSub>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1</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2</m:t>
                      </m:r>
                    </m:sub>
                  </m:sSub>
                  <m:r>
                    <w:rPr>
                      <w:rFonts w:ascii="Cambria Math" w:hAnsi="Cambria Math" w:cs="Times New Roman"/>
                      <w:lang w:val="en-US"/>
                    </w:rPr>
                    <m:t>distanc</m:t>
                  </m:r>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3</m:t>
                      </m:r>
                    </m:sub>
                  </m:sSub>
                  <m:r>
                    <w:rPr>
                      <w:rFonts w:ascii="Cambria Math" w:hAnsi="Cambria Math" w:cs="Times New Roman"/>
                      <w:lang w:val="en-US"/>
                    </w:rPr>
                    <m:t>se</m:t>
                  </m:r>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i</m:t>
                      </m:r>
                    </m:sub>
                  </m:sSub>
                </m:sup>
              </m:sSup>
            </m:den>
          </m:f>
        </m:oMath>
      </m:oMathPara>
    </w:p>
    <w:p w14:paraId="145AC838" w14:textId="31617E97" w:rsidR="00267DF5" w:rsidRPr="00905499" w:rsidRDefault="00267DF5" w:rsidP="008B74D0">
      <w:pPr>
        <w:spacing w:line="360" w:lineRule="auto"/>
        <w:jc w:val="both"/>
        <w:rPr>
          <w:rFonts w:ascii="Times New Roman" w:hAnsi="Times New Roman" w:cs="Times New Roman"/>
          <w:lang w:val="en-US"/>
        </w:rPr>
      </w:pPr>
      <w:r w:rsidRPr="00905499">
        <w:rPr>
          <w:rFonts w:ascii="Times New Roman" w:hAnsi="Times New Roman" w:cs="Times New Roman"/>
          <w:lang w:val="en-US"/>
        </w:rPr>
        <w:t>Where</w:t>
      </w:r>
      <w:r w:rsidR="009177B5" w:rsidRPr="00905499">
        <w:rPr>
          <w:rFonts w:ascii="Times New Roman" w:hAnsi="Times New Roman"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U</m:t>
            </m:r>
          </m:e>
          <m:sub>
            <m:r>
              <w:rPr>
                <w:rFonts w:ascii="Cambria Math" w:hAnsi="Cambria Math" w:cs="Times New Roman"/>
                <w:lang w:val="en-US"/>
              </w:rPr>
              <m:t>i</m:t>
            </m:r>
          </m:sub>
        </m:sSub>
      </m:oMath>
      <w:r w:rsidR="009177B5" w:rsidRPr="00905499">
        <w:rPr>
          <w:rFonts w:ascii="Times New Roman" w:hAnsi="Times New Roman" w:cs="Times New Roman"/>
          <w:lang w:val="en-US"/>
        </w:rPr>
        <w:t xml:space="preserve"> is individual</w:t>
      </w:r>
      <w:r w:rsidR="005323CD" w:rsidRPr="00905499">
        <w:rPr>
          <w:rFonts w:ascii="Times New Roman" w:hAnsi="Times New Roman" w:cs="Times New Roman"/>
          <w:lang w:val="en-US"/>
        </w:rPr>
        <w:t xml:space="preserve"> </w:t>
      </w:r>
      <w:r w:rsidR="005323CD" w:rsidRPr="00905499">
        <w:rPr>
          <w:rFonts w:ascii="Times New Roman" w:hAnsi="Times New Roman" w:cs="Times New Roman"/>
          <w:i/>
          <w:lang w:val="en-US"/>
        </w:rPr>
        <w:t>i</w:t>
      </w:r>
      <w:r w:rsidR="005323CD" w:rsidRPr="00905499">
        <w:rPr>
          <w:rFonts w:ascii="Times New Roman" w:hAnsi="Times New Roman" w:cs="Times New Roman"/>
          <w:lang w:val="en-US"/>
        </w:rPr>
        <w:t>’s</w:t>
      </w:r>
      <w:r w:rsidR="00367DE9" w:rsidRPr="00905499">
        <w:rPr>
          <w:rFonts w:ascii="Times New Roman" w:hAnsi="Times New Roman" w:cs="Times New Roman"/>
          <w:lang w:val="en-US"/>
        </w:rPr>
        <w:t xml:space="preserve"> probability of a “success”</w:t>
      </w:r>
      <w:r w:rsidR="009177B5" w:rsidRPr="00905499">
        <w:rPr>
          <w:rFonts w:ascii="Times New Roman" w:hAnsi="Times New Roman" w:cs="Times New Roman"/>
          <w:lang w:val="en-US"/>
        </w:rPr>
        <w:t xml:space="preserve"> on a given educational outcome (i.e., expect to </w:t>
      </w:r>
      <w:r w:rsidR="00F179F3" w:rsidRPr="00905499">
        <w:rPr>
          <w:rFonts w:ascii="Times New Roman" w:hAnsi="Times New Roman" w:cs="Times New Roman"/>
          <w:lang w:val="en-US"/>
        </w:rPr>
        <w:t>attend university, attend</w:t>
      </w:r>
      <w:r w:rsidR="005323CD" w:rsidRPr="00905499">
        <w:rPr>
          <w:rFonts w:ascii="Times New Roman" w:hAnsi="Times New Roman" w:cs="Times New Roman"/>
          <w:lang w:val="en-US"/>
        </w:rPr>
        <w:t>ed</w:t>
      </w:r>
      <w:r w:rsidR="00F179F3" w:rsidRPr="00905499">
        <w:rPr>
          <w:rFonts w:ascii="Times New Roman" w:hAnsi="Times New Roman" w:cs="Times New Roman"/>
          <w:lang w:val="en-US"/>
        </w:rPr>
        <w:t xml:space="preserve"> university, </w:t>
      </w:r>
      <w:r w:rsidR="009368EE" w:rsidRPr="00905499">
        <w:rPr>
          <w:rFonts w:ascii="Times New Roman" w:hAnsi="Times New Roman" w:cs="Times New Roman"/>
          <w:lang w:val="en-US"/>
        </w:rPr>
        <w:t>attended</w:t>
      </w:r>
      <w:r w:rsidR="00F179F3" w:rsidRPr="00905499">
        <w:rPr>
          <w:rFonts w:ascii="Times New Roman" w:hAnsi="Times New Roman" w:cs="Times New Roman"/>
          <w:lang w:val="en-US"/>
        </w:rPr>
        <w:t xml:space="preserve"> an elite university).</w:t>
      </w:r>
      <w:r w:rsidRPr="00905499">
        <w:rPr>
          <w:rFonts w:ascii="Times New Roman" w:hAnsi="Times New Roman" w:cs="Times New Roman"/>
          <w:lang w:val="en-US"/>
        </w:rPr>
        <w:t xml:space="preserve"> </w:t>
      </w:r>
      <m:oMath>
        <m:sSub>
          <m:sSubPr>
            <m:ctrlPr>
              <w:rPr>
                <w:rFonts w:ascii="Cambria Math" w:hAnsi="Cambria Math" w:cs="Times New Roman"/>
                <w:b/>
                <w:lang w:val="en-US"/>
              </w:rPr>
            </m:ctrlPr>
          </m:sSubPr>
          <m:e>
            <m:r>
              <m:rPr>
                <m:sty m:val="b"/>
              </m:rPr>
              <w:rPr>
                <w:rFonts w:ascii="Cambria Math" w:hAnsi="Cambria Math" w:cs="Times New Roman"/>
                <w:lang w:val="en-US"/>
              </w:rPr>
              <m:t>Χ</m:t>
            </m:r>
          </m:e>
          <m:sub>
            <m:r>
              <m:rPr>
                <m:sty m:val="b"/>
              </m:rPr>
              <w:rPr>
                <w:rFonts w:ascii="Cambria Math" w:hAnsi="Cambria Math" w:cs="Times New Roman"/>
                <w:lang w:val="en-US"/>
              </w:rPr>
              <m:t>i</m:t>
            </m:r>
          </m:sub>
        </m:sSub>
      </m:oMath>
      <w:r w:rsidRPr="00905499">
        <w:rPr>
          <w:rFonts w:ascii="Times New Roman" w:hAnsi="Times New Roman" w:cs="Times New Roman"/>
          <w:lang w:val="en-US"/>
        </w:rPr>
        <w:t xml:space="preserve"> </w:t>
      </w:r>
      <w:proofErr w:type="gramStart"/>
      <w:r w:rsidRPr="00905499">
        <w:rPr>
          <w:rFonts w:ascii="Times New Roman" w:hAnsi="Times New Roman" w:cs="Times New Roman"/>
          <w:lang w:val="en-US"/>
        </w:rPr>
        <w:t>is</w:t>
      </w:r>
      <w:proofErr w:type="gramEnd"/>
      <w:r w:rsidRPr="00905499">
        <w:rPr>
          <w:rFonts w:ascii="Times New Roman" w:hAnsi="Times New Roman" w:cs="Times New Roman"/>
          <w:lang w:val="en-US"/>
        </w:rPr>
        <w:t xml:space="preserve"> a vector of demographic covariates such as </w:t>
      </w:r>
      <w:r w:rsidR="00F179F3" w:rsidRPr="00905499">
        <w:rPr>
          <w:rFonts w:ascii="Times New Roman" w:hAnsi="Times New Roman" w:cs="Times New Roman"/>
          <w:lang w:val="en-US"/>
        </w:rPr>
        <w:t>gender,</w:t>
      </w:r>
      <w:r w:rsidRPr="00905499">
        <w:rPr>
          <w:rFonts w:ascii="Times New Roman" w:hAnsi="Times New Roman" w:cs="Times New Roman"/>
          <w:lang w:val="en-US"/>
        </w:rPr>
        <w:t xml:space="preserve"> </w:t>
      </w:r>
      <w:r w:rsidRPr="00905499">
        <w:rPr>
          <w:rFonts w:ascii="Times New Roman" w:hAnsi="Times New Roman" w:cs="Times New Roman"/>
          <w:i/>
          <w:lang w:val="en-US"/>
        </w:rPr>
        <w:t>distance</w:t>
      </w:r>
      <w:r w:rsidRPr="00905499">
        <w:rPr>
          <w:rFonts w:ascii="Times New Roman" w:hAnsi="Times New Roman" w:cs="Times New Roman"/>
          <w:lang w:val="en-US"/>
        </w:rPr>
        <w:t xml:space="preserve"> is a distance </w:t>
      </w:r>
      <w:r w:rsidR="00906BEE" w:rsidRPr="00905499">
        <w:rPr>
          <w:rFonts w:ascii="Times New Roman" w:hAnsi="Times New Roman" w:cs="Times New Roman"/>
          <w:lang w:val="en-US"/>
        </w:rPr>
        <w:t>measure</w:t>
      </w:r>
      <w:r w:rsidR="00DF5F16" w:rsidRPr="00905499">
        <w:rPr>
          <w:rFonts w:ascii="Times New Roman" w:hAnsi="Times New Roman" w:cs="Times New Roman"/>
          <w:lang w:val="en-US"/>
        </w:rPr>
        <w:t xml:space="preserve"> (proximity in the main article</w:t>
      </w:r>
      <w:r w:rsidR="00816567" w:rsidRPr="00905499">
        <w:rPr>
          <w:rFonts w:ascii="Times New Roman" w:hAnsi="Times New Roman" w:cs="Times New Roman"/>
          <w:lang w:val="en-US"/>
        </w:rPr>
        <w:t xml:space="preserve"> and</w:t>
      </w:r>
      <w:r w:rsidR="00DF5F16" w:rsidRPr="00905499">
        <w:rPr>
          <w:rFonts w:ascii="Times New Roman" w:hAnsi="Times New Roman" w:cs="Times New Roman"/>
          <w:lang w:val="en-US"/>
        </w:rPr>
        <w:t xml:space="preserve"> log distance in supplementary material)</w:t>
      </w:r>
      <w:r w:rsidR="00906BEE" w:rsidRPr="00905499">
        <w:rPr>
          <w:rFonts w:ascii="Times New Roman" w:hAnsi="Times New Roman" w:cs="Times New Roman"/>
          <w:lang w:val="en-US"/>
        </w:rPr>
        <w:t xml:space="preserve">, </w:t>
      </w:r>
      <w:r w:rsidR="005323CD" w:rsidRPr="00905499">
        <w:rPr>
          <w:rFonts w:ascii="Times New Roman" w:hAnsi="Times New Roman" w:cs="Times New Roman"/>
          <w:lang w:val="en-US"/>
        </w:rPr>
        <w:t>and</w:t>
      </w:r>
      <w:r w:rsidRPr="00905499">
        <w:rPr>
          <w:rFonts w:ascii="Times New Roman" w:hAnsi="Times New Roman" w:cs="Times New Roman"/>
          <w:lang w:val="en-US"/>
        </w:rPr>
        <w:t xml:space="preserve"> </w:t>
      </w:r>
      <w:r w:rsidR="005323CD" w:rsidRPr="00905499">
        <w:rPr>
          <w:rFonts w:ascii="Times New Roman" w:hAnsi="Times New Roman" w:cs="Times New Roman"/>
          <w:i/>
          <w:lang w:val="en-US"/>
        </w:rPr>
        <w:t>s</w:t>
      </w:r>
      <w:r w:rsidRPr="00905499">
        <w:rPr>
          <w:rFonts w:ascii="Times New Roman" w:hAnsi="Times New Roman" w:cs="Times New Roman"/>
          <w:i/>
          <w:lang w:val="en-US"/>
        </w:rPr>
        <w:t>es</w:t>
      </w:r>
      <w:r w:rsidRPr="00905499">
        <w:rPr>
          <w:rFonts w:ascii="Times New Roman" w:hAnsi="Times New Roman" w:cs="Times New Roman"/>
          <w:lang w:val="en-US"/>
        </w:rPr>
        <w:t xml:space="preserve"> is </w:t>
      </w:r>
      <w:r w:rsidRPr="00905499">
        <w:rPr>
          <w:rFonts w:ascii="Times New Roman" w:hAnsi="Times New Roman" w:cs="Times New Roman"/>
          <w:lang w:val="en-US"/>
        </w:rPr>
        <w:lastRenderedPageBreak/>
        <w:t xml:space="preserve">an estimate of the influence of children’s socioeconomic status. A second set of models (M2) were similar but included the interaction between distance and </w:t>
      </w:r>
      <w:proofErr w:type="gramStart"/>
      <w:r w:rsidRPr="00905499">
        <w:rPr>
          <w:rFonts w:ascii="Times New Roman" w:hAnsi="Times New Roman" w:cs="Times New Roman"/>
          <w:lang w:val="en-US"/>
        </w:rPr>
        <w:t>ses</w:t>
      </w:r>
      <w:proofErr w:type="gramEnd"/>
      <w:r w:rsidR="00816567" w:rsidRPr="00905499">
        <w:rPr>
          <w:rFonts w:ascii="Times New Roman" w:hAnsi="Times New Roman" w:cs="Times New Roman"/>
          <w:lang w:val="en-US"/>
        </w:rPr>
        <w:t xml:space="preserve">, </w:t>
      </w:r>
      <w:r w:rsidR="00E87FE2" w:rsidRPr="00905499">
        <w:rPr>
          <w:rFonts w:ascii="Times New Roman" w:hAnsi="Times New Roman" w:cs="Times New Roman"/>
          <w:lang w:val="en-US"/>
        </w:rPr>
        <w:t>and between distance and Indigenous status</w:t>
      </w:r>
      <w:r w:rsidRPr="00905499">
        <w:rPr>
          <w:rFonts w:ascii="Times New Roman" w:hAnsi="Times New Roman" w:cs="Times New Roman"/>
          <w:lang w:val="en-US"/>
        </w:rPr>
        <w:t xml:space="preserve">. </w:t>
      </w:r>
      <w:r w:rsidR="00084A27" w:rsidRPr="00905499">
        <w:rPr>
          <w:rFonts w:ascii="Times New Roman" w:hAnsi="Times New Roman" w:cs="Times New Roman"/>
          <w:lang w:val="en-US"/>
        </w:rPr>
        <w:t xml:space="preserve">Full results can be found at the paper website: </w:t>
      </w:r>
      <w:hyperlink r:id="rId16" w:history="1">
        <w:r w:rsidR="00084A27" w:rsidRPr="00905499">
          <w:rPr>
            <w:rStyle w:val="Hyperlink"/>
            <w:lang w:val="en-US"/>
          </w:rPr>
          <w:t>http://blindedforreview.com/distancePaper/</w:t>
        </w:r>
      </w:hyperlink>
    </w:p>
    <w:p w14:paraId="067622C9" w14:textId="3B97604E" w:rsidR="0046529C" w:rsidRPr="00905499" w:rsidRDefault="007865AA" w:rsidP="0037672C">
      <w:pPr>
        <w:spacing w:line="360" w:lineRule="auto"/>
        <w:jc w:val="both"/>
        <w:rPr>
          <w:rFonts w:ascii="Times New Roman" w:hAnsi="Times New Roman" w:cs="Times New Roman"/>
          <w:lang w:val="en-US"/>
        </w:rPr>
      </w:pPr>
      <w:r w:rsidRPr="00905499">
        <w:rPr>
          <w:rFonts w:ascii="Times New Roman" w:hAnsi="Times New Roman" w:cs="Times New Roman"/>
          <w:b/>
          <w:lang w:val="en-US"/>
        </w:rPr>
        <w:t>Sensitivity a</w:t>
      </w:r>
      <w:r w:rsidR="0046529C" w:rsidRPr="00905499">
        <w:rPr>
          <w:rFonts w:ascii="Times New Roman" w:hAnsi="Times New Roman" w:cs="Times New Roman"/>
          <w:b/>
          <w:lang w:val="en-US"/>
        </w:rPr>
        <w:t>nalysis</w:t>
      </w:r>
      <w:r w:rsidR="0046529C" w:rsidRPr="00905499">
        <w:rPr>
          <w:rFonts w:ascii="Times New Roman" w:hAnsi="Times New Roman" w:cs="Times New Roman"/>
          <w:b/>
          <w:i/>
          <w:lang w:val="en-US"/>
        </w:rPr>
        <w:t>.</w:t>
      </w:r>
      <w:r w:rsidR="0046529C" w:rsidRPr="00905499">
        <w:rPr>
          <w:rFonts w:ascii="Times New Roman" w:hAnsi="Times New Roman" w:cs="Times New Roman"/>
          <w:lang w:val="en-US"/>
        </w:rPr>
        <w:t xml:space="preserve"> </w:t>
      </w:r>
      <w:r w:rsidR="00816567" w:rsidRPr="00905499">
        <w:rPr>
          <w:rFonts w:ascii="Times New Roman" w:hAnsi="Times New Roman" w:cs="Times New Roman"/>
          <w:lang w:val="en-US"/>
        </w:rPr>
        <w:t>There</w:t>
      </w:r>
      <w:r w:rsidR="00FD2E65" w:rsidRPr="00905499">
        <w:rPr>
          <w:rFonts w:ascii="Times New Roman" w:hAnsi="Times New Roman" w:cs="Times New Roman"/>
          <w:lang w:val="en-US"/>
        </w:rPr>
        <w:t xml:space="preserve"> are</w:t>
      </w:r>
      <w:r w:rsidR="00816567" w:rsidRPr="00905499">
        <w:rPr>
          <w:rFonts w:ascii="Times New Roman" w:hAnsi="Times New Roman" w:cs="Times New Roman"/>
          <w:lang w:val="en-US"/>
        </w:rPr>
        <w:t xml:space="preserve"> certain</w:t>
      </w:r>
      <w:r w:rsidR="00FD2E65" w:rsidRPr="00905499">
        <w:rPr>
          <w:rFonts w:ascii="Times New Roman" w:hAnsi="Times New Roman" w:cs="Times New Roman"/>
          <w:lang w:val="en-US"/>
        </w:rPr>
        <w:t xml:space="preserve"> limitations </w:t>
      </w:r>
      <w:r w:rsidR="00816567" w:rsidRPr="00905499">
        <w:rPr>
          <w:rFonts w:ascii="Times New Roman" w:hAnsi="Times New Roman" w:cs="Times New Roman"/>
          <w:lang w:val="en-US"/>
        </w:rPr>
        <w:t>with the</w:t>
      </w:r>
      <w:r w:rsidR="00FD2E65" w:rsidRPr="00905499">
        <w:rPr>
          <w:rFonts w:ascii="Times New Roman" w:hAnsi="Times New Roman" w:cs="Times New Roman"/>
          <w:lang w:val="en-US"/>
        </w:rPr>
        <w:t xml:space="preserve"> data</w:t>
      </w:r>
      <w:r w:rsidR="00816567" w:rsidRPr="00905499">
        <w:rPr>
          <w:rFonts w:ascii="Times New Roman" w:hAnsi="Times New Roman" w:cs="Times New Roman"/>
          <w:lang w:val="en-US"/>
        </w:rPr>
        <w:t xml:space="preserve"> available</w:t>
      </w:r>
      <w:r w:rsidR="00FD2E65" w:rsidRPr="00905499">
        <w:rPr>
          <w:rFonts w:ascii="Times New Roman" w:hAnsi="Times New Roman" w:cs="Times New Roman"/>
          <w:lang w:val="en-US"/>
        </w:rPr>
        <w:t xml:space="preserve">. First, the </w:t>
      </w:r>
      <w:r w:rsidR="00816567" w:rsidRPr="00905499">
        <w:rPr>
          <w:rFonts w:ascii="Times New Roman" w:hAnsi="Times New Roman" w:cs="Times New Roman"/>
          <w:lang w:val="en-US"/>
        </w:rPr>
        <w:t>method used to generate the</w:t>
      </w:r>
      <w:r w:rsidR="00FD2E65" w:rsidRPr="00905499">
        <w:rPr>
          <w:rFonts w:ascii="Times New Roman" w:hAnsi="Times New Roman" w:cs="Times New Roman"/>
          <w:lang w:val="en-US"/>
        </w:rPr>
        <w:t xml:space="preserve"> ESCS</w:t>
      </w:r>
      <w:r w:rsidR="00816567" w:rsidRPr="00905499">
        <w:rPr>
          <w:rFonts w:ascii="Times New Roman" w:hAnsi="Times New Roman" w:cs="Times New Roman"/>
          <w:lang w:val="en-US"/>
        </w:rPr>
        <w:t xml:space="preserve"> index (our primary measure of socio-economic status) changed</w:t>
      </w:r>
      <w:r w:rsidR="00FD2E65" w:rsidRPr="00905499">
        <w:rPr>
          <w:rFonts w:ascii="Times New Roman" w:hAnsi="Times New Roman" w:cs="Times New Roman"/>
          <w:lang w:val="en-US"/>
        </w:rPr>
        <w:t xml:space="preserve"> </w:t>
      </w:r>
      <w:r w:rsidR="00816567" w:rsidRPr="00905499">
        <w:rPr>
          <w:rFonts w:ascii="Times New Roman" w:hAnsi="Times New Roman" w:cs="Times New Roman"/>
          <w:lang w:val="en-US"/>
        </w:rPr>
        <w:t xml:space="preserve">slightly </w:t>
      </w:r>
      <w:r w:rsidR="00FD2E65" w:rsidRPr="00905499">
        <w:rPr>
          <w:rFonts w:ascii="Times New Roman" w:hAnsi="Times New Roman" w:cs="Times New Roman"/>
          <w:lang w:val="en-US"/>
        </w:rPr>
        <w:t xml:space="preserve">between 2003 and 2006. </w:t>
      </w:r>
      <w:r w:rsidR="00816567" w:rsidRPr="00905499">
        <w:rPr>
          <w:rFonts w:ascii="Times New Roman" w:hAnsi="Times New Roman" w:cs="Times New Roman"/>
          <w:lang w:val="en-US"/>
        </w:rPr>
        <w:t>However, these minor adjustments</w:t>
      </w:r>
      <w:r w:rsidR="00FD2E65" w:rsidRPr="00905499">
        <w:rPr>
          <w:rFonts w:ascii="Times New Roman" w:hAnsi="Times New Roman" w:cs="Times New Roman"/>
          <w:lang w:val="en-US"/>
        </w:rPr>
        <w:t xml:space="preserve"> </w:t>
      </w:r>
      <w:r w:rsidR="00457BEE" w:rsidRPr="00905499">
        <w:rPr>
          <w:rFonts w:ascii="Times New Roman" w:hAnsi="Times New Roman" w:cs="Times New Roman"/>
          <w:lang w:val="en-US"/>
        </w:rPr>
        <w:t xml:space="preserve">appear to have </w:t>
      </w:r>
      <w:r w:rsidR="00FD2E65" w:rsidRPr="00905499">
        <w:rPr>
          <w:rFonts w:ascii="Times New Roman" w:hAnsi="Times New Roman" w:cs="Times New Roman"/>
          <w:lang w:val="en-US"/>
        </w:rPr>
        <w:t>had relatively limited impact</w:t>
      </w:r>
      <w:r w:rsidR="00816567" w:rsidRPr="00905499">
        <w:rPr>
          <w:rFonts w:ascii="Times New Roman" w:hAnsi="Times New Roman" w:cs="Times New Roman"/>
          <w:lang w:val="en-US"/>
        </w:rPr>
        <w:t xml:space="preserve"> upon the final scale</w:t>
      </w:r>
      <w:r w:rsidR="00FD2E65" w:rsidRPr="00905499">
        <w:rPr>
          <w:rFonts w:ascii="Times New Roman" w:hAnsi="Times New Roman" w:cs="Times New Roman"/>
          <w:lang w:val="en-US"/>
        </w:rPr>
        <w:t xml:space="preserve"> (</w:t>
      </w:r>
      <w:r w:rsidR="008807E1" w:rsidRPr="00905499">
        <w:rPr>
          <w:rFonts w:ascii="Times New Roman" w:hAnsi="Times New Roman" w:cs="Times New Roman"/>
          <w:lang w:val="en-US"/>
        </w:rPr>
        <w:t>Geske &amp; Grinfelds, 2012</w:t>
      </w:r>
      <w:r w:rsidR="00FD2E65" w:rsidRPr="00905499">
        <w:rPr>
          <w:rFonts w:ascii="Times New Roman" w:hAnsi="Times New Roman" w:cs="Times New Roman"/>
          <w:lang w:val="en-US"/>
        </w:rPr>
        <w:t>). Nevertheless,</w:t>
      </w:r>
      <w:r w:rsidR="00816567" w:rsidRPr="00905499">
        <w:rPr>
          <w:rFonts w:ascii="Times New Roman" w:hAnsi="Times New Roman" w:cs="Times New Roman"/>
          <w:lang w:val="en-US"/>
        </w:rPr>
        <w:t xml:space="preserve"> to check the robustness of our results,</w:t>
      </w:r>
      <w:r w:rsidR="00FD2E65" w:rsidRPr="00905499">
        <w:rPr>
          <w:rFonts w:ascii="Times New Roman" w:hAnsi="Times New Roman" w:cs="Times New Roman"/>
          <w:lang w:val="en-US"/>
        </w:rPr>
        <w:t xml:space="preserve"> all models </w:t>
      </w:r>
      <w:r w:rsidR="00816567" w:rsidRPr="00905499">
        <w:rPr>
          <w:rFonts w:ascii="Times New Roman" w:hAnsi="Times New Roman" w:cs="Times New Roman"/>
          <w:lang w:val="en-US"/>
        </w:rPr>
        <w:t xml:space="preserve">have been </w:t>
      </w:r>
      <w:r w:rsidR="00FD2E65" w:rsidRPr="00905499">
        <w:rPr>
          <w:rFonts w:ascii="Times New Roman" w:hAnsi="Times New Roman" w:cs="Times New Roman"/>
          <w:lang w:val="en-US"/>
        </w:rPr>
        <w:t>re</w:t>
      </w:r>
      <w:r w:rsidR="00816567" w:rsidRPr="00905499">
        <w:rPr>
          <w:rFonts w:ascii="Times New Roman" w:hAnsi="Times New Roman" w:cs="Times New Roman"/>
          <w:lang w:val="en-US"/>
        </w:rPr>
        <w:t>-estimated</w:t>
      </w:r>
      <w:r w:rsidR="00FD2E65" w:rsidRPr="00905499">
        <w:rPr>
          <w:rFonts w:ascii="Times New Roman" w:hAnsi="Times New Roman" w:cs="Times New Roman"/>
          <w:lang w:val="en-US"/>
        </w:rPr>
        <w:t xml:space="preserve"> using </w:t>
      </w:r>
      <w:r w:rsidR="00816567" w:rsidRPr="00905499">
        <w:rPr>
          <w:rFonts w:ascii="Times New Roman" w:hAnsi="Times New Roman" w:cs="Times New Roman"/>
          <w:lang w:val="en-US"/>
        </w:rPr>
        <w:t xml:space="preserve">an alternative measure of </w:t>
      </w:r>
      <w:proofErr w:type="gramStart"/>
      <w:r w:rsidR="00816567" w:rsidRPr="00905499">
        <w:rPr>
          <w:rFonts w:ascii="Times New Roman" w:hAnsi="Times New Roman" w:cs="Times New Roman"/>
          <w:lang w:val="en-US"/>
        </w:rPr>
        <w:t>ses</w:t>
      </w:r>
      <w:proofErr w:type="gramEnd"/>
      <w:r w:rsidR="00FD2E65" w:rsidRPr="00905499">
        <w:rPr>
          <w:rFonts w:ascii="Times New Roman" w:hAnsi="Times New Roman" w:cs="Times New Roman"/>
          <w:lang w:val="en-US"/>
        </w:rPr>
        <w:t xml:space="preserve"> </w:t>
      </w:r>
      <w:r w:rsidR="00816567" w:rsidRPr="00905499">
        <w:rPr>
          <w:rFonts w:ascii="Times New Roman" w:hAnsi="Times New Roman" w:cs="Times New Roman"/>
          <w:lang w:val="en-US"/>
        </w:rPr>
        <w:t xml:space="preserve">(the </w:t>
      </w:r>
      <w:r w:rsidR="00FD2E65" w:rsidRPr="00905499">
        <w:rPr>
          <w:rFonts w:ascii="Times New Roman" w:hAnsi="Times New Roman" w:cs="Times New Roman"/>
          <w:lang w:val="en-US"/>
        </w:rPr>
        <w:t xml:space="preserve">international socio-economic index of occupational status </w:t>
      </w:r>
      <w:r w:rsidR="00816567" w:rsidRPr="00905499">
        <w:rPr>
          <w:rFonts w:ascii="Times New Roman" w:hAnsi="Times New Roman" w:cs="Times New Roman"/>
          <w:lang w:val="en-US"/>
        </w:rPr>
        <w:t xml:space="preserve">– see </w:t>
      </w:r>
      <w:r w:rsidR="00FD2E65" w:rsidRPr="00905499">
        <w:rPr>
          <w:rFonts w:ascii="Times New Roman" w:hAnsi="Times New Roman" w:cs="Times New Roman"/>
          <w:lang w:val="en-US"/>
        </w:rPr>
        <w:t>Ganzeboom, Graaf, Treiman, &amp; De Leeuw, 1992).</w:t>
      </w:r>
      <w:r w:rsidR="00A26661" w:rsidRPr="00905499">
        <w:rPr>
          <w:rFonts w:ascii="Times New Roman" w:hAnsi="Times New Roman" w:cs="Times New Roman"/>
          <w:lang w:val="en-US"/>
        </w:rPr>
        <w:t xml:space="preserve"> In all cases</w:t>
      </w:r>
      <w:r w:rsidR="00816567" w:rsidRPr="00905499">
        <w:rPr>
          <w:rFonts w:ascii="Times New Roman" w:hAnsi="Times New Roman" w:cs="Times New Roman"/>
          <w:lang w:val="en-US"/>
        </w:rPr>
        <w:t>,</w:t>
      </w:r>
      <w:r w:rsidR="00A26661" w:rsidRPr="00905499">
        <w:rPr>
          <w:rFonts w:ascii="Times New Roman" w:hAnsi="Times New Roman" w:cs="Times New Roman"/>
          <w:lang w:val="en-US"/>
        </w:rPr>
        <w:t xml:space="preserve"> results </w:t>
      </w:r>
      <w:r w:rsidR="00816567" w:rsidRPr="00905499">
        <w:rPr>
          <w:rFonts w:ascii="Times New Roman" w:hAnsi="Times New Roman" w:cs="Times New Roman"/>
          <w:lang w:val="en-US"/>
        </w:rPr>
        <w:t xml:space="preserve">are </w:t>
      </w:r>
      <w:r w:rsidR="00A26661" w:rsidRPr="00905499">
        <w:rPr>
          <w:rFonts w:ascii="Times New Roman" w:hAnsi="Times New Roman" w:cs="Times New Roman"/>
          <w:lang w:val="en-US"/>
        </w:rPr>
        <w:t xml:space="preserve">similar </w:t>
      </w:r>
      <w:proofErr w:type="gramStart"/>
      <w:r w:rsidR="00A26661" w:rsidRPr="00905499">
        <w:rPr>
          <w:rFonts w:ascii="Times New Roman" w:hAnsi="Times New Roman" w:cs="Times New Roman"/>
          <w:lang w:val="en-US"/>
        </w:rPr>
        <w:t>regardless</w:t>
      </w:r>
      <w:proofErr w:type="gramEnd"/>
      <w:r w:rsidR="00A26661" w:rsidRPr="00905499">
        <w:rPr>
          <w:rFonts w:ascii="Times New Roman" w:hAnsi="Times New Roman" w:cs="Times New Roman"/>
          <w:lang w:val="en-US"/>
        </w:rPr>
        <w:t xml:space="preserve"> </w:t>
      </w:r>
      <w:r w:rsidR="00C81B39" w:rsidRPr="00905499">
        <w:rPr>
          <w:rFonts w:ascii="Times New Roman" w:hAnsi="Times New Roman" w:cs="Times New Roman"/>
          <w:lang w:val="en-US"/>
        </w:rPr>
        <w:t xml:space="preserve">of </w:t>
      </w:r>
      <w:r w:rsidR="00816567" w:rsidRPr="00905499">
        <w:rPr>
          <w:rFonts w:ascii="Times New Roman" w:hAnsi="Times New Roman" w:cs="Times New Roman"/>
          <w:lang w:val="en-US"/>
        </w:rPr>
        <w:t>which measure is</w:t>
      </w:r>
      <w:r w:rsidR="00A26661" w:rsidRPr="00905499">
        <w:rPr>
          <w:rFonts w:ascii="Times New Roman" w:hAnsi="Times New Roman" w:cs="Times New Roman"/>
          <w:lang w:val="en-US"/>
        </w:rPr>
        <w:t xml:space="preserve"> used</w:t>
      </w:r>
      <w:r w:rsidR="0010165D" w:rsidRPr="00905499">
        <w:rPr>
          <w:rFonts w:ascii="Times New Roman" w:hAnsi="Times New Roman" w:cs="Times New Roman"/>
          <w:lang w:val="en-US"/>
        </w:rPr>
        <w:t xml:space="preserve"> (see paper website)</w:t>
      </w:r>
      <w:r w:rsidR="00A26661" w:rsidRPr="00905499">
        <w:rPr>
          <w:rFonts w:ascii="Times New Roman" w:hAnsi="Times New Roman" w:cs="Times New Roman"/>
          <w:lang w:val="en-US"/>
        </w:rPr>
        <w:t>.</w:t>
      </w:r>
    </w:p>
    <w:p w14:paraId="71940ADB" w14:textId="224EB66A" w:rsidR="00A26661" w:rsidRPr="00905499" w:rsidRDefault="00A26661" w:rsidP="008B74D0">
      <w:pPr>
        <w:spacing w:line="360" w:lineRule="auto"/>
        <w:jc w:val="both"/>
        <w:rPr>
          <w:rFonts w:ascii="Times New Roman" w:hAnsi="Times New Roman" w:cs="Times New Roman"/>
          <w:lang w:val="en-US"/>
        </w:rPr>
      </w:pPr>
      <w:r w:rsidRPr="00905499">
        <w:rPr>
          <w:rFonts w:ascii="Times New Roman" w:hAnsi="Times New Roman" w:cs="Times New Roman"/>
          <w:lang w:val="en-US"/>
        </w:rPr>
        <w:tab/>
        <w:t xml:space="preserve">The second limitation was a change in postcode collection between the 2003 and 2006 cycles of the LSAY. In </w:t>
      </w:r>
      <w:r w:rsidR="00457BEE" w:rsidRPr="00905499">
        <w:rPr>
          <w:rFonts w:ascii="Times New Roman" w:hAnsi="Times New Roman" w:cs="Times New Roman"/>
          <w:lang w:val="en-US"/>
        </w:rPr>
        <w:t>LSAY</w:t>
      </w:r>
      <w:r w:rsidRPr="00905499">
        <w:rPr>
          <w:rFonts w:ascii="Times New Roman" w:hAnsi="Times New Roman" w:cs="Times New Roman"/>
          <w:lang w:val="en-US"/>
        </w:rPr>
        <w:t xml:space="preserve">2003 </w:t>
      </w:r>
      <w:r w:rsidR="00485A5E" w:rsidRPr="00905499">
        <w:rPr>
          <w:rFonts w:ascii="Times New Roman" w:hAnsi="Times New Roman" w:cs="Times New Roman"/>
          <w:lang w:val="en-US"/>
        </w:rPr>
        <w:t>age 15</w:t>
      </w:r>
      <w:r w:rsidRPr="00905499">
        <w:rPr>
          <w:rFonts w:ascii="Times New Roman" w:hAnsi="Times New Roman" w:cs="Times New Roman"/>
          <w:lang w:val="en-US"/>
        </w:rPr>
        <w:t xml:space="preserve"> postcodes represented the </w:t>
      </w:r>
      <w:r w:rsidR="00485A5E" w:rsidRPr="00905499">
        <w:rPr>
          <w:rFonts w:ascii="Times New Roman" w:hAnsi="Times New Roman" w:cs="Times New Roman"/>
          <w:lang w:val="en-US"/>
        </w:rPr>
        <w:t>neighborhood</w:t>
      </w:r>
      <w:r w:rsidRPr="00905499">
        <w:rPr>
          <w:rFonts w:ascii="Times New Roman" w:hAnsi="Times New Roman" w:cs="Times New Roman"/>
          <w:lang w:val="en-US"/>
        </w:rPr>
        <w:t xml:space="preserve"> in which the participant lived. In</w:t>
      </w:r>
      <w:r w:rsidR="00485A5E" w:rsidRPr="00905499">
        <w:rPr>
          <w:rFonts w:ascii="Times New Roman" w:hAnsi="Times New Roman" w:cs="Times New Roman"/>
          <w:lang w:val="en-US"/>
        </w:rPr>
        <w:t xml:space="preserve"> the matching wave in </w:t>
      </w:r>
      <w:r w:rsidR="00457BEE" w:rsidRPr="00905499">
        <w:rPr>
          <w:rFonts w:ascii="Times New Roman" w:hAnsi="Times New Roman" w:cs="Times New Roman"/>
          <w:lang w:val="en-US"/>
        </w:rPr>
        <w:t>LSAY</w:t>
      </w:r>
      <w:r w:rsidRPr="00905499">
        <w:rPr>
          <w:rFonts w:ascii="Times New Roman" w:hAnsi="Times New Roman" w:cs="Times New Roman"/>
          <w:lang w:val="en-US"/>
        </w:rPr>
        <w:t xml:space="preserve">2006 </w:t>
      </w:r>
      <w:r w:rsidR="00485A5E" w:rsidRPr="00905499">
        <w:rPr>
          <w:rFonts w:ascii="Times New Roman" w:hAnsi="Times New Roman" w:cs="Times New Roman"/>
          <w:lang w:val="en-US"/>
        </w:rPr>
        <w:t>postcodes represented the neighborhood in which children went to school</w:t>
      </w:r>
      <w:r w:rsidRPr="00905499">
        <w:rPr>
          <w:rFonts w:ascii="Times New Roman" w:hAnsi="Times New Roman" w:cs="Times New Roman"/>
          <w:lang w:val="en-US"/>
        </w:rPr>
        <w:t xml:space="preserve">. </w:t>
      </w:r>
      <w:r w:rsidR="00485A5E" w:rsidRPr="00905499">
        <w:rPr>
          <w:rFonts w:ascii="Times New Roman" w:hAnsi="Times New Roman" w:cs="Times New Roman"/>
          <w:lang w:val="en-US"/>
        </w:rPr>
        <w:t>Later waves reverted back t</w:t>
      </w:r>
      <w:r w:rsidR="00924C7D" w:rsidRPr="00905499">
        <w:rPr>
          <w:rFonts w:ascii="Times New Roman" w:hAnsi="Times New Roman" w:cs="Times New Roman"/>
          <w:lang w:val="en-US"/>
        </w:rPr>
        <w:t xml:space="preserve">o listing the postcode of the neighborhood in which participants lived. To ensure this made little difference to the results </w:t>
      </w:r>
      <w:r w:rsidRPr="00905499">
        <w:rPr>
          <w:rFonts w:ascii="Times New Roman" w:hAnsi="Times New Roman" w:cs="Times New Roman"/>
          <w:lang w:val="en-US"/>
        </w:rPr>
        <w:t xml:space="preserve">we ran sensitivity analysis using </w:t>
      </w:r>
      <w:r w:rsidR="00B37687" w:rsidRPr="00905499">
        <w:rPr>
          <w:rFonts w:ascii="Times New Roman" w:hAnsi="Times New Roman" w:cs="Times New Roman"/>
          <w:lang w:val="en-US"/>
        </w:rPr>
        <w:t xml:space="preserve">home postcodes for the </w:t>
      </w:r>
      <w:r w:rsidR="00413EC1" w:rsidRPr="00905499">
        <w:rPr>
          <w:rFonts w:ascii="Times New Roman" w:hAnsi="Times New Roman" w:cs="Times New Roman"/>
          <w:lang w:val="en-US"/>
        </w:rPr>
        <w:t xml:space="preserve">LSAY2003 and </w:t>
      </w:r>
      <w:r w:rsidR="00B37687" w:rsidRPr="00905499">
        <w:rPr>
          <w:rFonts w:ascii="Times New Roman" w:hAnsi="Times New Roman" w:cs="Times New Roman"/>
          <w:lang w:val="en-US"/>
        </w:rPr>
        <w:t xml:space="preserve">LSAY2006 from </w:t>
      </w:r>
      <w:r w:rsidR="00BC7293" w:rsidRPr="00905499">
        <w:rPr>
          <w:rFonts w:ascii="Times New Roman" w:hAnsi="Times New Roman" w:cs="Times New Roman"/>
          <w:lang w:val="en-US"/>
        </w:rPr>
        <w:t xml:space="preserve">wave </w:t>
      </w:r>
      <w:r w:rsidR="00B37687" w:rsidRPr="00905499">
        <w:rPr>
          <w:rFonts w:ascii="Times New Roman" w:hAnsi="Times New Roman" w:cs="Times New Roman"/>
          <w:lang w:val="en-US"/>
        </w:rPr>
        <w:t>2</w:t>
      </w:r>
      <w:r w:rsidR="00924C7D" w:rsidRPr="00905499">
        <w:rPr>
          <w:rFonts w:ascii="Times New Roman" w:hAnsi="Times New Roman" w:cs="Times New Roman"/>
          <w:lang w:val="en-US"/>
        </w:rPr>
        <w:t xml:space="preserve"> (age 16)</w:t>
      </w:r>
      <w:r w:rsidR="00B37687" w:rsidRPr="00905499">
        <w:rPr>
          <w:rFonts w:ascii="Times New Roman" w:hAnsi="Times New Roman" w:cs="Times New Roman"/>
          <w:lang w:val="en-US"/>
        </w:rPr>
        <w:t xml:space="preserve">. </w:t>
      </w:r>
      <w:r w:rsidR="001B4DBB" w:rsidRPr="00905499">
        <w:rPr>
          <w:rFonts w:ascii="Times New Roman" w:hAnsi="Times New Roman" w:cs="Times New Roman"/>
          <w:lang w:val="en-US"/>
        </w:rPr>
        <w:t>T</w:t>
      </w:r>
      <w:r w:rsidR="00B37687" w:rsidRPr="00905499">
        <w:rPr>
          <w:rFonts w:ascii="Times New Roman" w:hAnsi="Times New Roman" w:cs="Times New Roman"/>
          <w:lang w:val="en-US"/>
        </w:rPr>
        <w:t xml:space="preserve">his made </w:t>
      </w:r>
      <w:r w:rsidR="00924C7D" w:rsidRPr="00905499">
        <w:rPr>
          <w:rFonts w:ascii="Times New Roman" w:hAnsi="Times New Roman" w:cs="Times New Roman"/>
          <w:lang w:val="en-US"/>
        </w:rPr>
        <w:t>almost no</w:t>
      </w:r>
      <w:r w:rsidR="00B37687" w:rsidRPr="00905499">
        <w:rPr>
          <w:rFonts w:ascii="Times New Roman" w:hAnsi="Times New Roman" w:cs="Times New Roman"/>
          <w:lang w:val="en-US"/>
        </w:rPr>
        <w:t xml:space="preserve"> difference to the results</w:t>
      </w:r>
      <w:r w:rsidR="00924C7D" w:rsidRPr="00905499">
        <w:rPr>
          <w:rFonts w:ascii="Times New Roman" w:hAnsi="Times New Roman" w:cs="Times New Roman"/>
          <w:lang w:val="en-US"/>
        </w:rPr>
        <w:t xml:space="preserve">, which is unsurprising as participants </w:t>
      </w:r>
      <w:r w:rsidR="00C81B39" w:rsidRPr="00905499">
        <w:rPr>
          <w:rFonts w:ascii="Times New Roman" w:hAnsi="Times New Roman" w:cs="Times New Roman"/>
          <w:lang w:val="en-US"/>
        </w:rPr>
        <w:t xml:space="preserve">typically </w:t>
      </w:r>
      <w:r w:rsidR="00924C7D" w:rsidRPr="00905499">
        <w:rPr>
          <w:rFonts w:ascii="Times New Roman" w:hAnsi="Times New Roman" w:cs="Times New Roman"/>
          <w:lang w:val="en-US"/>
        </w:rPr>
        <w:t>lived in the same or neighboring postcode to which they went to school</w:t>
      </w:r>
      <w:r w:rsidR="00B37687" w:rsidRPr="00905499">
        <w:rPr>
          <w:rFonts w:ascii="Times New Roman" w:hAnsi="Times New Roman" w:cs="Times New Roman"/>
          <w:lang w:val="en-US"/>
        </w:rPr>
        <w:t xml:space="preserve">. </w:t>
      </w:r>
      <w:r w:rsidR="001B4DBB" w:rsidRPr="00905499">
        <w:rPr>
          <w:rFonts w:ascii="Times New Roman" w:hAnsi="Times New Roman" w:cs="Times New Roman"/>
          <w:lang w:val="en-US"/>
        </w:rPr>
        <w:t xml:space="preserve">All sensitivity analysis can be found </w:t>
      </w:r>
      <w:r w:rsidR="0010165D" w:rsidRPr="00905499">
        <w:rPr>
          <w:rFonts w:ascii="Times New Roman" w:hAnsi="Times New Roman" w:cs="Times New Roman"/>
          <w:lang w:val="en-US"/>
        </w:rPr>
        <w:t>on the paper website</w:t>
      </w:r>
      <w:r w:rsidR="001B4DBB" w:rsidRPr="00905499">
        <w:rPr>
          <w:rFonts w:ascii="Times New Roman" w:hAnsi="Times New Roman" w:cs="Times New Roman"/>
          <w:lang w:val="en-US"/>
        </w:rPr>
        <w:t>.</w:t>
      </w:r>
    </w:p>
    <w:p w14:paraId="3AEC525E" w14:textId="77FDADD7" w:rsidR="00CF7B01" w:rsidRPr="00905499" w:rsidRDefault="00BC0D35" w:rsidP="007865AA">
      <w:pPr>
        <w:spacing w:line="360" w:lineRule="auto"/>
        <w:jc w:val="both"/>
        <w:rPr>
          <w:rFonts w:ascii="Times New Roman" w:hAnsi="Times New Roman" w:cs="Times New Roman"/>
          <w:lang w:val="en-US"/>
        </w:rPr>
      </w:pPr>
      <w:r w:rsidRPr="00905499">
        <w:rPr>
          <w:rFonts w:ascii="Times New Roman" w:hAnsi="Times New Roman" w:cs="Times New Roman"/>
          <w:b/>
          <w:lang w:val="en-US"/>
        </w:rPr>
        <w:t xml:space="preserve">Missing </w:t>
      </w:r>
      <w:r w:rsidR="007865AA" w:rsidRPr="00905499">
        <w:rPr>
          <w:rFonts w:ascii="Times New Roman" w:hAnsi="Times New Roman" w:cs="Times New Roman"/>
          <w:b/>
          <w:lang w:val="en-US"/>
        </w:rPr>
        <w:t>data and survey d</w:t>
      </w:r>
      <w:r w:rsidRPr="00905499">
        <w:rPr>
          <w:rFonts w:ascii="Times New Roman" w:hAnsi="Times New Roman" w:cs="Times New Roman"/>
          <w:b/>
          <w:lang w:val="en-US"/>
        </w:rPr>
        <w:t>esign</w:t>
      </w:r>
      <w:r w:rsidRPr="00905499">
        <w:rPr>
          <w:rFonts w:ascii="Times New Roman" w:hAnsi="Times New Roman" w:cs="Times New Roman"/>
          <w:b/>
          <w:i/>
          <w:lang w:val="en-US"/>
        </w:rPr>
        <w:t>.</w:t>
      </w:r>
      <w:r w:rsidRPr="00905499">
        <w:rPr>
          <w:rFonts w:ascii="Times New Roman" w:hAnsi="Times New Roman" w:cs="Times New Roman"/>
          <w:lang w:val="en-US"/>
        </w:rPr>
        <w:t xml:space="preserve"> The LSAY </w:t>
      </w:r>
      <w:r w:rsidR="00F179F3" w:rsidRPr="00905499">
        <w:rPr>
          <w:rFonts w:ascii="Times New Roman" w:hAnsi="Times New Roman" w:cs="Times New Roman"/>
          <w:lang w:val="en-US"/>
        </w:rPr>
        <w:t xml:space="preserve">population </w:t>
      </w:r>
      <w:r w:rsidR="0094110D" w:rsidRPr="00905499">
        <w:rPr>
          <w:rFonts w:ascii="Times New Roman" w:hAnsi="Times New Roman" w:cs="Times New Roman"/>
          <w:lang w:val="en-US"/>
        </w:rPr>
        <w:t xml:space="preserve">and attrition </w:t>
      </w:r>
      <w:r w:rsidR="00F179F3" w:rsidRPr="00905499">
        <w:rPr>
          <w:rFonts w:ascii="Times New Roman" w:hAnsi="Times New Roman" w:cs="Times New Roman"/>
          <w:lang w:val="en-US"/>
        </w:rPr>
        <w:t>weight</w:t>
      </w:r>
      <w:r w:rsidR="0094110D" w:rsidRPr="00905499">
        <w:rPr>
          <w:rFonts w:ascii="Times New Roman" w:hAnsi="Times New Roman" w:cs="Times New Roman"/>
          <w:lang w:val="en-US"/>
        </w:rPr>
        <w:t>s</w:t>
      </w:r>
      <w:r w:rsidRPr="00905499">
        <w:rPr>
          <w:rFonts w:ascii="Times New Roman" w:hAnsi="Times New Roman" w:cs="Times New Roman"/>
          <w:lang w:val="en-US"/>
        </w:rPr>
        <w:t xml:space="preserve"> </w:t>
      </w:r>
      <w:r w:rsidR="00645D3D">
        <w:rPr>
          <w:rFonts w:ascii="Times New Roman" w:hAnsi="Times New Roman" w:cs="Times New Roman"/>
          <w:lang w:val="en-US"/>
        </w:rPr>
        <w:t>were</w:t>
      </w:r>
      <w:r w:rsidRPr="00905499">
        <w:rPr>
          <w:rFonts w:ascii="Times New Roman" w:hAnsi="Times New Roman" w:cs="Times New Roman"/>
          <w:lang w:val="en-US"/>
        </w:rPr>
        <w:t xml:space="preserve"> applied </w:t>
      </w:r>
      <w:r w:rsidR="00090F98" w:rsidRPr="00905499">
        <w:rPr>
          <w:rFonts w:ascii="Times New Roman" w:hAnsi="Times New Roman" w:cs="Times New Roman"/>
          <w:lang w:val="en-US"/>
        </w:rPr>
        <w:t xml:space="preserve">throughout our analysis </w:t>
      </w:r>
      <w:r w:rsidRPr="00905499">
        <w:rPr>
          <w:rFonts w:ascii="Times New Roman" w:hAnsi="Times New Roman" w:cs="Times New Roman"/>
          <w:lang w:val="en-US"/>
        </w:rPr>
        <w:t>to ensure estimates were representative of the Australian population</w:t>
      </w:r>
      <w:r w:rsidR="0094110D" w:rsidRPr="00905499">
        <w:rPr>
          <w:rFonts w:ascii="Times New Roman" w:hAnsi="Times New Roman" w:cs="Times New Roman"/>
          <w:lang w:val="en-US"/>
        </w:rPr>
        <w:t xml:space="preserve"> in the context of participant attrition (</w:t>
      </w:r>
      <w:r w:rsidR="00001287" w:rsidRPr="00905499">
        <w:rPr>
          <w:rFonts w:ascii="Times New Roman" w:hAnsi="Times New Roman" w:cs="Times New Roman"/>
          <w:lang w:val="en-US"/>
        </w:rPr>
        <w:t>47</w:t>
      </w:r>
      <w:r w:rsidR="0094110D" w:rsidRPr="00905499">
        <w:rPr>
          <w:rFonts w:ascii="Times New Roman" w:hAnsi="Times New Roman" w:cs="Times New Roman"/>
          <w:lang w:val="en-US"/>
        </w:rPr>
        <w:t xml:space="preserve">% attrition was noted from wave 1 </w:t>
      </w:r>
      <w:r w:rsidR="00001287" w:rsidRPr="00905499">
        <w:rPr>
          <w:rFonts w:ascii="Times New Roman" w:hAnsi="Times New Roman" w:cs="Times New Roman"/>
          <w:lang w:val="en-US"/>
        </w:rPr>
        <w:t xml:space="preserve">[age 15] </w:t>
      </w:r>
      <w:r w:rsidR="0094110D" w:rsidRPr="00905499">
        <w:rPr>
          <w:rFonts w:ascii="Times New Roman" w:hAnsi="Times New Roman" w:cs="Times New Roman"/>
          <w:lang w:val="en-US"/>
        </w:rPr>
        <w:t xml:space="preserve">to wave 5 </w:t>
      </w:r>
      <w:r w:rsidR="00001287" w:rsidRPr="00905499">
        <w:rPr>
          <w:rFonts w:ascii="Times New Roman" w:hAnsi="Times New Roman" w:cs="Times New Roman"/>
          <w:lang w:val="en-US"/>
        </w:rPr>
        <w:t xml:space="preserve">[age 19] </w:t>
      </w:r>
      <w:r w:rsidR="0094110D" w:rsidRPr="00905499">
        <w:rPr>
          <w:rFonts w:ascii="Times New Roman" w:hAnsi="Times New Roman" w:cs="Times New Roman"/>
          <w:lang w:val="en-US"/>
        </w:rPr>
        <w:t>of the study)</w:t>
      </w:r>
      <w:r w:rsidR="00090F98" w:rsidRPr="00905499">
        <w:rPr>
          <w:rFonts w:ascii="Times New Roman" w:hAnsi="Times New Roman" w:cs="Times New Roman"/>
          <w:lang w:val="en-US"/>
        </w:rPr>
        <w:t>.</w:t>
      </w:r>
      <w:r w:rsidRPr="00905499">
        <w:rPr>
          <w:rFonts w:ascii="Times New Roman" w:hAnsi="Times New Roman" w:cs="Times New Roman"/>
          <w:lang w:val="en-US"/>
        </w:rPr>
        <w:t xml:space="preserve"> </w:t>
      </w:r>
    </w:p>
    <w:p w14:paraId="26CE20DD" w14:textId="71B87014" w:rsidR="00BC0D35" w:rsidRPr="00905499" w:rsidRDefault="0094110D" w:rsidP="00CF7B01">
      <w:pPr>
        <w:spacing w:line="360" w:lineRule="auto"/>
        <w:ind w:firstLine="720"/>
        <w:jc w:val="both"/>
        <w:rPr>
          <w:rFonts w:ascii="Times New Roman" w:hAnsi="Times New Roman" w:cs="Times New Roman"/>
          <w:lang w:val="en-US"/>
        </w:rPr>
      </w:pPr>
      <w:r w:rsidRPr="00905499">
        <w:rPr>
          <w:rFonts w:ascii="Times New Roman" w:hAnsi="Times New Roman" w:cs="Times New Roman"/>
          <w:lang w:val="en-US"/>
        </w:rPr>
        <w:t xml:space="preserve">In addition to attrition a small </w:t>
      </w:r>
      <w:r w:rsidR="00090F98" w:rsidRPr="00905499">
        <w:rPr>
          <w:rFonts w:ascii="Times New Roman" w:hAnsi="Times New Roman" w:cs="Times New Roman"/>
          <w:lang w:val="en-US"/>
        </w:rPr>
        <w:t>amount of missing data at the individual item level</w:t>
      </w:r>
      <w:r w:rsidRPr="00905499">
        <w:rPr>
          <w:rFonts w:ascii="Times New Roman" w:hAnsi="Times New Roman" w:cs="Times New Roman"/>
          <w:lang w:val="en-US"/>
        </w:rPr>
        <w:t xml:space="preserve"> was apparent (see Table </w:t>
      </w:r>
      <w:r w:rsidR="00CF7B01" w:rsidRPr="00905499">
        <w:rPr>
          <w:rFonts w:ascii="Times New Roman" w:hAnsi="Times New Roman" w:cs="Times New Roman"/>
          <w:lang w:val="en-US"/>
        </w:rPr>
        <w:t>2</w:t>
      </w:r>
      <w:r w:rsidRPr="00905499">
        <w:rPr>
          <w:rFonts w:ascii="Times New Roman" w:hAnsi="Times New Roman" w:cs="Times New Roman"/>
          <w:lang w:val="en-US"/>
        </w:rPr>
        <w:t>). To account for this we ran</w:t>
      </w:r>
      <w:r w:rsidR="00BC0D35" w:rsidRPr="00905499">
        <w:rPr>
          <w:rFonts w:ascii="Times New Roman" w:hAnsi="Times New Roman" w:cs="Times New Roman"/>
          <w:lang w:val="en-US"/>
        </w:rPr>
        <w:t xml:space="preserve"> </w:t>
      </w:r>
      <w:r w:rsidR="002F7568" w:rsidRPr="00905499">
        <w:rPr>
          <w:rFonts w:ascii="Times New Roman" w:hAnsi="Times New Roman" w:cs="Times New Roman"/>
          <w:lang w:val="en-US"/>
        </w:rPr>
        <w:t>multiple</w:t>
      </w:r>
      <w:r w:rsidR="00BC0D35" w:rsidRPr="00905499">
        <w:rPr>
          <w:rFonts w:ascii="Times New Roman" w:hAnsi="Times New Roman" w:cs="Times New Roman"/>
          <w:lang w:val="en-US"/>
        </w:rPr>
        <w:t xml:space="preserve"> imputation</w:t>
      </w:r>
      <w:r w:rsidR="002832E3" w:rsidRPr="00905499">
        <w:rPr>
          <w:rFonts w:ascii="Times New Roman" w:hAnsi="Times New Roman" w:cs="Times New Roman"/>
          <w:lang w:val="en-US"/>
        </w:rPr>
        <w:t>s</w:t>
      </w:r>
      <w:r w:rsidR="00BC0D35" w:rsidRPr="00905499">
        <w:rPr>
          <w:rFonts w:ascii="Times New Roman" w:hAnsi="Times New Roman" w:cs="Times New Roman"/>
          <w:lang w:val="en-US"/>
        </w:rPr>
        <w:t xml:space="preserve"> using a bootstrapped expectation maximization approach (Honaker, King, &amp; Blackwell, 2011).</w:t>
      </w:r>
      <w:r w:rsidRPr="00905499">
        <w:rPr>
          <w:rFonts w:ascii="Times New Roman" w:hAnsi="Times New Roman" w:cs="Times New Roman"/>
          <w:lang w:val="en-US"/>
        </w:rPr>
        <w:t xml:space="preserve"> Given the small amount of missing data five imputations was considered sufficient.</w:t>
      </w:r>
      <w:r w:rsidR="00BC0D35" w:rsidRPr="00905499">
        <w:rPr>
          <w:rFonts w:ascii="Times New Roman" w:hAnsi="Times New Roman" w:cs="Times New Roman"/>
          <w:lang w:val="en-US"/>
        </w:rPr>
        <w:t xml:space="preserve"> </w:t>
      </w:r>
      <w:r w:rsidR="004344C4" w:rsidRPr="00905499">
        <w:rPr>
          <w:rFonts w:ascii="Times New Roman" w:hAnsi="Times New Roman" w:cs="Times New Roman"/>
          <w:lang w:val="en-US"/>
        </w:rPr>
        <w:t xml:space="preserve">In addition, </w:t>
      </w:r>
      <w:r w:rsidR="003543F0" w:rsidRPr="00905499">
        <w:rPr>
          <w:rFonts w:ascii="Times New Roman" w:hAnsi="Times New Roman"/>
          <w:lang w:val="en-US"/>
        </w:rPr>
        <w:t xml:space="preserve">five plausible values were generated for each pupil, estimating their true proficiency in each subject. </w:t>
      </w:r>
      <w:proofErr w:type="gramStart"/>
      <w:r w:rsidR="003543F0" w:rsidRPr="00905499">
        <w:rPr>
          <w:rFonts w:ascii="Times New Roman" w:hAnsi="Times New Roman"/>
          <w:lang w:val="en-US"/>
        </w:rPr>
        <w:t>These scores were scaled by the survey organizers (across all OECD countries) to have a mean of 500 points and standard deviation of 100</w:t>
      </w:r>
      <w:proofErr w:type="gramEnd"/>
      <w:r w:rsidR="003543F0" w:rsidRPr="00905499">
        <w:rPr>
          <w:rFonts w:ascii="Times New Roman" w:hAnsi="Times New Roman"/>
          <w:lang w:val="en-US"/>
        </w:rPr>
        <w:t xml:space="preserve">. </w:t>
      </w:r>
      <w:r w:rsidR="00C81B39" w:rsidRPr="00905499">
        <w:rPr>
          <w:rFonts w:ascii="Times New Roman" w:hAnsi="Times New Roman"/>
          <w:lang w:val="en-US"/>
        </w:rPr>
        <w:t>Given that the estimation of a participant</w:t>
      </w:r>
      <w:r w:rsidR="00F875ED" w:rsidRPr="00905499">
        <w:rPr>
          <w:rFonts w:ascii="Times New Roman" w:hAnsi="Times New Roman"/>
          <w:lang w:val="en-US"/>
        </w:rPr>
        <w:t>’</w:t>
      </w:r>
      <w:r w:rsidR="00C81B39" w:rsidRPr="00905499">
        <w:rPr>
          <w:rFonts w:ascii="Times New Roman" w:hAnsi="Times New Roman"/>
          <w:lang w:val="en-US"/>
        </w:rPr>
        <w:t xml:space="preserve">s true score is </w:t>
      </w:r>
      <w:r w:rsidR="00C81B39" w:rsidRPr="00905499">
        <w:rPr>
          <w:rFonts w:ascii="Times New Roman" w:hAnsi="Times New Roman"/>
          <w:lang w:val="en-US"/>
        </w:rPr>
        <w:lastRenderedPageBreak/>
        <w:t>uncertain, the survey providers provide five plausible values drawn from the participant</w:t>
      </w:r>
      <w:r w:rsidR="00F875ED" w:rsidRPr="00905499">
        <w:rPr>
          <w:rFonts w:ascii="Times New Roman" w:hAnsi="Times New Roman"/>
          <w:lang w:val="en-US"/>
        </w:rPr>
        <w:t>’</w:t>
      </w:r>
      <w:r w:rsidR="00C81B39" w:rsidRPr="00905499">
        <w:rPr>
          <w:rFonts w:ascii="Times New Roman" w:hAnsi="Times New Roman"/>
          <w:lang w:val="en-US"/>
        </w:rPr>
        <w:t xml:space="preserve">s posterior ability distribution. </w:t>
      </w:r>
      <w:r w:rsidR="004344C4" w:rsidRPr="00905499">
        <w:rPr>
          <w:rFonts w:ascii="Times New Roman" w:hAnsi="Times New Roman" w:cs="Times New Roman"/>
          <w:lang w:val="en-US"/>
        </w:rPr>
        <w:t>One set of plausible values was assigned to each of the multiple imputations and likewise integrated using the survey package in R.</w:t>
      </w:r>
      <w:r w:rsidRPr="00905499">
        <w:rPr>
          <w:rFonts w:ascii="Times New Roman" w:hAnsi="Times New Roman" w:cs="Times New Roman"/>
          <w:lang w:val="en-US"/>
        </w:rPr>
        <w:t xml:space="preserve"> </w:t>
      </w:r>
      <w:r w:rsidR="00C81B39" w:rsidRPr="00905499">
        <w:rPr>
          <w:rFonts w:ascii="Times New Roman" w:hAnsi="Times New Roman" w:cs="Times New Roman"/>
          <w:lang w:val="en-US"/>
        </w:rPr>
        <w:t xml:space="preserve">This provided a means of incorporating uncertainty in estimation that results from the use of multiple imputed datasets and the use of multiple plausible values for achievement. </w:t>
      </w:r>
      <w:r w:rsidRPr="00905499">
        <w:rPr>
          <w:rFonts w:ascii="Times New Roman" w:hAnsi="Times New Roman" w:cs="Times New Roman"/>
          <w:lang w:val="en-US"/>
        </w:rPr>
        <w:t>The data also had a nested structure with individuals nested within schools. Balanced Repeated Replication (BRR) weights, provided by the survey organizers, were used to account for the two-stage survey design.</w:t>
      </w:r>
    </w:p>
    <w:p w14:paraId="0551309B" w14:textId="77777777" w:rsidR="00AF4B3C" w:rsidRPr="00905499" w:rsidRDefault="00AF4B3C" w:rsidP="003543F0">
      <w:pPr>
        <w:spacing w:line="360" w:lineRule="auto"/>
        <w:jc w:val="center"/>
        <w:rPr>
          <w:rFonts w:ascii="Times New Roman" w:hAnsi="Times New Roman" w:cs="Times New Roman"/>
          <w:b/>
          <w:lang w:val="en-US"/>
        </w:rPr>
      </w:pPr>
      <w:r w:rsidRPr="00905499">
        <w:rPr>
          <w:rFonts w:ascii="Times New Roman" w:hAnsi="Times New Roman" w:cs="Times New Roman"/>
          <w:b/>
          <w:lang w:val="en-US"/>
        </w:rPr>
        <w:t>Results</w:t>
      </w:r>
    </w:p>
    <w:p w14:paraId="6331F112" w14:textId="31CF90F7" w:rsidR="00090F98" w:rsidRPr="00905499" w:rsidRDefault="00555D17" w:rsidP="008B74D0">
      <w:pPr>
        <w:spacing w:line="360" w:lineRule="auto"/>
        <w:ind w:firstLine="720"/>
        <w:jc w:val="both"/>
        <w:rPr>
          <w:rFonts w:ascii="Times New Roman" w:hAnsi="Times New Roman" w:cs="Times New Roman"/>
          <w:lang w:val="en-US"/>
        </w:rPr>
      </w:pPr>
      <w:r w:rsidRPr="00905499">
        <w:rPr>
          <w:rFonts w:ascii="Times New Roman" w:hAnsi="Times New Roman" w:cs="Times New Roman"/>
          <w:lang w:val="en-US"/>
        </w:rPr>
        <w:t>As noted above, we focus here on the effect of number of university campuses</w:t>
      </w:r>
      <w:r w:rsidR="00C81B39" w:rsidRPr="00905499">
        <w:rPr>
          <w:rFonts w:ascii="Times New Roman" w:hAnsi="Times New Roman" w:cs="Times New Roman"/>
          <w:lang w:val="en-US"/>
        </w:rPr>
        <w:t xml:space="preserve"> (for university aspirations and university entry)</w:t>
      </w:r>
      <w:r w:rsidR="00090F98" w:rsidRPr="00905499">
        <w:rPr>
          <w:rFonts w:ascii="Times New Roman" w:hAnsi="Times New Roman" w:cs="Times New Roman"/>
          <w:lang w:val="en-US"/>
        </w:rPr>
        <w:t>,</w:t>
      </w:r>
      <w:r w:rsidRPr="00905499">
        <w:rPr>
          <w:rFonts w:ascii="Times New Roman" w:hAnsi="Times New Roman" w:cs="Times New Roman"/>
          <w:lang w:val="en-US"/>
        </w:rPr>
        <w:t xml:space="preserve"> and </w:t>
      </w:r>
      <w:r w:rsidR="00090F98" w:rsidRPr="00905499">
        <w:rPr>
          <w:rFonts w:ascii="Times New Roman" w:hAnsi="Times New Roman" w:cs="Times New Roman"/>
          <w:lang w:val="en-US"/>
        </w:rPr>
        <w:t xml:space="preserve">the </w:t>
      </w:r>
      <w:r w:rsidRPr="00905499">
        <w:rPr>
          <w:rFonts w:ascii="Times New Roman" w:hAnsi="Times New Roman" w:cs="Times New Roman"/>
          <w:lang w:val="en-US"/>
        </w:rPr>
        <w:t>number of elite university campuses</w:t>
      </w:r>
      <w:r w:rsidR="00C81B39" w:rsidRPr="00905499">
        <w:rPr>
          <w:rFonts w:ascii="Times New Roman" w:hAnsi="Times New Roman" w:cs="Times New Roman"/>
          <w:lang w:val="en-US"/>
        </w:rPr>
        <w:t xml:space="preserve"> (for elite university enrolment)</w:t>
      </w:r>
      <w:r w:rsidR="00090F98" w:rsidRPr="00905499">
        <w:rPr>
          <w:rFonts w:ascii="Times New Roman" w:hAnsi="Times New Roman" w:cs="Times New Roman"/>
          <w:lang w:val="en-US"/>
        </w:rPr>
        <w:t>,</w:t>
      </w:r>
      <w:r w:rsidRPr="00905499">
        <w:rPr>
          <w:rFonts w:ascii="Times New Roman" w:hAnsi="Times New Roman" w:cs="Times New Roman"/>
          <w:lang w:val="en-US"/>
        </w:rPr>
        <w:t xml:space="preserve"> in proximity as predictors of </w:t>
      </w:r>
      <w:r w:rsidR="00090F98" w:rsidRPr="00905499">
        <w:rPr>
          <w:rFonts w:ascii="Times New Roman" w:hAnsi="Times New Roman" w:cs="Times New Roman"/>
          <w:lang w:val="en-US"/>
        </w:rPr>
        <w:t xml:space="preserve">higher education </w:t>
      </w:r>
      <w:r w:rsidRPr="00905499">
        <w:rPr>
          <w:rFonts w:ascii="Times New Roman" w:hAnsi="Times New Roman" w:cs="Times New Roman"/>
          <w:lang w:val="en-US"/>
        </w:rPr>
        <w:t xml:space="preserve">outcomes. Results based on </w:t>
      </w:r>
      <w:r w:rsidR="00090F98" w:rsidRPr="00905499">
        <w:rPr>
          <w:rFonts w:ascii="Times New Roman" w:hAnsi="Times New Roman" w:cs="Times New Roman"/>
          <w:lang w:val="en-US"/>
        </w:rPr>
        <w:t xml:space="preserve">the </w:t>
      </w:r>
      <w:r w:rsidRPr="00905499">
        <w:rPr>
          <w:rFonts w:ascii="Times New Roman" w:hAnsi="Times New Roman" w:cs="Times New Roman"/>
          <w:lang w:val="en-US"/>
        </w:rPr>
        <w:t>distance</w:t>
      </w:r>
      <w:r w:rsidR="00090F98" w:rsidRPr="00905499">
        <w:rPr>
          <w:rFonts w:ascii="Times New Roman" w:hAnsi="Times New Roman" w:cs="Times New Roman"/>
          <w:lang w:val="en-US"/>
        </w:rPr>
        <w:t xml:space="preserve"> </w:t>
      </w:r>
      <w:r w:rsidR="000E0258" w:rsidRPr="00905499">
        <w:rPr>
          <w:rFonts w:ascii="Times New Roman" w:hAnsi="Times New Roman" w:cs="Times New Roman"/>
          <w:lang w:val="en-US"/>
        </w:rPr>
        <w:t xml:space="preserve">in </w:t>
      </w:r>
      <w:r w:rsidR="00BE7F22" w:rsidRPr="00905499">
        <w:rPr>
          <w:rFonts w:ascii="Times New Roman" w:hAnsi="Times New Roman" w:cs="Times New Roman"/>
          <w:lang w:val="en-US"/>
        </w:rPr>
        <w:t>kilometers</w:t>
      </w:r>
      <w:r w:rsidR="000E0258" w:rsidRPr="00905499">
        <w:rPr>
          <w:rFonts w:ascii="Times New Roman" w:hAnsi="Times New Roman" w:cs="Times New Roman"/>
          <w:lang w:val="en-US"/>
        </w:rPr>
        <w:t xml:space="preserve"> </w:t>
      </w:r>
      <w:r w:rsidRPr="00905499">
        <w:rPr>
          <w:rFonts w:ascii="Times New Roman" w:hAnsi="Times New Roman" w:cs="Times New Roman"/>
          <w:lang w:val="en-US"/>
        </w:rPr>
        <w:t xml:space="preserve">tend to </w:t>
      </w:r>
      <w:r w:rsidR="00090F98" w:rsidRPr="00905499">
        <w:rPr>
          <w:rFonts w:ascii="Times New Roman" w:hAnsi="Times New Roman" w:cs="Times New Roman"/>
          <w:lang w:val="en-US"/>
        </w:rPr>
        <w:t xml:space="preserve">provide </w:t>
      </w:r>
      <w:r w:rsidRPr="00905499">
        <w:rPr>
          <w:rFonts w:ascii="Times New Roman" w:hAnsi="Times New Roman" w:cs="Times New Roman"/>
          <w:lang w:val="en-US"/>
        </w:rPr>
        <w:t>consistent results</w:t>
      </w:r>
      <w:r w:rsidR="00090F98" w:rsidRPr="00905499">
        <w:rPr>
          <w:rFonts w:ascii="Times New Roman" w:hAnsi="Times New Roman" w:cs="Times New Roman"/>
          <w:lang w:val="en-US"/>
        </w:rPr>
        <w:t xml:space="preserve"> (see supplementary material)</w:t>
      </w:r>
      <w:r w:rsidRPr="00905499">
        <w:rPr>
          <w:rFonts w:ascii="Times New Roman" w:hAnsi="Times New Roman" w:cs="Times New Roman"/>
          <w:lang w:val="en-US"/>
        </w:rPr>
        <w:t xml:space="preserve">. </w:t>
      </w:r>
      <w:r w:rsidR="00090F98" w:rsidRPr="00905499">
        <w:rPr>
          <w:rFonts w:ascii="Times New Roman" w:hAnsi="Times New Roman" w:cs="Times New Roman"/>
          <w:lang w:val="en-US"/>
        </w:rPr>
        <w:t>W</w:t>
      </w:r>
      <w:r w:rsidRPr="00905499">
        <w:rPr>
          <w:rFonts w:ascii="Times New Roman" w:hAnsi="Times New Roman" w:cs="Times New Roman"/>
          <w:lang w:val="en-US"/>
        </w:rPr>
        <w:t>e first consider the main effects</w:t>
      </w:r>
      <w:r w:rsidR="006669AA" w:rsidRPr="00905499">
        <w:rPr>
          <w:rFonts w:ascii="Times New Roman" w:hAnsi="Times New Roman" w:cs="Times New Roman"/>
          <w:lang w:val="en-US"/>
        </w:rPr>
        <w:t xml:space="preserve"> of distance, condition</w:t>
      </w:r>
      <w:r w:rsidR="00090F98" w:rsidRPr="00905499">
        <w:rPr>
          <w:rFonts w:ascii="Times New Roman" w:hAnsi="Times New Roman" w:cs="Times New Roman"/>
          <w:lang w:val="en-US"/>
        </w:rPr>
        <w:t>al</w:t>
      </w:r>
      <w:r w:rsidR="006669AA" w:rsidRPr="00905499">
        <w:rPr>
          <w:rFonts w:ascii="Times New Roman" w:hAnsi="Times New Roman" w:cs="Times New Roman"/>
          <w:lang w:val="en-US"/>
        </w:rPr>
        <w:t xml:space="preserve"> </w:t>
      </w:r>
      <w:r w:rsidR="00090F98" w:rsidRPr="00905499">
        <w:rPr>
          <w:rFonts w:ascii="Times New Roman" w:hAnsi="Times New Roman" w:cs="Times New Roman"/>
          <w:lang w:val="en-US"/>
        </w:rPr>
        <w:t>up</w:t>
      </w:r>
      <w:r w:rsidR="006669AA" w:rsidRPr="00905499">
        <w:rPr>
          <w:rFonts w:ascii="Times New Roman" w:hAnsi="Times New Roman" w:cs="Times New Roman"/>
          <w:lang w:val="en-US"/>
        </w:rPr>
        <w:t>on all covariates, on</w:t>
      </w:r>
      <w:r w:rsidR="00090F98" w:rsidRPr="00905499">
        <w:rPr>
          <w:rFonts w:ascii="Times New Roman" w:hAnsi="Times New Roman" w:cs="Times New Roman"/>
          <w:lang w:val="en-US"/>
        </w:rPr>
        <w:t xml:space="preserve"> a) </w:t>
      </w:r>
      <w:r w:rsidR="006669AA" w:rsidRPr="00905499">
        <w:rPr>
          <w:rFonts w:ascii="Times New Roman" w:hAnsi="Times New Roman" w:cs="Times New Roman"/>
          <w:lang w:val="en-US"/>
        </w:rPr>
        <w:t>expectations of a university education</w:t>
      </w:r>
      <w:r w:rsidR="00090F98" w:rsidRPr="00905499">
        <w:rPr>
          <w:rFonts w:ascii="Times New Roman" w:hAnsi="Times New Roman" w:cs="Times New Roman"/>
          <w:lang w:val="en-US"/>
        </w:rPr>
        <w:t>, b)</w:t>
      </w:r>
      <w:r w:rsidR="006669AA" w:rsidRPr="00905499">
        <w:rPr>
          <w:rFonts w:ascii="Times New Roman" w:hAnsi="Times New Roman" w:cs="Times New Roman"/>
          <w:lang w:val="en-US"/>
        </w:rPr>
        <w:t xml:space="preserve"> university entry</w:t>
      </w:r>
      <w:r w:rsidR="00090F98" w:rsidRPr="00905499">
        <w:rPr>
          <w:rFonts w:ascii="Times New Roman" w:hAnsi="Times New Roman" w:cs="Times New Roman"/>
          <w:lang w:val="en-US"/>
        </w:rPr>
        <w:t xml:space="preserve"> and c)</w:t>
      </w:r>
      <w:r w:rsidR="006669AA" w:rsidRPr="00905499">
        <w:rPr>
          <w:rFonts w:ascii="Times New Roman" w:hAnsi="Times New Roman" w:cs="Times New Roman"/>
          <w:lang w:val="en-US"/>
        </w:rPr>
        <w:t xml:space="preserve"> entry into an elite university</w:t>
      </w:r>
      <w:r w:rsidRPr="00905499">
        <w:rPr>
          <w:rFonts w:ascii="Times New Roman" w:hAnsi="Times New Roman" w:cs="Times New Roman"/>
          <w:lang w:val="en-US"/>
        </w:rPr>
        <w:t xml:space="preserve">. </w:t>
      </w:r>
    </w:p>
    <w:p w14:paraId="3878BB59" w14:textId="40A55188" w:rsidR="004C38F5" w:rsidRPr="00905499" w:rsidRDefault="00C85EA7" w:rsidP="00EA5FDE">
      <w:pPr>
        <w:widowControl w:val="0"/>
        <w:autoSpaceDE w:val="0"/>
        <w:autoSpaceDN w:val="0"/>
        <w:adjustRightInd w:val="0"/>
        <w:spacing w:line="360" w:lineRule="auto"/>
        <w:ind w:firstLine="720"/>
        <w:rPr>
          <w:rFonts w:ascii="Times New Roman" w:hAnsi="Times New Roman" w:cs="Times New Roman"/>
          <w:lang w:val="en-US"/>
        </w:rPr>
      </w:pPr>
      <w:r w:rsidRPr="00905499">
        <w:rPr>
          <w:rFonts w:ascii="Times New Roman" w:hAnsi="Times New Roman" w:cs="Times New Roman"/>
          <w:lang w:val="en-US"/>
        </w:rPr>
        <w:t xml:space="preserve">Models are presented in the following order: a) the influence of having </w:t>
      </w:r>
      <w:r w:rsidRPr="00905499">
        <w:rPr>
          <w:rFonts w:ascii="Times New Roman" w:hAnsi="Times New Roman" w:cs="Times New Roman"/>
          <w:i/>
          <w:lang w:val="en-US"/>
        </w:rPr>
        <w:t>at least</w:t>
      </w:r>
      <w:r w:rsidRPr="00905499">
        <w:rPr>
          <w:rFonts w:ascii="Times New Roman" w:hAnsi="Times New Roman" w:cs="Times New Roman"/>
          <w:lang w:val="en-US"/>
        </w:rPr>
        <w:t xml:space="preserve"> one campus or elite campus in proximity, b) the influence of each additional campus in proximity, </w:t>
      </w:r>
      <w:r w:rsidR="00B91CC9" w:rsidRPr="00905499">
        <w:rPr>
          <w:rFonts w:ascii="Times New Roman" w:hAnsi="Times New Roman" w:cs="Times New Roman"/>
          <w:lang w:val="en-US"/>
        </w:rPr>
        <w:t xml:space="preserve">and </w:t>
      </w:r>
      <w:r w:rsidRPr="00905499">
        <w:rPr>
          <w:rFonts w:ascii="Times New Roman" w:hAnsi="Times New Roman" w:cs="Times New Roman"/>
          <w:lang w:val="en-US"/>
        </w:rPr>
        <w:t xml:space="preserve">c) </w:t>
      </w:r>
      <w:r w:rsidR="00090F98" w:rsidRPr="00905499">
        <w:rPr>
          <w:rFonts w:ascii="Times New Roman" w:hAnsi="Times New Roman" w:cs="Times New Roman"/>
          <w:lang w:val="en-US"/>
        </w:rPr>
        <w:t>adding an additional term for the</w:t>
      </w:r>
      <w:r w:rsidRPr="00905499">
        <w:rPr>
          <w:rFonts w:ascii="Times New Roman" w:hAnsi="Times New Roman" w:cs="Times New Roman"/>
          <w:lang w:val="en-US"/>
        </w:rPr>
        <w:t xml:space="preserve"> number of campuses squared</w:t>
      </w:r>
      <w:r w:rsidR="00090F98" w:rsidRPr="00905499">
        <w:rPr>
          <w:rFonts w:ascii="Times New Roman" w:hAnsi="Times New Roman" w:cs="Times New Roman"/>
          <w:lang w:val="en-US"/>
        </w:rPr>
        <w:t xml:space="preserve"> (under the assumption that there is likely a saturation point</w:t>
      </w:r>
      <w:r w:rsidR="00B91CC9" w:rsidRPr="00905499">
        <w:rPr>
          <w:rFonts w:ascii="Times New Roman" w:hAnsi="Times New Roman" w:cs="Times New Roman"/>
          <w:lang w:val="en-US"/>
        </w:rPr>
        <w:t xml:space="preserve"> [turning point of quadratic effect]</w:t>
      </w:r>
      <w:r w:rsidR="00090F98" w:rsidRPr="00905499">
        <w:rPr>
          <w:rFonts w:ascii="Times New Roman" w:hAnsi="Times New Roman" w:cs="Times New Roman"/>
          <w:lang w:val="en-US"/>
        </w:rPr>
        <w:t xml:space="preserve"> beyond which any additional university is of little consequence</w:t>
      </w:r>
      <w:r w:rsidR="00B91CC9" w:rsidRPr="00905499">
        <w:rPr>
          <w:rFonts w:ascii="Times New Roman" w:hAnsi="Times New Roman" w:cs="Times New Roman"/>
          <w:lang w:val="en-US"/>
        </w:rPr>
        <w:t>)</w:t>
      </w:r>
      <w:r w:rsidRPr="00905499">
        <w:rPr>
          <w:rFonts w:ascii="Times New Roman" w:hAnsi="Times New Roman" w:cs="Times New Roman"/>
          <w:lang w:val="en-US"/>
        </w:rPr>
        <w:t>.</w:t>
      </w:r>
      <w:r w:rsidR="004C38F5" w:rsidRPr="00905499">
        <w:rPr>
          <w:rFonts w:ascii="Times New Roman" w:hAnsi="Times New Roman" w:cs="Times New Roman"/>
          <w:lang w:val="en-US"/>
        </w:rPr>
        <w:t xml:space="preserve"> The </w:t>
      </w:r>
      <w:r w:rsidR="0079426C" w:rsidRPr="00905499">
        <w:rPr>
          <w:rFonts w:ascii="Times New Roman" w:hAnsi="Times New Roman" w:cs="Times New Roman"/>
          <w:lang w:val="en-US"/>
        </w:rPr>
        <w:t xml:space="preserve">average </w:t>
      </w:r>
      <w:r w:rsidR="004C38F5" w:rsidRPr="00905499">
        <w:rPr>
          <w:rFonts w:ascii="Times New Roman" w:hAnsi="Times New Roman" w:cs="Times New Roman"/>
          <w:lang w:val="en-US"/>
        </w:rPr>
        <w:t>saturation point was estimated using the equation:</w:t>
      </w:r>
    </w:p>
    <w:p w14:paraId="5B73E63E" w14:textId="54B8EAD8" w:rsidR="004C38F5" w:rsidRPr="00905499" w:rsidRDefault="004C38F5" w:rsidP="00EA5FDE">
      <w:pPr>
        <w:widowControl w:val="0"/>
        <w:autoSpaceDE w:val="0"/>
        <w:autoSpaceDN w:val="0"/>
        <w:adjustRightInd w:val="0"/>
        <w:spacing w:line="360" w:lineRule="auto"/>
        <w:jc w:val="center"/>
        <w:rPr>
          <w:rFonts w:ascii="Times New Roman" w:hAnsi="Times New Roman" w:cs="Times New Roman"/>
          <w:lang w:val="en-US"/>
        </w:rPr>
      </w:pPr>
      <m:oMathPara>
        <m:oMath>
          <m:r>
            <w:rPr>
              <w:rFonts w:ascii="Cambria Math" w:hAnsi="Cambria Math" w:cs="Times New Roman"/>
              <w:lang w:val="en-US"/>
            </w:rPr>
            <m:t>x= -</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1</m:t>
              </m:r>
            </m:sub>
          </m:s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2</m:t>
              </m:r>
            </m:sub>
          </m:sSub>
          <m:r>
            <w:rPr>
              <w:rFonts w:ascii="Cambria Math" w:hAnsi="Cambria Math" w:cs="Times New Roman"/>
              <w:lang w:val="en-US"/>
            </w:rPr>
            <m:t>)</m:t>
          </m:r>
        </m:oMath>
      </m:oMathPara>
    </w:p>
    <w:p w14:paraId="78A2ACF7" w14:textId="3670DBD1" w:rsidR="00555D17" w:rsidRPr="00905499" w:rsidRDefault="004C38F5" w:rsidP="00EA5FDE">
      <w:pPr>
        <w:spacing w:line="360" w:lineRule="auto"/>
        <w:jc w:val="both"/>
        <w:rPr>
          <w:rFonts w:ascii="Times New Roman" w:hAnsi="Times New Roman" w:cs="Times New Roman"/>
          <w:lang w:val="en-US"/>
        </w:rPr>
      </w:pPr>
      <w:proofErr w:type="gramStart"/>
      <w:r w:rsidRPr="00905499">
        <w:rPr>
          <w:rFonts w:ascii="Times New Roman" w:hAnsi="Times New Roman" w:cs="Times New Roman"/>
          <w:lang w:val="en-US"/>
        </w:rPr>
        <w:t>where</w:t>
      </w:r>
      <w:proofErr w:type="gramEnd"/>
      <w:r w:rsidRPr="00905499">
        <w:rPr>
          <w:rFonts w:ascii="Times New Roman" w:hAnsi="Times New Roman" w:cs="Times New Roman"/>
          <w:lang w:val="en-US"/>
        </w:rPr>
        <w:t xml:space="preserve"> x is the number of campuses at which any additional campus provides no added benefit (i.e., the saturation point). </w:t>
      </w:r>
      <m:oMath>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1</m:t>
            </m:r>
          </m:sub>
        </m:sSub>
      </m:oMath>
      <w:r w:rsidRPr="00905499">
        <w:rPr>
          <w:rFonts w:ascii="Times New Roman" w:hAnsi="Times New Roman" w:cs="Times New Roman"/>
          <w:lang w:val="en-US"/>
        </w:rPr>
        <w:t xml:space="preserve"> </w:t>
      </w:r>
      <w:proofErr w:type="gramStart"/>
      <w:r w:rsidRPr="00905499">
        <w:rPr>
          <w:rFonts w:ascii="Times New Roman" w:hAnsi="Times New Roman" w:cs="Times New Roman"/>
          <w:lang w:val="en-US"/>
        </w:rPr>
        <w:t>is</w:t>
      </w:r>
      <w:proofErr w:type="gramEnd"/>
      <w:r w:rsidRPr="00905499">
        <w:rPr>
          <w:rFonts w:ascii="Times New Roman" w:hAnsi="Times New Roman" w:cs="Times New Roman"/>
          <w:lang w:val="en-US"/>
        </w:rPr>
        <w:t xml:space="preserve"> the log-odds effect of an additional campus and </w:t>
      </w:r>
      <m:oMath>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2</m:t>
            </m:r>
          </m:sub>
        </m:sSub>
      </m:oMath>
      <w:r w:rsidRPr="00905499">
        <w:rPr>
          <w:rFonts w:ascii="Times New Roman" w:hAnsi="Times New Roman" w:cs="Times New Roman"/>
          <w:lang w:val="en-US"/>
        </w:rPr>
        <w:t xml:space="preserve"> is the log-odds effect of an additional campus squared.</w:t>
      </w:r>
    </w:p>
    <w:p w14:paraId="769EF730" w14:textId="5BE08682" w:rsidR="00C85EA7" w:rsidRPr="00905499" w:rsidRDefault="00C85EA7" w:rsidP="0010165D">
      <w:pPr>
        <w:spacing w:line="360" w:lineRule="auto"/>
        <w:ind w:firstLine="720"/>
        <w:jc w:val="both"/>
        <w:rPr>
          <w:rFonts w:ascii="Times New Roman" w:hAnsi="Times New Roman" w:cs="Times New Roman"/>
          <w:lang w:val="en-US"/>
        </w:rPr>
      </w:pPr>
      <w:proofErr w:type="gramStart"/>
      <w:r w:rsidRPr="00905499">
        <w:rPr>
          <w:rFonts w:ascii="Times New Roman" w:hAnsi="Times New Roman" w:cs="Times New Roman"/>
          <w:lang w:val="en-US"/>
        </w:rPr>
        <w:t>Models in which the response variable is university entry or entry into an elite university also control for university expectations at age 15.</w:t>
      </w:r>
      <w:proofErr w:type="gramEnd"/>
      <w:r w:rsidRPr="00905499">
        <w:rPr>
          <w:rFonts w:ascii="Times New Roman" w:hAnsi="Times New Roman" w:cs="Times New Roman"/>
          <w:lang w:val="en-US"/>
        </w:rPr>
        <w:t xml:space="preserve"> Finally it is important to note that models in which the response variable is entry into an elite university are conducted only on the subsample of those who entered any university</w:t>
      </w:r>
      <w:r w:rsidR="00090F98" w:rsidRPr="00905499">
        <w:rPr>
          <w:rFonts w:ascii="Times New Roman" w:hAnsi="Times New Roman" w:cs="Times New Roman"/>
          <w:lang w:val="en-US"/>
        </w:rPr>
        <w:t>. This is because it is only for this group that</w:t>
      </w:r>
      <w:r w:rsidR="006669AA" w:rsidRPr="00905499">
        <w:rPr>
          <w:rFonts w:ascii="Times New Roman" w:hAnsi="Times New Roman" w:cs="Times New Roman"/>
          <w:lang w:val="en-US"/>
        </w:rPr>
        <w:t xml:space="preserve"> institution choice is </w:t>
      </w:r>
      <w:r w:rsidR="00E77472" w:rsidRPr="00905499">
        <w:rPr>
          <w:rFonts w:ascii="Times New Roman" w:hAnsi="Times New Roman" w:cs="Times New Roman"/>
          <w:lang w:val="en-US"/>
        </w:rPr>
        <w:t>relevant</w:t>
      </w:r>
      <w:r w:rsidRPr="00905499">
        <w:rPr>
          <w:rFonts w:ascii="Times New Roman" w:hAnsi="Times New Roman" w:cs="Times New Roman"/>
          <w:lang w:val="en-US"/>
        </w:rPr>
        <w:t>.</w:t>
      </w:r>
      <w:r w:rsidR="00D32A51" w:rsidRPr="00905499">
        <w:rPr>
          <w:rFonts w:ascii="Times New Roman" w:hAnsi="Times New Roman" w:cs="Times New Roman"/>
          <w:lang w:val="en-US"/>
        </w:rPr>
        <w:t xml:space="preserve"> In addition, we focus on distance as measured in relation to the number of elite university campuses in proximity. Results relating to number of any university campus in proximity were </w:t>
      </w:r>
      <w:r w:rsidR="00D32A51" w:rsidRPr="00905499">
        <w:rPr>
          <w:rFonts w:ascii="Times New Roman" w:hAnsi="Times New Roman" w:cs="Times New Roman"/>
          <w:lang w:val="en-US"/>
        </w:rPr>
        <w:lastRenderedPageBreak/>
        <w:t>much smaller and occasionally no</w:t>
      </w:r>
      <w:r w:rsidR="00FC3861" w:rsidRPr="00905499">
        <w:rPr>
          <w:rFonts w:ascii="Times New Roman" w:hAnsi="Times New Roman" w:cs="Times New Roman"/>
          <w:lang w:val="en-US"/>
        </w:rPr>
        <w:t xml:space="preserve">t statistically </w:t>
      </w:r>
      <w:r w:rsidR="00D32A51" w:rsidRPr="00905499">
        <w:rPr>
          <w:rFonts w:ascii="Times New Roman" w:hAnsi="Times New Roman" w:cs="Times New Roman"/>
          <w:lang w:val="en-US"/>
        </w:rPr>
        <w:t>significant (see online appendix for results).</w:t>
      </w:r>
    </w:p>
    <w:p w14:paraId="530C478C" w14:textId="77777777" w:rsidR="007B23D6" w:rsidRPr="00905499" w:rsidRDefault="00315A3B" w:rsidP="007B23D6">
      <w:pPr>
        <w:spacing w:line="360" w:lineRule="auto"/>
        <w:jc w:val="both"/>
        <w:rPr>
          <w:rFonts w:ascii="Times New Roman" w:hAnsi="Times New Roman" w:cs="Times New Roman"/>
          <w:b/>
          <w:i/>
          <w:lang w:val="en-US"/>
        </w:rPr>
      </w:pPr>
      <w:r w:rsidRPr="00905499">
        <w:rPr>
          <w:rFonts w:ascii="Times New Roman" w:hAnsi="Times New Roman" w:cs="Times New Roman"/>
          <w:b/>
          <w:lang w:val="en-US"/>
        </w:rPr>
        <w:t>University Aspirations</w:t>
      </w:r>
    </w:p>
    <w:p w14:paraId="72633A9B" w14:textId="1921B37B" w:rsidR="00455A23" w:rsidRPr="00905499" w:rsidRDefault="00665B59" w:rsidP="007B23D6">
      <w:pPr>
        <w:spacing w:line="360" w:lineRule="auto"/>
        <w:ind w:firstLine="720"/>
        <w:jc w:val="both"/>
        <w:rPr>
          <w:rFonts w:ascii="Times New Roman" w:hAnsi="Times New Roman" w:cs="Times New Roman"/>
          <w:lang w:val="en-US"/>
        </w:rPr>
      </w:pPr>
      <w:r w:rsidRPr="00905499">
        <w:rPr>
          <w:rFonts w:ascii="Times New Roman" w:hAnsi="Times New Roman" w:cs="Times New Roman"/>
          <w:b/>
          <w:i/>
          <w:lang w:val="en-US"/>
        </w:rPr>
        <w:t xml:space="preserve"> </w:t>
      </w:r>
      <w:r w:rsidR="00D13296" w:rsidRPr="00905499">
        <w:rPr>
          <w:rFonts w:ascii="Times New Roman" w:hAnsi="Times New Roman" w:cs="Times New Roman"/>
          <w:lang w:val="en-US"/>
        </w:rPr>
        <w:t xml:space="preserve">Table </w:t>
      </w:r>
      <w:r w:rsidR="006264D7" w:rsidRPr="00905499">
        <w:rPr>
          <w:rFonts w:ascii="Times New Roman" w:hAnsi="Times New Roman" w:cs="Times New Roman"/>
          <w:lang w:val="en-US"/>
        </w:rPr>
        <w:t>3</w:t>
      </w:r>
      <w:r w:rsidR="00D13296" w:rsidRPr="00905499">
        <w:rPr>
          <w:rFonts w:ascii="Times New Roman" w:hAnsi="Times New Roman" w:cs="Times New Roman"/>
          <w:lang w:val="en-US"/>
        </w:rPr>
        <w:t xml:space="preserve"> presents the findings </w:t>
      </w:r>
      <w:r w:rsidR="00C85EA7" w:rsidRPr="00905499">
        <w:rPr>
          <w:rFonts w:ascii="Times New Roman" w:hAnsi="Times New Roman" w:cs="Times New Roman"/>
          <w:lang w:val="en-US"/>
        </w:rPr>
        <w:t xml:space="preserve">in log-odds </w:t>
      </w:r>
      <w:r w:rsidR="006264D7" w:rsidRPr="00905499">
        <w:rPr>
          <w:rFonts w:ascii="Times New Roman" w:hAnsi="Times New Roman" w:cs="Times New Roman"/>
          <w:lang w:val="en-US"/>
        </w:rPr>
        <w:t>of distance measures predicting expectations of a university education</w:t>
      </w:r>
      <w:r w:rsidR="00D13296" w:rsidRPr="00905499">
        <w:rPr>
          <w:rFonts w:ascii="Times New Roman" w:hAnsi="Times New Roman" w:cs="Times New Roman"/>
          <w:lang w:val="en-US"/>
        </w:rPr>
        <w:t xml:space="preserve">. </w:t>
      </w:r>
      <w:r w:rsidR="00455A23" w:rsidRPr="00905499">
        <w:rPr>
          <w:rFonts w:ascii="Times New Roman" w:hAnsi="Times New Roman" w:cs="Times New Roman"/>
          <w:lang w:val="en-US"/>
        </w:rPr>
        <w:t>Supporting the anticipatory decision hypothesis, r</w:t>
      </w:r>
      <w:r w:rsidR="006264D7" w:rsidRPr="00905499">
        <w:rPr>
          <w:rFonts w:ascii="Times New Roman" w:hAnsi="Times New Roman" w:cs="Times New Roman"/>
          <w:lang w:val="en-US"/>
        </w:rPr>
        <w:t xml:space="preserve">esults suggested that the </w:t>
      </w:r>
      <w:r w:rsidR="00B43EBC" w:rsidRPr="00905499">
        <w:rPr>
          <w:rFonts w:ascii="Times New Roman" w:hAnsi="Times New Roman" w:cs="Times New Roman"/>
          <w:lang w:val="en-US"/>
        </w:rPr>
        <w:t>probability (evaluated at mean or mode of all covariates)</w:t>
      </w:r>
      <w:r w:rsidR="006264D7" w:rsidRPr="00905499">
        <w:rPr>
          <w:rFonts w:ascii="Times New Roman" w:hAnsi="Times New Roman" w:cs="Times New Roman"/>
          <w:lang w:val="en-US"/>
        </w:rPr>
        <w:t xml:space="preserve"> of </w:t>
      </w:r>
      <w:r w:rsidR="00B43EBC" w:rsidRPr="00905499">
        <w:rPr>
          <w:rFonts w:ascii="Times New Roman" w:hAnsi="Times New Roman" w:cs="Times New Roman"/>
          <w:lang w:val="en-US"/>
        </w:rPr>
        <w:t xml:space="preserve">expecting </w:t>
      </w:r>
      <w:r w:rsidR="006264D7" w:rsidRPr="00905499">
        <w:rPr>
          <w:rFonts w:ascii="Times New Roman" w:hAnsi="Times New Roman" w:cs="Times New Roman"/>
          <w:lang w:val="en-US"/>
        </w:rPr>
        <w:t xml:space="preserve">a university level of education for </w:t>
      </w:r>
      <w:r w:rsidR="00090F98" w:rsidRPr="00905499">
        <w:rPr>
          <w:rFonts w:ascii="Times New Roman" w:hAnsi="Times New Roman" w:cs="Times New Roman"/>
          <w:lang w:val="en-US"/>
        </w:rPr>
        <w:t>young people</w:t>
      </w:r>
      <w:r w:rsidR="006264D7" w:rsidRPr="00905499">
        <w:rPr>
          <w:rFonts w:ascii="Times New Roman" w:hAnsi="Times New Roman" w:cs="Times New Roman"/>
          <w:lang w:val="en-US"/>
        </w:rPr>
        <w:t xml:space="preserve"> with at least </w:t>
      </w:r>
      <w:r w:rsidR="00090F98" w:rsidRPr="00905499">
        <w:rPr>
          <w:rFonts w:ascii="Times New Roman" w:hAnsi="Times New Roman" w:cs="Times New Roman"/>
          <w:lang w:val="en-US"/>
        </w:rPr>
        <w:t>one</w:t>
      </w:r>
      <w:r w:rsidR="006264D7" w:rsidRPr="00905499">
        <w:rPr>
          <w:rFonts w:ascii="Times New Roman" w:hAnsi="Times New Roman" w:cs="Times New Roman"/>
          <w:lang w:val="en-US"/>
        </w:rPr>
        <w:t xml:space="preserve"> campus in proximity was</w:t>
      </w:r>
      <w:r w:rsidR="00F173B7" w:rsidRPr="00905499">
        <w:rPr>
          <w:rFonts w:ascii="Times New Roman" w:hAnsi="Times New Roman" w:cs="Times New Roman"/>
          <w:lang w:val="en-US"/>
        </w:rPr>
        <w:t xml:space="preserve"> 0</w:t>
      </w:r>
      <w:r w:rsidR="00B43EBC" w:rsidRPr="00905499">
        <w:rPr>
          <w:rFonts w:ascii="Times New Roman" w:hAnsi="Times New Roman" w:cs="Times New Roman"/>
          <w:lang w:val="en-US"/>
        </w:rPr>
        <w:t>.63</w:t>
      </w:r>
      <w:r w:rsidR="00F173B7" w:rsidRPr="00905499">
        <w:rPr>
          <w:rFonts w:ascii="Times New Roman" w:hAnsi="Times New Roman" w:cs="Times New Roman"/>
          <w:lang w:val="en-US"/>
        </w:rPr>
        <w:t>. This compared to a probability of 0</w:t>
      </w:r>
      <w:r w:rsidR="00B43EBC" w:rsidRPr="00905499">
        <w:rPr>
          <w:rFonts w:ascii="Times New Roman" w:hAnsi="Times New Roman" w:cs="Times New Roman"/>
          <w:lang w:val="en-US"/>
        </w:rPr>
        <w:t>.51 for those</w:t>
      </w:r>
      <w:r w:rsidR="00F173B7" w:rsidRPr="00905499">
        <w:rPr>
          <w:rFonts w:ascii="Times New Roman" w:hAnsi="Times New Roman" w:cs="Times New Roman"/>
          <w:lang w:val="en-US"/>
        </w:rPr>
        <w:t xml:space="preserve"> individuals</w:t>
      </w:r>
      <w:r w:rsidR="00B43EBC" w:rsidRPr="00905499">
        <w:rPr>
          <w:rFonts w:ascii="Times New Roman" w:hAnsi="Times New Roman" w:cs="Times New Roman"/>
          <w:lang w:val="en-US"/>
        </w:rPr>
        <w:t xml:space="preserve"> without a campus in proximity</w:t>
      </w:r>
      <w:r w:rsidR="006264D7" w:rsidRPr="00905499">
        <w:rPr>
          <w:rFonts w:ascii="Times New Roman" w:hAnsi="Times New Roman" w:cs="Times New Roman"/>
          <w:lang w:val="en-US"/>
        </w:rPr>
        <w:t>.</w:t>
      </w:r>
      <w:r w:rsidR="00F173B7" w:rsidRPr="00905499">
        <w:rPr>
          <w:rFonts w:ascii="Times New Roman" w:hAnsi="Times New Roman" w:cs="Times New Roman"/>
          <w:lang w:val="en-US"/>
        </w:rPr>
        <w:t xml:space="preserve"> A difference of this magnitude (12 percentage points) is large, and statistically significant at conventional thresholds.</w:t>
      </w:r>
      <w:r w:rsidR="006264D7" w:rsidRPr="00905499">
        <w:rPr>
          <w:rFonts w:ascii="Times New Roman" w:hAnsi="Times New Roman" w:cs="Times New Roman"/>
          <w:lang w:val="en-US"/>
        </w:rPr>
        <w:t xml:space="preserve"> </w:t>
      </w:r>
      <w:r w:rsidR="00F173B7" w:rsidRPr="00905499">
        <w:rPr>
          <w:rFonts w:ascii="Times New Roman" w:hAnsi="Times New Roman" w:cs="Times New Roman"/>
          <w:lang w:val="en-US"/>
        </w:rPr>
        <w:t>Our analysis also suggested that the relationship between the number of universities in proximity and the chances of expecting to enter university were non-linear. In particular, the</w:t>
      </w:r>
      <w:r w:rsidR="006264D7" w:rsidRPr="00905499">
        <w:rPr>
          <w:rFonts w:ascii="Times New Roman" w:hAnsi="Times New Roman" w:cs="Times New Roman"/>
          <w:lang w:val="en-US"/>
        </w:rPr>
        <w:t xml:space="preserve"> </w:t>
      </w:r>
      <w:r w:rsidR="00F173B7" w:rsidRPr="00905499">
        <w:rPr>
          <w:rFonts w:ascii="Times New Roman" w:hAnsi="Times New Roman" w:cs="Times New Roman"/>
          <w:lang w:val="en-US"/>
        </w:rPr>
        <w:t xml:space="preserve">quadratic term was sizeable and statistically significant, suggesting </w:t>
      </w:r>
      <w:r w:rsidR="006264D7" w:rsidRPr="00905499">
        <w:rPr>
          <w:rFonts w:ascii="Times New Roman" w:hAnsi="Times New Roman" w:cs="Times New Roman"/>
          <w:lang w:val="en-US"/>
        </w:rPr>
        <w:t xml:space="preserve">that </w:t>
      </w:r>
      <w:r w:rsidR="007932F3" w:rsidRPr="00905499">
        <w:rPr>
          <w:rFonts w:ascii="Times New Roman" w:hAnsi="Times New Roman" w:cs="Times New Roman"/>
          <w:lang w:val="en-US"/>
        </w:rPr>
        <w:t>beyond 24</w:t>
      </w:r>
      <w:r w:rsidR="00CC1636" w:rsidRPr="00905499">
        <w:rPr>
          <w:rFonts w:ascii="Times New Roman" w:hAnsi="Times New Roman" w:cs="Times New Roman"/>
          <w:lang w:val="en-US"/>
        </w:rPr>
        <w:t xml:space="preserve"> campuses</w:t>
      </w:r>
      <w:r w:rsidR="007932F3" w:rsidRPr="00905499">
        <w:rPr>
          <w:rFonts w:ascii="Times New Roman" w:hAnsi="Times New Roman" w:cs="Times New Roman"/>
          <w:lang w:val="en-US"/>
        </w:rPr>
        <w:t xml:space="preserve"> in proximity there was no additional benefit of an additional campus in proximity</w:t>
      </w:r>
      <w:r w:rsidR="00CC1636" w:rsidRPr="00905499">
        <w:rPr>
          <w:rFonts w:ascii="Times New Roman" w:hAnsi="Times New Roman" w:cs="Times New Roman"/>
          <w:lang w:val="en-US"/>
        </w:rPr>
        <w:t xml:space="preserve"> (estimated turning point for the quadratic effect)</w:t>
      </w:r>
      <w:r w:rsidR="00AA4DCD" w:rsidRPr="00905499">
        <w:rPr>
          <w:rFonts w:ascii="Times New Roman" w:hAnsi="Times New Roman" w:cs="Times New Roman"/>
          <w:lang w:val="en-US"/>
        </w:rPr>
        <w:t>.</w:t>
      </w:r>
      <w:r w:rsidR="00455A23" w:rsidRPr="00905499">
        <w:rPr>
          <w:rFonts w:ascii="Times New Roman" w:hAnsi="Times New Roman" w:cs="Times New Roman"/>
          <w:lang w:val="en-US"/>
        </w:rPr>
        <w:t xml:space="preserve"> </w:t>
      </w:r>
    </w:p>
    <w:p w14:paraId="3EC99AAF" w14:textId="14DF4F42" w:rsidR="00455A23" w:rsidRPr="00905499" w:rsidRDefault="00455A23" w:rsidP="00455A23">
      <w:pPr>
        <w:spacing w:line="360" w:lineRule="auto"/>
        <w:ind w:firstLine="720"/>
        <w:jc w:val="both"/>
        <w:rPr>
          <w:rFonts w:ascii="Times New Roman" w:hAnsi="Times New Roman" w:cs="Times New Roman"/>
          <w:lang w:val="en-US"/>
        </w:rPr>
      </w:pPr>
      <w:r w:rsidRPr="00905499">
        <w:rPr>
          <w:rFonts w:ascii="Times New Roman" w:hAnsi="Times New Roman" w:cs="Times New Roman"/>
          <w:lang w:val="en-US"/>
        </w:rPr>
        <w:t xml:space="preserve">In addition, Table </w:t>
      </w:r>
      <w:r w:rsidR="0023150C" w:rsidRPr="00905499">
        <w:rPr>
          <w:rFonts w:ascii="Times New Roman" w:hAnsi="Times New Roman" w:cs="Times New Roman"/>
          <w:lang w:val="en-US"/>
        </w:rPr>
        <w:t xml:space="preserve">3 </w:t>
      </w:r>
      <w:r w:rsidRPr="00905499">
        <w:rPr>
          <w:rFonts w:ascii="Times New Roman" w:hAnsi="Times New Roman" w:cs="Times New Roman"/>
          <w:lang w:val="en-US"/>
        </w:rPr>
        <w:t>shows that there was a significant interaction between socioeconomic status and distance. Here we use one standard deviation above (hereafter richer) and one standard deviation below (hereafter poorer) the Australian mean of the ESCS index as reference points.</w:t>
      </w:r>
      <w:r w:rsidRPr="00905499">
        <w:rPr>
          <w:rStyle w:val="FootnoteReference"/>
          <w:rFonts w:ascii="Times New Roman" w:hAnsi="Times New Roman" w:cs="Times New Roman"/>
          <w:lang w:val="en-US"/>
        </w:rPr>
        <w:footnoteReference w:id="2"/>
      </w:r>
      <w:r w:rsidRPr="00905499">
        <w:rPr>
          <w:rFonts w:ascii="Times New Roman" w:hAnsi="Times New Roman" w:cs="Times New Roman"/>
          <w:lang w:val="en-US"/>
        </w:rPr>
        <w:t xml:space="preserve"> The probability of expecting a university level of education, when at least one university campus was in proximity, was 0.62 for poorer children. This compared to a probability of 0.48 when there was no university campus nearby – a difference of 14 percentage points. In contrast, the advantage of having a university campus close by for children from affluent backgrounds is significantly smalle</w:t>
      </w:r>
      <w:r w:rsidR="00337A63" w:rsidRPr="00905499">
        <w:rPr>
          <w:rFonts w:ascii="Times New Roman" w:hAnsi="Times New Roman" w:cs="Times New Roman"/>
          <w:lang w:val="en-US"/>
        </w:rPr>
        <w:t>r. Specifically, they have a 68-</w:t>
      </w:r>
      <w:r w:rsidRPr="00905499">
        <w:rPr>
          <w:rFonts w:ascii="Times New Roman" w:hAnsi="Times New Roman" w:cs="Times New Roman"/>
          <w:lang w:val="en-US"/>
        </w:rPr>
        <w:t>percent chance of entering university if at leas</w:t>
      </w:r>
      <w:r w:rsidR="00337A63" w:rsidRPr="00905499">
        <w:rPr>
          <w:rFonts w:ascii="Times New Roman" w:hAnsi="Times New Roman" w:cs="Times New Roman"/>
          <w:lang w:val="en-US"/>
        </w:rPr>
        <w:t>t one campus is close by and 63-</w:t>
      </w:r>
      <w:r w:rsidRPr="00905499">
        <w:rPr>
          <w:rFonts w:ascii="Times New Roman" w:hAnsi="Times New Roman" w:cs="Times New Roman"/>
          <w:lang w:val="en-US"/>
        </w:rPr>
        <w:t xml:space="preserve">percent if not (a difference of just five percentage points). </w:t>
      </w:r>
      <w:r w:rsidR="007932F3" w:rsidRPr="00905499">
        <w:rPr>
          <w:rFonts w:ascii="Times New Roman" w:hAnsi="Times New Roman" w:cs="Times New Roman"/>
          <w:lang w:val="en-US"/>
        </w:rPr>
        <w:t xml:space="preserve">Interestingly, the saturation point was also reached much quicker for the richer kids (20 campuses) than for the poorer kids (26 campuses). </w:t>
      </w:r>
      <w:r w:rsidRPr="00905499">
        <w:rPr>
          <w:rFonts w:ascii="Times New Roman" w:hAnsi="Times New Roman" w:cs="Times New Roman"/>
          <w:lang w:val="en-US"/>
        </w:rPr>
        <w:t xml:space="preserve">The </w:t>
      </w:r>
      <w:proofErr w:type="gramStart"/>
      <w:r w:rsidRPr="00905499">
        <w:rPr>
          <w:rFonts w:ascii="Times New Roman" w:hAnsi="Times New Roman" w:cs="Times New Roman"/>
          <w:lang w:val="en-US"/>
        </w:rPr>
        <w:t>implication of these results are</w:t>
      </w:r>
      <w:proofErr w:type="gramEnd"/>
      <w:r w:rsidRPr="00905499">
        <w:rPr>
          <w:rFonts w:ascii="Times New Roman" w:hAnsi="Times New Roman" w:cs="Times New Roman"/>
          <w:lang w:val="en-US"/>
        </w:rPr>
        <w:t xml:space="preserve"> demonstrated in Figure </w:t>
      </w:r>
      <w:r w:rsidR="00DA39A3" w:rsidRPr="00905499">
        <w:rPr>
          <w:rFonts w:ascii="Times New Roman" w:hAnsi="Times New Roman" w:cs="Times New Roman"/>
          <w:lang w:val="en-US"/>
        </w:rPr>
        <w:t>3</w:t>
      </w:r>
      <w:r w:rsidRPr="00905499">
        <w:rPr>
          <w:rFonts w:ascii="Times New Roman" w:hAnsi="Times New Roman" w:cs="Times New Roman"/>
          <w:lang w:val="en-US"/>
        </w:rPr>
        <w:t>, highlighting the particular benefit of living near to a university for children from disadvantaged backgrounds. No interaction was found for indigenous status by distance.</w:t>
      </w:r>
    </w:p>
    <w:p w14:paraId="079316D2" w14:textId="77777777" w:rsidR="000316E7" w:rsidRPr="00905499" w:rsidRDefault="000316E7" w:rsidP="00455A23">
      <w:pPr>
        <w:spacing w:line="360" w:lineRule="auto"/>
        <w:ind w:firstLine="720"/>
        <w:jc w:val="both"/>
        <w:rPr>
          <w:rFonts w:ascii="Times New Roman" w:hAnsi="Times New Roman" w:cs="Times New Roman"/>
          <w:lang w:val="en-US"/>
        </w:rPr>
      </w:pPr>
    </w:p>
    <w:p w14:paraId="30DF2FE9" w14:textId="77777777" w:rsidR="000316E7" w:rsidRPr="00905499" w:rsidRDefault="000316E7" w:rsidP="00455A23">
      <w:pPr>
        <w:spacing w:line="360" w:lineRule="auto"/>
        <w:ind w:firstLine="720"/>
        <w:jc w:val="both"/>
        <w:rPr>
          <w:rFonts w:ascii="Times New Roman" w:hAnsi="Times New Roman" w:cs="Times New Roman"/>
          <w:lang w:val="en-US"/>
        </w:rPr>
      </w:pPr>
    </w:p>
    <w:p w14:paraId="424C4A8D" w14:textId="77777777" w:rsidR="007B23D6" w:rsidRPr="00905499" w:rsidRDefault="00455A23" w:rsidP="007B23D6">
      <w:pPr>
        <w:spacing w:line="360" w:lineRule="auto"/>
        <w:jc w:val="both"/>
        <w:rPr>
          <w:rFonts w:ascii="Times New Roman" w:hAnsi="Times New Roman" w:cs="Times New Roman"/>
          <w:b/>
          <w:lang w:val="en-US"/>
        </w:rPr>
      </w:pPr>
      <w:r w:rsidRPr="00905499">
        <w:rPr>
          <w:rFonts w:ascii="Times New Roman" w:hAnsi="Times New Roman" w:cs="Times New Roman"/>
          <w:b/>
          <w:lang w:val="en-US"/>
        </w:rPr>
        <w:lastRenderedPageBreak/>
        <w:t xml:space="preserve">University Entry </w:t>
      </w:r>
    </w:p>
    <w:p w14:paraId="77CC61A4" w14:textId="03D4E7A1" w:rsidR="008B45CE" w:rsidRPr="00905499" w:rsidRDefault="00455A23" w:rsidP="004136A4">
      <w:pPr>
        <w:spacing w:line="360" w:lineRule="auto"/>
        <w:ind w:firstLine="720"/>
        <w:jc w:val="both"/>
        <w:rPr>
          <w:rFonts w:ascii="Times New Roman" w:hAnsi="Times New Roman" w:cs="Times New Roman"/>
          <w:lang w:val="en-US"/>
        </w:rPr>
      </w:pPr>
      <w:r w:rsidRPr="00905499">
        <w:rPr>
          <w:rFonts w:ascii="Times New Roman" w:hAnsi="Times New Roman" w:cs="Times New Roman"/>
          <w:lang w:val="en-US"/>
        </w:rPr>
        <w:t xml:space="preserve">We next considered the effect of distance on university entry, controlling for university aspirations and </w:t>
      </w:r>
      <w:r w:rsidR="00226079" w:rsidRPr="00905499">
        <w:rPr>
          <w:rFonts w:ascii="Times New Roman" w:hAnsi="Times New Roman" w:cs="Times New Roman"/>
          <w:lang w:val="en-US"/>
        </w:rPr>
        <w:t xml:space="preserve">socioeconomic status. Supporting the selection hypothesis </w:t>
      </w:r>
      <w:r w:rsidR="00F173B7" w:rsidRPr="00905499">
        <w:rPr>
          <w:rFonts w:ascii="Times New Roman" w:hAnsi="Times New Roman" w:cs="Times New Roman"/>
          <w:lang w:val="en-US"/>
        </w:rPr>
        <w:t xml:space="preserve">living </w:t>
      </w:r>
      <w:r w:rsidR="00AA4DCD" w:rsidRPr="00905499">
        <w:rPr>
          <w:rFonts w:ascii="Times New Roman" w:hAnsi="Times New Roman" w:cs="Times New Roman"/>
          <w:lang w:val="en-US"/>
        </w:rPr>
        <w:t>with</w:t>
      </w:r>
      <w:r w:rsidR="00F173B7" w:rsidRPr="00905499">
        <w:rPr>
          <w:rFonts w:ascii="Times New Roman" w:hAnsi="Times New Roman" w:cs="Times New Roman"/>
          <w:lang w:val="en-US"/>
        </w:rPr>
        <w:t>in commuting distance of</w:t>
      </w:r>
      <w:r w:rsidR="00AA4DCD" w:rsidRPr="00905499">
        <w:rPr>
          <w:rFonts w:ascii="Times New Roman" w:hAnsi="Times New Roman" w:cs="Times New Roman"/>
          <w:lang w:val="en-US"/>
        </w:rPr>
        <w:t xml:space="preserve"> at least one campus significant</w:t>
      </w:r>
      <w:r w:rsidR="00F173B7" w:rsidRPr="00905499">
        <w:rPr>
          <w:rFonts w:ascii="Times New Roman" w:hAnsi="Times New Roman" w:cs="Times New Roman"/>
          <w:lang w:val="en-US"/>
        </w:rPr>
        <w:t>ly</w:t>
      </w:r>
      <w:r w:rsidR="00AA4DCD" w:rsidRPr="00905499">
        <w:rPr>
          <w:rFonts w:ascii="Times New Roman" w:hAnsi="Times New Roman" w:cs="Times New Roman"/>
          <w:lang w:val="en-US"/>
        </w:rPr>
        <w:t xml:space="preserve"> </w:t>
      </w:r>
      <w:r w:rsidR="00F173B7" w:rsidRPr="00905499">
        <w:rPr>
          <w:rFonts w:ascii="Times New Roman" w:hAnsi="Times New Roman" w:cs="Times New Roman"/>
          <w:lang w:val="en-US"/>
        </w:rPr>
        <w:t>improved the chance of attendance. Specifically, young people with no univer</w:t>
      </w:r>
      <w:r w:rsidR="00441B3A" w:rsidRPr="00905499">
        <w:rPr>
          <w:rFonts w:ascii="Times New Roman" w:hAnsi="Times New Roman" w:cs="Times New Roman"/>
          <w:lang w:val="en-US"/>
        </w:rPr>
        <w:t>sity campus nearby had only a 42</w:t>
      </w:r>
      <w:r w:rsidR="00337A63" w:rsidRPr="00905499">
        <w:rPr>
          <w:rFonts w:ascii="Times New Roman" w:hAnsi="Times New Roman" w:cs="Times New Roman"/>
          <w:lang w:val="en-US"/>
        </w:rPr>
        <w:t>-</w:t>
      </w:r>
      <w:r w:rsidR="00F173B7" w:rsidRPr="00905499">
        <w:rPr>
          <w:rFonts w:ascii="Times New Roman" w:hAnsi="Times New Roman" w:cs="Times New Roman"/>
          <w:lang w:val="en-US"/>
        </w:rPr>
        <w:t>percent chance of ente</w:t>
      </w:r>
      <w:r w:rsidR="00337A63" w:rsidRPr="00905499">
        <w:rPr>
          <w:rFonts w:ascii="Times New Roman" w:hAnsi="Times New Roman" w:cs="Times New Roman"/>
          <w:lang w:val="en-US"/>
        </w:rPr>
        <w:t>ring university, compared to 50-</w:t>
      </w:r>
      <w:r w:rsidR="00F173B7" w:rsidRPr="00905499">
        <w:rPr>
          <w:rFonts w:ascii="Times New Roman" w:hAnsi="Times New Roman" w:cs="Times New Roman"/>
          <w:lang w:val="en-US"/>
        </w:rPr>
        <w:t>percent for those with at</w:t>
      </w:r>
      <w:r w:rsidR="00441B3A" w:rsidRPr="00905499">
        <w:rPr>
          <w:rFonts w:ascii="Times New Roman" w:hAnsi="Times New Roman" w:cs="Times New Roman"/>
          <w:lang w:val="en-US"/>
        </w:rPr>
        <w:t xml:space="preserve"> least one institution within </w:t>
      </w:r>
      <w:r w:rsidR="002403A9" w:rsidRPr="00905499">
        <w:rPr>
          <w:rFonts w:ascii="Times New Roman" w:hAnsi="Times New Roman" w:cs="Times New Roman"/>
          <w:lang w:val="en-US"/>
        </w:rPr>
        <w:t>20km</w:t>
      </w:r>
      <w:r w:rsidR="00F173B7" w:rsidRPr="00905499">
        <w:rPr>
          <w:rFonts w:ascii="Times New Roman" w:hAnsi="Times New Roman" w:cs="Times New Roman"/>
          <w:lang w:val="en-US"/>
        </w:rPr>
        <w:t xml:space="preserve"> proximity. </w:t>
      </w:r>
      <w:r w:rsidR="008B45CE" w:rsidRPr="00905499">
        <w:rPr>
          <w:rFonts w:ascii="Times New Roman" w:hAnsi="Times New Roman" w:cs="Times New Roman"/>
          <w:lang w:val="en-US"/>
        </w:rPr>
        <w:t>There was again also evidence of a non-linear relationship</w:t>
      </w:r>
      <w:r w:rsidR="001C06AC" w:rsidRPr="00905499">
        <w:rPr>
          <w:rFonts w:ascii="Times New Roman" w:hAnsi="Times New Roman" w:cs="Times New Roman"/>
          <w:lang w:val="en-US"/>
        </w:rPr>
        <w:t xml:space="preserve">. This suggested that </w:t>
      </w:r>
      <w:r w:rsidR="008B45CE" w:rsidRPr="00905499">
        <w:rPr>
          <w:rFonts w:ascii="Times New Roman" w:hAnsi="Times New Roman" w:cs="Times New Roman"/>
          <w:lang w:val="en-US"/>
        </w:rPr>
        <w:t>as</w:t>
      </w:r>
      <w:r w:rsidR="00AA4DCD" w:rsidRPr="00905499">
        <w:rPr>
          <w:rFonts w:ascii="Times New Roman" w:hAnsi="Times New Roman" w:cs="Times New Roman"/>
          <w:lang w:val="en-US"/>
        </w:rPr>
        <w:t xml:space="preserve"> </w:t>
      </w:r>
      <w:r w:rsidR="008B45CE" w:rsidRPr="00905499">
        <w:rPr>
          <w:rFonts w:ascii="Times New Roman" w:hAnsi="Times New Roman" w:cs="Times New Roman"/>
          <w:lang w:val="en-US"/>
        </w:rPr>
        <w:t>each additional campus within proximity led to a lower marginal increase in the chances of entering university</w:t>
      </w:r>
      <w:r w:rsidR="001C06AC" w:rsidRPr="00905499">
        <w:rPr>
          <w:rFonts w:ascii="Times New Roman" w:hAnsi="Times New Roman" w:cs="Times New Roman"/>
          <w:lang w:val="en-US"/>
        </w:rPr>
        <w:t xml:space="preserve"> until a saturation point was reached at 29 campuses (the turning point of the quadratic effect)</w:t>
      </w:r>
      <w:r w:rsidR="008B45CE" w:rsidRPr="00905499">
        <w:rPr>
          <w:rFonts w:ascii="Times New Roman" w:hAnsi="Times New Roman" w:cs="Times New Roman"/>
          <w:lang w:val="en-US"/>
        </w:rPr>
        <w:t>.</w:t>
      </w:r>
      <w:r w:rsidR="002D4D58" w:rsidRPr="00905499">
        <w:rPr>
          <w:rFonts w:ascii="Times New Roman" w:hAnsi="Times New Roman" w:cs="Times New Roman"/>
          <w:lang w:val="en-US"/>
        </w:rPr>
        <w:t xml:space="preserve"> </w:t>
      </w:r>
      <w:r w:rsidR="008B45CE" w:rsidRPr="00905499">
        <w:rPr>
          <w:rFonts w:ascii="Times New Roman" w:hAnsi="Times New Roman" w:cs="Times New Roman"/>
          <w:lang w:val="en-US"/>
        </w:rPr>
        <w:t xml:space="preserve">However, some caution is needed when interpreting this non-linearity, </w:t>
      </w:r>
      <w:proofErr w:type="gramStart"/>
      <w:r w:rsidR="008B45CE" w:rsidRPr="00905499">
        <w:rPr>
          <w:rFonts w:ascii="Times New Roman" w:hAnsi="Times New Roman" w:cs="Times New Roman"/>
          <w:lang w:val="en-US"/>
        </w:rPr>
        <w:t>as it is being driven by the upper tail of the distribution</w:t>
      </w:r>
      <w:proofErr w:type="gramEnd"/>
      <w:r w:rsidR="008B45CE" w:rsidRPr="00905499">
        <w:rPr>
          <w:rFonts w:ascii="Times New Roman" w:hAnsi="Times New Roman" w:cs="Times New Roman"/>
          <w:lang w:val="en-US"/>
        </w:rPr>
        <w:t xml:space="preserve"> (i.e. by individuals with an unusually large number of campuses nearby - </w:t>
      </w:r>
      <w:r w:rsidR="00912C24" w:rsidRPr="00905499">
        <w:rPr>
          <w:rFonts w:ascii="Times New Roman" w:hAnsi="Times New Roman" w:cs="Times New Roman"/>
          <w:lang w:val="en-US"/>
        </w:rPr>
        <w:t xml:space="preserve">see Figure </w:t>
      </w:r>
      <w:r w:rsidR="00DA39A3" w:rsidRPr="00905499">
        <w:rPr>
          <w:rFonts w:ascii="Times New Roman" w:hAnsi="Times New Roman" w:cs="Times New Roman"/>
          <w:lang w:val="en-US"/>
        </w:rPr>
        <w:t>4</w:t>
      </w:r>
      <w:r w:rsidR="00912C24" w:rsidRPr="00905499">
        <w:rPr>
          <w:rFonts w:ascii="Times New Roman" w:hAnsi="Times New Roman" w:cs="Times New Roman"/>
          <w:lang w:val="en-US"/>
        </w:rPr>
        <w:t>)</w:t>
      </w:r>
      <w:r w:rsidR="00AA4DCD" w:rsidRPr="00905499">
        <w:rPr>
          <w:rFonts w:ascii="Times New Roman" w:hAnsi="Times New Roman" w:cs="Times New Roman"/>
          <w:lang w:val="en-US"/>
        </w:rPr>
        <w:t xml:space="preserve">. </w:t>
      </w:r>
    </w:p>
    <w:p w14:paraId="5A4DAEE4" w14:textId="55357D5C" w:rsidR="006264D7" w:rsidRPr="00905499" w:rsidRDefault="00AA4DCD" w:rsidP="008B74D0">
      <w:pPr>
        <w:spacing w:line="360" w:lineRule="auto"/>
        <w:ind w:firstLine="720"/>
        <w:jc w:val="both"/>
        <w:rPr>
          <w:rFonts w:ascii="Times New Roman" w:hAnsi="Times New Roman" w:cs="Times New Roman"/>
          <w:lang w:val="en-US"/>
        </w:rPr>
      </w:pPr>
      <w:r w:rsidRPr="00905499">
        <w:rPr>
          <w:rFonts w:ascii="Times New Roman" w:hAnsi="Times New Roman" w:cs="Times New Roman"/>
          <w:lang w:val="en-US"/>
        </w:rPr>
        <w:t xml:space="preserve">It is important to </w:t>
      </w:r>
      <w:r w:rsidR="006F3EA6" w:rsidRPr="00905499">
        <w:rPr>
          <w:rFonts w:ascii="Times New Roman" w:hAnsi="Times New Roman" w:cs="Times New Roman"/>
          <w:lang w:val="en-US"/>
        </w:rPr>
        <w:t xml:space="preserve">recall </w:t>
      </w:r>
      <w:r w:rsidRPr="00905499">
        <w:rPr>
          <w:rFonts w:ascii="Times New Roman" w:hAnsi="Times New Roman" w:cs="Times New Roman"/>
          <w:lang w:val="en-US"/>
        </w:rPr>
        <w:t>that along with the large number of demographic and academic covariates</w:t>
      </w:r>
      <w:r w:rsidR="008B45CE" w:rsidRPr="00905499">
        <w:rPr>
          <w:rFonts w:ascii="Times New Roman" w:hAnsi="Times New Roman" w:cs="Times New Roman"/>
          <w:lang w:val="en-US"/>
        </w:rPr>
        <w:t xml:space="preserve"> included in these models</w:t>
      </w:r>
      <w:r w:rsidRPr="00905499">
        <w:rPr>
          <w:rFonts w:ascii="Times New Roman" w:hAnsi="Times New Roman" w:cs="Times New Roman"/>
          <w:lang w:val="en-US"/>
        </w:rPr>
        <w:t>, expectations of a university level of education</w:t>
      </w:r>
      <w:r w:rsidR="006755BF" w:rsidRPr="00905499">
        <w:rPr>
          <w:rFonts w:ascii="Times New Roman" w:hAnsi="Times New Roman" w:cs="Times New Roman"/>
          <w:lang w:val="en-US"/>
        </w:rPr>
        <w:t xml:space="preserve"> at age 15</w:t>
      </w:r>
      <w:r w:rsidR="008B45CE" w:rsidRPr="00905499">
        <w:rPr>
          <w:rFonts w:ascii="Times New Roman" w:hAnsi="Times New Roman" w:cs="Times New Roman"/>
          <w:lang w:val="en-US"/>
        </w:rPr>
        <w:t xml:space="preserve"> has also been controlled</w:t>
      </w:r>
      <w:r w:rsidRPr="00905499">
        <w:rPr>
          <w:rFonts w:ascii="Times New Roman" w:hAnsi="Times New Roman" w:cs="Times New Roman"/>
          <w:lang w:val="en-US"/>
        </w:rPr>
        <w:t xml:space="preserve">. </w:t>
      </w:r>
      <w:r w:rsidR="00226079" w:rsidRPr="00905499">
        <w:rPr>
          <w:rFonts w:ascii="Times New Roman" w:hAnsi="Times New Roman" w:cs="Times New Roman"/>
          <w:lang w:val="en-US"/>
        </w:rPr>
        <w:t xml:space="preserve">The effect on aspirations was indeed extremely strong. However, supporting the cost hypothesis, </w:t>
      </w:r>
      <w:r w:rsidR="008B45CE" w:rsidRPr="00905499">
        <w:rPr>
          <w:rFonts w:ascii="Times New Roman" w:hAnsi="Times New Roman" w:cs="Times New Roman"/>
          <w:lang w:val="en-US"/>
        </w:rPr>
        <w:t xml:space="preserve">distance </w:t>
      </w:r>
      <w:r w:rsidRPr="00905499">
        <w:rPr>
          <w:rFonts w:ascii="Times New Roman" w:hAnsi="Times New Roman" w:cs="Times New Roman"/>
          <w:lang w:val="en-US"/>
        </w:rPr>
        <w:t>still exerted a unique</w:t>
      </w:r>
      <w:r w:rsidR="008B45CE" w:rsidRPr="00905499">
        <w:rPr>
          <w:rFonts w:ascii="Times New Roman" w:hAnsi="Times New Roman" w:cs="Times New Roman"/>
          <w:lang w:val="en-US"/>
        </w:rPr>
        <w:t>, independent</w:t>
      </w:r>
      <w:r w:rsidRPr="00905499">
        <w:rPr>
          <w:rFonts w:ascii="Times New Roman" w:hAnsi="Times New Roman" w:cs="Times New Roman"/>
          <w:lang w:val="en-US"/>
        </w:rPr>
        <w:t xml:space="preserve"> effect</w:t>
      </w:r>
      <w:r w:rsidR="00226079" w:rsidRPr="00905499">
        <w:rPr>
          <w:rFonts w:ascii="Times New Roman" w:hAnsi="Times New Roman" w:cs="Times New Roman"/>
          <w:lang w:val="en-US"/>
        </w:rPr>
        <w:t xml:space="preserve"> on university entry</w:t>
      </w:r>
      <w:r w:rsidR="008B45CE" w:rsidRPr="00905499">
        <w:rPr>
          <w:rFonts w:ascii="Times New Roman" w:hAnsi="Times New Roman" w:cs="Times New Roman"/>
          <w:lang w:val="en-US"/>
        </w:rPr>
        <w:t>.</w:t>
      </w:r>
    </w:p>
    <w:p w14:paraId="1C25D740" w14:textId="33ED9F66" w:rsidR="00226079" w:rsidRPr="00905499" w:rsidRDefault="00226079" w:rsidP="008B74D0">
      <w:pPr>
        <w:spacing w:line="360" w:lineRule="auto"/>
        <w:ind w:firstLine="720"/>
        <w:jc w:val="both"/>
        <w:rPr>
          <w:rFonts w:ascii="Times New Roman" w:hAnsi="Times New Roman" w:cs="Times New Roman"/>
          <w:lang w:val="en-US"/>
        </w:rPr>
      </w:pPr>
      <w:r w:rsidRPr="00905499">
        <w:rPr>
          <w:rFonts w:ascii="Times New Roman" w:hAnsi="Times New Roman" w:cs="Times New Roman"/>
          <w:lang w:val="en-US"/>
        </w:rPr>
        <w:t>Again we explored the interaction effect of socioeconomic status and distance. This interaction was not significant when considering if at least one university campus was in proximity. There was a significant interaction when considering, how many universities were in proximity but this effect disappeared when the significant quadratic effect of number of campuses in proximity was entered.</w:t>
      </w:r>
    </w:p>
    <w:p w14:paraId="5140BE59" w14:textId="77777777" w:rsidR="004136A4" w:rsidRPr="00905499" w:rsidRDefault="00226079" w:rsidP="004136A4">
      <w:pPr>
        <w:spacing w:line="360" w:lineRule="auto"/>
        <w:jc w:val="both"/>
        <w:rPr>
          <w:rFonts w:ascii="Times New Roman" w:hAnsi="Times New Roman" w:cs="Times New Roman"/>
          <w:b/>
          <w:lang w:val="en-US"/>
        </w:rPr>
      </w:pPr>
      <w:r w:rsidRPr="00905499">
        <w:rPr>
          <w:rFonts w:ascii="Times New Roman" w:hAnsi="Times New Roman" w:cs="Times New Roman"/>
          <w:b/>
          <w:lang w:val="en-US"/>
        </w:rPr>
        <w:t>University Information Session Attendance</w:t>
      </w:r>
    </w:p>
    <w:p w14:paraId="5806E081" w14:textId="2D10E34E" w:rsidR="00226079" w:rsidRPr="00905499" w:rsidRDefault="00226079" w:rsidP="00C53C29">
      <w:pPr>
        <w:spacing w:line="360" w:lineRule="auto"/>
        <w:ind w:firstLine="720"/>
        <w:jc w:val="both"/>
        <w:rPr>
          <w:rFonts w:ascii="Times New Roman" w:hAnsi="Times New Roman" w:cs="Times New Roman"/>
          <w:lang w:val="en-US"/>
        </w:rPr>
      </w:pPr>
      <w:r w:rsidRPr="00905499">
        <w:rPr>
          <w:rFonts w:ascii="Times New Roman" w:hAnsi="Times New Roman" w:cs="Times New Roman"/>
          <w:lang w:val="en-US"/>
        </w:rPr>
        <w:t xml:space="preserve">We next considered whether distance was associated with whether an individual attended an information session to test the university outreach hypothesis. As we note in the method section this was only explored with one of the LSAY cohorts given that this was the only cohort to ask this specific question. As can be seen from Table 5, </w:t>
      </w:r>
      <w:r w:rsidR="007A3291" w:rsidRPr="00905499">
        <w:rPr>
          <w:rFonts w:ascii="Times New Roman" w:hAnsi="Times New Roman" w:cs="Times New Roman"/>
          <w:lang w:val="en-US"/>
        </w:rPr>
        <w:t>controlling for covariates there was no association between distance and attendance at a university information session</w:t>
      </w:r>
      <w:r w:rsidRPr="00905499">
        <w:rPr>
          <w:rFonts w:ascii="Times New Roman" w:hAnsi="Times New Roman" w:cs="Times New Roman"/>
          <w:lang w:val="en-US"/>
        </w:rPr>
        <w:t xml:space="preserve">. The </w:t>
      </w:r>
      <w:r w:rsidR="001723B5" w:rsidRPr="00905499">
        <w:rPr>
          <w:rFonts w:ascii="Times New Roman" w:hAnsi="Times New Roman" w:cs="Times New Roman"/>
          <w:lang w:val="en-US"/>
        </w:rPr>
        <w:t xml:space="preserve">results </w:t>
      </w:r>
      <w:r w:rsidR="007A3291" w:rsidRPr="00905499">
        <w:rPr>
          <w:rFonts w:ascii="Times New Roman" w:hAnsi="Times New Roman" w:cs="Times New Roman"/>
          <w:lang w:val="en-US"/>
        </w:rPr>
        <w:t>indicate</w:t>
      </w:r>
      <w:r w:rsidRPr="00905499">
        <w:rPr>
          <w:rFonts w:ascii="Times New Roman" w:hAnsi="Times New Roman" w:cs="Times New Roman"/>
          <w:lang w:val="en-US"/>
        </w:rPr>
        <w:t xml:space="preserve"> that attendance was largely predicted by state of residence, gender (</w:t>
      </w:r>
      <w:r w:rsidR="00BE7F22" w:rsidRPr="00905499">
        <w:rPr>
          <w:rFonts w:ascii="Times New Roman" w:hAnsi="Times New Roman" w:cs="Times New Roman"/>
          <w:lang w:val="en-US"/>
        </w:rPr>
        <w:t>favoring</w:t>
      </w:r>
      <w:r w:rsidRPr="00905499">
        <w:rPr>
          <w:rFonts w:ascii="Times New Roman" w:hAnsi="Times New Roman" w:cs="Times New Roman"/>
          <w:lang w:val="en-US"/>
        </w:rPr>
        <w:t xml:space="preserve"> females), and socioeconomic status. Overall, we therefore find little evidence that distance matters </w:t>
      </w:r>
      <w:r w:rsidRPr="00905499">
        <w:rPr>
          <w:rFonts w:ascii="Times New Roman" w:hAnsi="Times New Roman" w:cs="Times New Roman"/>
          <w:i/>
          <w:lang w:val="en-US"/>
        </w:rPr>
        <w:t>per se</w:t>
      </w:r>
      <w:r w:rsidRPr="00905499">
        <w:rPr>
          <w:rFonts w:ascii="Times New Roman" w:hAnsi="Times New Roman" w:cs="Times New Roman"/>
          <w:lang w:val="en-US"/>
        </w:rPr>
        <w:t xml:space="preserve"> for attending a university information session. </w:t>
      </w:r>
    </w:p>
    <w:p w14:paraId="232BB17F" w14:textId="77777777" w:rsidR="004136A4" w:rsidRPr="00905499" w:rsidRDefault="004136A4" w:rsidP="004136A4">
      <w:pPr>
        <w:spacing w:line="360" w:lineRule="auto"/>
        <w:jc w:val="both"/>
        <w:rPr>
          <w:rFonts w:ascii="Times New Roman" w:hAnsi="Times New Roman" w:cs="Times New Roman"/>
          <w:b/>
          <w:lang w:val="en-US"/>
        </w:rPr>
      </w:pPr>
    </w:p>
    <w:p w14:paraId="090B2F54" w14:textId="77777777" w:rsidR="004136A4" w:rsidRPr="00905499" w:rsidRDefault="001723B5" w:rsidP="004136A4">
      <w:pPr>
        <w:spacing w:line="360" w:lineRule="auto"/>
        <w:jc w:val="both"/>
        <w:rPr>
          <w:rFonts w:ascii="Times New Roman" w:hAnsi="Times New Roman" w:cs="Times New Roman"/>
          <w:b/>
          <w:lang w:val="en-US"/>
        </w:rPr>
      </w:pPr>
      <w:r w:rsidRPr="00905499">
        <w:rPr>
          <w:rFonts w:ascii="Times New Roman" w:hAnsi="Times New Roman" w:cs="Times New Roman"/>
          <w:b/>
          <w:lang w:val="en-US"/>
        </w:rPr>
        <w:lastRenderedPageBreak/>
        <w:t>Institution Choice</w:t>
      </w:r>
    </w:p>
    <w:p w14:paraId="299143C3" w14:textId="0D236D7B" w:rsidR="007C56C2" w:rsidRPr="00905499" w:rsidRDefault="00226079" w:rsidP="008B74D0">
      <w:pPr>
        <w:spacing w:line="360" w:lineRule="auto"/>
        <w:ind w:firstLine="720"/>
        <w:jc w:val="both"/>
        <w:rPr>
          <w:rFonts w:ascii="Times New Roman" w:hAnsi="Times New Roman" w:cs="Times New Roman"/>
          <w:lang w:val="en-US"/>
        </w:rPr>
      </w:pPr>
      <w:r w:rsidRPr="00905499">
        <w:rPr>
          <w:rFonts w:ascii="Times New Roman" w:hAnsi="Times New Roman" w:cs="Times New Roman"/>
          <w:b/>
          <w:i/>
          <w:lang w:val="en-US"/>
        </w:rPr>
        <w:t xml:space="preserve"> </w:t>
      </w:r>
      <w:r w:rsidR="00AA4DCD" w:rsidRPr="00905499">
        <w:rPr>
          <w:rFonts w:ascii="Times New Roman" w:hAnsi="Times New Roman" w:cs="Times New Roman"/>
          <w:lang w:val="en-US"/>
        </w:rPr>
        <w:t>Up to this point</w:t>
      </w:r>
      <w:r w:rsidR="00416139" w:rsidRPr="00905499">
        <w:rPr>
          <w:rFonts w:ascii="Times New Roman" w:hAnsi="Times New Roman" w:cs="Times New Roman"/>
          <w:lang w:val="en-US"/>
        </w:rPr>
        <w:t>,</w:t>
      </w:r>
      <w:r w:rsidR="00AA4DCD" w:rsidRPr="00905499">
        <w:rPr>
          <w:rFonts w:ascii="Times New Roman" w:hAnsi="Times New Roman" w:cs="Times New Roman"/>
          <w:lang w:val="en-US"/>
        </w:rPr>
        <w:t xml:space="preserve"> </w:t>
      </w:r>
      <w:r w:rsidR="001723B5" w:rsidRPr="00905499">
        <w:rPr>
          <w:rFonts w:ascii="Times New Roman" w:hAnsi="Times New Roman" w:cs="Times New Roman"/>
          <w:lang w:val="en-US"/>
        </w:rPr>
        <w:t>our models have considered the full sample and considered distance to any university campus to construct proximity measures. We now turn our attention to the issue of institution choice and in particular enrolment in one of Australia’s elite universities. Consistent with Lucas (</w:t>
      </w:r>
      <w:r w:rsidR="00AF502E" w:rsidRPr="00905499">
        <w:rPr>
          <w:rFonts w:ascii="Times New Roman" w:hAnsi="Times New Roman" w:cs="Times New Roman"/>
          <w:lang w:val="en-US"/>
        </w:rPr>
        <w:t>2001</w:t>
      </w:r>
      <w:r w:rsidR="001723B5" w:rsidRPr="00905499">
        <w:rPr>
          <w:rFonts w:ascii="Times New Roman" w:hAnsi="Times New Roman" w:cs="Times New Roman"/>
          <w:lang w:val="en-US"/>
        </w:rPr>
        <w:t xml:space="preserve">) we consider this only for individuals who have entered university and we construct proximity measures in relation to distance to </w:t>
      </w:r>
      <w:r w:rsidR="001723B5" w:rsidRPr="00905499">
        <w:rPr>
          <w:rFonts w:ascii="Times New Roman" w:hAnsi="Times New Roman" w:cs="Times New Roman"/>
          <w:i/>
          <w:lang w:val="en-US"/>
        </w:rPr>
        <w:t>elite</w:t>
      </w:r>
      <w:r w:rsidR="001723B5" w:rsidRPr="00905499">
        <w:rPr>
          <w:rFonts w:ascii="Times New Roman" w:hAnsi="Times New Roman" w:cs="Times New Roman"/>
          <w:lang w:val="en-US"/>
        </w:rPr>
        <w:t xml:space="preserve"> university campuses (however, see supplementary material for results based on distance to any university campus). </w:t>
      </w:r>
    </w:p>
    <w:p w14:paraId="3DC913E8" w14:textId="0284065B" w:rsidR="00E20257" w:rsidRPr="00905499" w:rsidRDefault="007C56C2" w:rsidP="008B74D0">
      <w:pPr>
        <w:spacing w:line="360" w:lineRule="auto"/>
        <w:ind w:firstLine="720"/>
        <w:jc w:val="both"/>
        <w:rPr>
          <w:rFonts w:ascii="Times New Roman" w:hAnsi="Times New Roman" w:cs="Times New Roman"/>
          <w:lang w:val="en-US"/>
        </w:rPr>
      </w:pPr>
      <w:r w:rsidRPr="00905499">
        <w:rPr>
          <w:rFonts w:ascii="Times New Roman" w:hAnsi="Times New Roman" w:cs="Times New Roman"/>
          <w:lang w:val="en-US"/>
        </w:rPr>
        <w:t xml:space="preserve"> </w:t>
      </w:r>
      <w:r w:rsidR="001723B5" w:rsidRPr="00905499">
        <w:rPr>
          <w:rFonts w:ascii="Times New Roman" w:hAnsi="Times New Roman" w:cs="Times New Roman"/>
          <w:lang w:val="en-US"/>
        </w:rPr>
        <w:t xml:space="preserve">Results in Table </w:t>
      </w:r>
      <w:r w:rsidR="00AF502E" w:rsidRPr="00905499">
        <w:rPr>
          <w:rFonts w:ascii="Times New Roman" w:hAnsi="Times New Roman" w:cs="Times New Roman"/>
          <w:lang w:val="en-US"/>
        </w:rPr>
        <w:t>5</w:t>
      </w:r>
      <w:r w:rsidR="001723B5" w:rsidRPr="00905499">
        <w:rPr>
          <w:rFonts w:ascii="Times New Roman" w:hAnsi="Times New Roman" w:cs="Times New Roman"/>
          <w:lang w:val="en-US"/>
        </w:rPr>
        <w:t xml:space="preserve"> show, h</w:t>
      </w:r>
      <w:r w:rsidR="007A4EED" w:rsidRPr="00905499">
        <w:rPr>
          <w:rFonts w:ascii="Times New Roman" w:hAnsi="Times New Roman" w:cs="Times New Roman"/>
          <w:lang w:val="en-US"/>
        </w:rPr>
        <w:t xml:space="preserve">aving </w:t>
      </w:r>
      <w:r w:rsidR="002D2A37" w:rsidRPr="00905499">
        <w:rPr>
          <w:rFonts w:ascii="Times New Roman" w:hAnsi="Times New Roman" w:cs="Times New Roman"/>
          <w:lang w:val="en-US"/>
        </w:rPr>
        <w:t xml:space="preserve">at least one elite university campus in proximity </w:t>
      </w:r>
      <w:r w:rsidR="007A4EED" w:rsidRPr="00905499">
        <w:rPr>
          <w:rFonts w:ascii="Times New Roman" w:hAnsi="Times New Roman" w:cs="Times New Roman"/>
          <w:lang w:val="en-US"/>
        </w:rPr>
        <w:t>led to a</w:t>
      </w:r>
      <w:r w:rsidR="009E66C9" w:rsidRPr="00905499">
        <w:rPr>
          <w:rFonts w:ascii="Times New Roman" w:hAnsi="Times New Roman" w:cs="Times New Roman"/>
          <w:lang w:val="en-US"/>
        </w:rPr>
        <w:t xml:space="preserve"> significant advantage in </w:t>
      </w:r>
      <w:r w:rsidR="007A4EED" w:rsidRPr="00905499">
        <w:rPr>
          <w:rFonts w:ascii="Times New Roman" w:hAnsi="Times New Roman" w:cs="Times New Roman"/>
          <w:lang w:val="en-US"/>
        </w:rPr>
        <w:t>gaining</w:t>
      </w:r>
      <w:r w:rsidR="009E66C9" w:rsidRPr="00905499">
        <w:rPr>
          <w:rFonts w:ascii="Times New Roman" w:hAnsi="Times New Roman" w:cs="Times New Roman"/>
          <w:lang w:val="en-US"/>
        </w:rPr>
        <w:t xml:space="preserve"> </w:t>
      </w:r>
      <w:r w:rsidR="007A4EED" w:rsidRPr="00905499">
        <w:rPr>
          <w:rFonts w:ascii="Times New Roman" w:hAnsi="Times New Roman" w:cs="Times New Roman"/>
          <w:lang w:val="en-US"/>
        </w:rPr>
        <w:t>entry into</w:t>
      </w:r>
      <w:r w:rsidR="009E66C9" w:rsidRPr="00905499">
        <w:rPr>
          <w:rFonts w:ascii="Times New Roman" w:hAnsi="Times New Roman" w:cs="Times New Roman"/>
          <w:lang w:val="en-US"/>
        </w:rPr>
        <w:t xml:space="preserve"> such an instituti</w:t>
      </w:r>
      <w:r w:rsidR="00D75872" w:rsidRPr="00905499">
        <w:rPr>
          <w:rFonts w:ascii="Times New Roman" w:hAnsi="Times New Roman" w:cs="Times New Roman"/>
          <w:lang w:val="en-US"/>
        </w:rPr>
        <w:t>on</w:t>
      </w:r>
      <w:r w:rsidR="007A4EED" w:rsidRPr="00905499">
        <w:rPr>
          <w:rFonts w:ascii="Times New Roman" w:hAnsi="Times New Roman" w:cs="Times New Roman"/>
          <w:lang w:val="en-US"/>
        </w:rPr>
        <w:t>. In particular, young people with at least one Go8 campus nearby had a 3</w:t>
      </w:r>
      <w:r w:rsidR="002403A9" w:rsidRPr="00905499">
        <w:rPr>
          <w:rFonts w:ascii="Times New Roman" w:hAnsi="Times New Roman" w:cs="Times New Roman"/>
          <w:lang w:val="en-US"/>
        </w:rPr>
        <w:t>4</w:t>
      </w:r>
      <w:r w:rsidR="00337A63" w:rsidRPr="00905499">
        <w:rPr>
          <w:rFonts w:ascii="Times New Roman" w:hAnsi="Times New Roman" w:cs="Times New Roman"/>
          <w:lang w:val="en-US"/>
        </w:rPr>
        <w:t>-</w:t>
      </w:r>
      <w:r w:rsidR="007A4EED" w:rsidRPr="00905499">
        <w:rPr>
          <w:rFonts w:ascii="Times New Roman" w:hAnsi="Times New Roman" w:cs="Times New Roman"/>
          <w:lang w:val="en-US"/>
        </w:rPr>
        <w:t xml:space="preserve">percent chance of attending an elite university, compared to </w:t>
      </w:r>
      <w:r w:rsidR="00001287" w:rsidRPr="00905499">
        <w:rPr>
          <w:rFonts w:ascii="Times New Roman" w:hAnsi="Times New Roman" w:cs="Times New Roman"/>
          <w:lang w:val="en-US"/>
        </w:rPr>
        <w:t xml:space="preserve">just a </w:t>
      </w:r>
      <w:r w:rsidR="007A4EED" w:rsidRPr="00905499">
        <w:rPr>
          <w:rFonts w:ascii="Times New Roman" w:hAnsi="Times New Roman" w:cs="Times New Roman"/>
          <w:lang w:val="en-US"/>
        </w:rPr>
        <w:t>2</w:t>
      </w:r>
      <w:r w:rsidR="002403A9" w:rsidRPr="00905499">
        <w:rPr>
          <w:rFonts w:ascii="Times New Roman" w:hAnsi="Times New Roman" w:cs="Times New Roman"/>
          <w:lang w:val="en-US"/>
        </w:rPr>
        <w:t>1</w:t>
      </w:r>
      <w:r w:rsidR="00337A63" w:rsidRPr="00905499">
        <w:rPr>
          <w:rFonts w:ascii="Times New Roman" w:hAnsi="Times New Roman" w:cs="Times New Roman"/>
          <w:lang w:val="en-US"/>
        </w:rPr>
        <w:t>-</w:t>
      </w:r>
      <w:r w:rsidR="007A4EED" w:rsidRPr="00905499">
        <w:rPr>
          <w:rFonts w:ascii="Times New Roman" w:hAnsi="Times New Roman" w:cs="Times New Roman"/>
          <w:lang w:val="en-US"/>
        </w:rPr>
        <w:t>percent for those who did not</w:t>
      </w:r>
      <w:r w:rsidR="002D2A37" w:rsidRPr="00905499">
        <w:rPr>
          <w:rFonts w:ascii="Times New Roman" w:hAnsi="Times New Roman" w:cs="Times New Roman"/>
          <w:lang w:val="en-US"/>
        </w:rPr>
        <w:t xml:space="preserve">. </w:t>
      </w:r>
      <w:r w:rsidR="007A4EED" w:rsidRPr="00905499">
        <w:rPr>
          <w:rFonts w:ascii="Times New Roman" w:hAnsi="Times New Roman" w:cs="Times New Roman"/>
          <w:lang w:val="en-US"/>
        </w:rPr>
        <w:t>There was again some evidence of a non-linear relationship between number of campuses nearby and chances of entering a high status university,</w:t>
      </w:r>
      <w:r w:rsidR="002D2A37" w:rsidRPr="00905499">
        <w:rPr>
          <w:rFonts w:ascii="Times New Roman" w:hAnsi="Times New Roman" w:cs="Times New Roman"/>
          <w:lang w:val="en-US"/>
        </w:rPr>
        <w:t xml:space="preserve"> </w:t>
      </w:r>
      <w:r w:rsidR="007A4EED" w:rsidRPr="00905499">
        <w:rPr>
          <w:rFonts w:ascii="Times New Roman" w:hAnsi="Times New Roman" w:cs="Times New Roman"/>
          <w:lang w:val="en-US"/>
        </w:rPr>
        <w:t>though this was again being driven by a small number of individuals with a large number of campuses within close proximity</w:t>
      </w:r>
      <w:r w:rsidR="002D3DDB" w:rsidRPr="00905499">
        <w:rPr>
          <w:rFonts w:ascii="Times New Roman" w:hAnsi="Times New Roman" w:cs="Times New Roman"/>
          <w:lang w:val="en-US"/>
        </w:rPr>
        <w:t xml:space="preserve"> (see Figure </w:t>
      </w:r>
      <w:r w:rsidR="00DA39A3" w:rsidRPr="00905499">
        <w:rPr>
          <w:rFonts w:ascii="Times New Roman" w:hAnsi="Times New Roman" w:cs="Times New Roman"/>
          <w:lang w:val="en-US"/>
        </w:rPr>
        <w:t>5</w:t>
      </w:r>
      <w:r w:rsidR="002D3DDB" w:rsidRPr="00905499">
        <w:rPr>
          <w:rFonts w:ascii="Times New Roman" w:hAnsi="Times New Roman" w:cs="Times New Roman"/>
          <w:lang w:val="en-US"/>
        </w:rPr>
        <w:t>)</w:t>
      </w:r>
      <w:r w:rsidR="002D2A37" w:rsidRPr="00905499">
        <w:rPr>
          <w:rFonts w:ascii="Times New Roman" w:hAnsi="Times New Roman" w:cs="Times New Roman"/>
          <w:lang w:val="en-US"/>
        </w:rPr>
        <w:t>.</w:t>
      </w:r>
      <w:r w:rsidRPr="00905499">
        <w:rPr>
          <w:rFonts w:ascii="Times New Roman" w:hAnsi="Times New Roman" w:cs="Times New Roman"/>
          <w:lang w:val="en-US"/>
        </w:rPr>
        <w:t xml:space="preserve"> </w:t>
      </w:r>
      <w:r w:rsidR="00EB66D3" w:rsidRPr="00905499">
        <w:rPr>
          <w:rFonts w:ascii="Times New Roman" w:hAnsi="Times New Roman" w:cs="Times New Roman"/>
          <w:lang w:val="en-US"/>
        </w:rPr>
        <w:t xml:space="preserve">Indeed, the turning point was at 10 campuses, which is the maximum number that was possible for a participant to have in proximity. </w:t>
      </w:r>
      <w:r w:rsidRPr="00905499">
        <w:rPr>
          <w:rFonts w:ascii="Times New Roman" w:hAnsi="Times New Roman" w:cs="Times New Roman"/>
          <w:lang w:val="en-US"/>
        </w:rPr>
        <w:t xml:space="preserve">No significant interaction effects were observed for </w:t>
      </w:r>
      <w:r w:rsidR="001723B5" w:rsidRPr="00905499">
        <w:rPr>
          <w:rFonts w:ascii="Times New Roman" w:hAnsi="Times New Roman" w:cs="Times New Roman"/>
          <w:lang w:val="en-US"/>
        </w:rPr>
        <w:t>the interaction between distance and socioeconomic status</w:t>
      </w:r>
      <w:r w:rsidR="00E20257" w:rsidRPr="00905499">
        <w:rPr>
          <w:rFonts w:ascii="Times New Roman" w:hAnsi="Times New Roman" w:cs="Times New Roman"/>
          <w:lang w:val="en-US"/>
        </w:rPr>
        <w:t xml:space="preserve"> or distance and Indigenous status</w:t>
      </w:r>
      <w:r w:rsidRPr="00905499">
        <w:rPr>
          <w:rFonts w:ascii="Times New Roman" w:hAnsi="Times New Roman" w:cs="Times New Roman"/>
          <w:lang w:val="en-US"/>
        </w:rPr>
        <w:t>.</w:t>
      </w:r>
      <w:r w:rsidR="001723B5" w:rsidRPr="00905499">
        <w:rPr>
          <w:rFonts w:ascii="Times New Roman" w:hAnsi="Times New Roman" w:cs="Times New Roman"/>
          <w:lang w:val="en-US"/>
        </w:rPr>
        <w:t xml:space="preserve"> </w:t>
      </w:r>
    </w:p>
    <w:p w14:paraId="53176F17" w14:textId="4062755B" w:rsidR="005E18A1" w:rsidRPr="00905499" w:rsidRDefault="001723B5" w:rsidP="008B74D0">
      <w:pPr>
        <w:spacing w:line="360" w:lineRule="auto"/>
        <w:ind w:firstLine="720"/>
        <w:jc w:val="both"/>
        <w:rPr>
          <w:rFonts w:ascii="Times New Roman" w:hAnsi="Times New Roman" w:cs="Times New Roman"/>
          <w:lang w:val="en-US"/>
        </w:rPr>
      </w:pPr>
      <w:r w:rsidRPr="00905499">
        <w:rPr>
          <w:rFonts w:ascii="Times New Roman" w:hAnsi="Times New Roman" w:cs="Times New Roman"/>
          <w:lang w:val="en-US"/>
        </w:rPr>
        <w:t xml:space="preserve">Consistent with the selection hypothesis </w:t>
      </w:r>
      <w:r w:rsidR="00E20257" w:rsidRPr="00905499">
        <w:rPr>
          <w:rFonts w:ascii="Times New Roman" w:hAnsi="Times New Roman" w:cs="Times New Roman"/>
          <w:lang w:val="en-US"/>
        </w:rPr>
        <w:t xml:space="preserve">and the cost hypothesis distance had a clear significant effect on elite university enrolment controlling for socioeconomic status and university aspirations. </w:t>
      </w:r>
      <w:r w:rsidR="00EA5FDE" w:rsidRPr="00905499">
        <w:rPr>
          <w:rFonts w:ascii="Times New Roman" w:hAnsi="Times New Roman" w:cs="Times New Roman"/>
          <w:lang w:val="en-US"/>
        </w:rPr>
        <w:t>However, university aspirations were not significant predictors of institution choice.</w:t>
      </w:r>
      <w:r w:rsidR="00E20257" w:rsidRPr="00905499">
        <w:rPr>
          <w:rFonts w:ascii="Times New Roman" w:hAnsi="Times New Roman" w:cs="Times New Roman"/>
          <w:lang w:val="en-US"/>
        </w:rPr>
        <w:t xml:space="preserve"> This suggested anticipatory decisions, at least in relation to university aspirations, had little role in institution choice.</w:t>
      </w:r>
    </w:p>
    <w:p w14:paraId="535A1A1E" w14:textId="7E29EF6C" w:rsidR="00BD567D" w:rsidRPr="00905499" w:rsidRDefault="007C56C2" w:rsidP="0010165D">
      <w:pPr>
        <w:spacing w:line="360" w:lineRule="auto"/>
        <w:jc w:val="center"/>
        <w:rPr>
          <w:rFonts w:ascii="Times New Roman" w:hAnsi="Times New Roman" w:cs="Times New Roman"/>
          <w:b/>
          <w:lang w:val="en-US"/>
        </w:rPr>
      </w:pPr>
      <w:r w:rsidRPr="00905499">
        <w:rPr>
          <w:rFonts w:ascii="Times New Roman" w:hAnsi="Times New Roman" w:cs="Times New Roman"/>
          <w:b/>
          <w:lang w:val="en-US"/>
        </w:rPr>
        <w:t>Discussion</w:t>
      </w:r>
    </w:p>
    <w:p w14:paraId="53040FCA" w14:textId="079AE63E" w:rsidR="002B5838" w:rsidRPr="00905499" w:rsidRDefault="00665CEE" w:rsidP="00A73971">
      <w:pPr>
        <w:spacing w:line="360" w:lineRule="auto"/>
        <w:ind w:firstLine="720"/>
        <w:jc w:val="both"/>
        <w:rPr>
          <w:rFonts w:ascii="Times New Roman" w:hAnsi="Times New Roman" w:cs="Times New Roman"/>
          <w:lang w:val="en-US"/>
        </w:rPr>
      </w:pPr>
      <w:r w:rsidRPr="00905499">
        <w:rPr>
          <w:rFonts w:ascii="Times New Roman" w:hAnsi="Times New Roman" w:cs="Times New Roman"/>
          <w:lang w:val="en-US"/>
        </w:rPr>
        <w:t xml:space="preserve">Geography </w:t>
      </w:r>
      <w:r w:rsidR="00EC13B1" w:rsidRPr="00905499">
        <w:rPr>
          <w:rFonts w:ascii="Times New Roman" w:hAnsi="Times New Roman" w:cs="Times New Roman"/>
          <w:lang w:val="en-US"/>
        </w:rPr>
        <w:t>is</w:t>
      </w:r>
      <w:r w:rsidRPr="00905499">
        <w:rPr>
          <w:rFonts w:ascii="Times New Roman" w:hAnsi="Times New Roman" w:cs="Times New Roman"/>
          <w:lang w:val="en-US"/>
        </w:rPr>
        <w:t xml:space="preserve"> a critical factor that shapes the development of aspirations, attainment, and choice in young people (Elder &amp; Conger, 2000). Geography not only shapes resources and affordances that impact young people’s attempts to implement their post high-school plans</w:t>
      </w:r>
      <w:r w:rsidR="00002CA0" w:rsidRPr="00905499">
        <w:rPr>
          <w:rFonts w:ascii="Times New Roman" w:hAnsi="Times New Roman" w:cs="Times New Roman"/>
          <w:lang w:val="en-US"/>
        </w:rPr>
        <w:t xml:space="preserve"> but </w:t>
      </w:r>
      <w:r w:rsidR="00B47F48">
        <w:rPr>
          <w:rFonts w:ascii="Times New Roman" w:hAnsi="Times New Roman" w:cs="Times New Roman"/>
          <w:lang w:val="en-US"/>
        </w:rPr>
        <w:t xml:space="preserve">also </w:t>
      </w:r>
      <w:r w:rsidR="00002CA0" w:rsidRPr="00905499">
        <w:rPr>
          <w:rFonts w:ascii="Times New Roman" w:hAnsi="Times New Roman" w:cs="Times New Roman"/>
          <w:lang w:val="en-US"/>
        </w:rPr>
        <w:t>can influence the development of aspirations. Indeed, research has highlighted how occupational and higher educational models</w:t>
      </w:r>
      <w:r w:rsidR="004A0FFF" w:rsidRPr="00905499">
        <w:rPr>
          <w:rFonts w:ascii="Times New Roman" w:hAnsi="Times New Roman" w:cs="Times New Roman"/>
          <w:lang w:val="en-US"/>
        </w:rPr>
        <w:t xml:space="preserve"> and resources</w:t>
      </w:r>
      <w:r w:rsidR="00002CA0" w:rsidRPr="00905499">
        <w:rPr>
          <w:rFonts w:ascii="Times New Roman" w:hAnsi="Times New Roman" w:cs="Times New Roman"/>
          <w:lang w:val="en-US"/>
        </w:rPr>
        <w:t xml:space="preserve"> </w:t>
      </w:r>
      <w:r w:rsidR="004A0FFF" w:rsidRPr="00905499">
        <w:rPr>
          <w:rFonts w:ascii="Times New Roman" w:hAnsi="Times New Roman" w:cs="Times New Roman"/>
          <w:lang w:val="en-US"/>
        </w:rPr>
        <w:t xml:space="preserve">as well as social capital and attachment to community </w:t>
      </w:r>
      <w:r w:rsidR="00002CA0" w:rsidRPr="00905499">
        <w:rPr>
          <w:rFonts w:ascii="Times New Roman" w:hAnsi="Times New Roman" w:cs="Times New Roman"/>
          <w:lang w:val="en-US"/>
        </w:rPr>
        <w:t xml:space="preserve">differ by geography (Crockett et al., 2000). </w:t>
      </w:r>
      <w:r w:rsidR="00A73971" w:rsidRPr="00905499">
        <w:rPr>
          <w:rFonts w:ascii="Times New Roman" w:hAnsi="Times New Roman" w:cs="Times New Roman"/>
          <w:lang w:val="en-US"/>
        </w:rPr>
        <w:t xml:space="preserve">A university level of education is increasingly important for access to prestigious positions in society (Côté, 2006). </w:t>
      </w:r>
      <w:r w:rsidR="00196A18" w:rsidRPr="00905499">
        <w:rPr>
          <w:rFonts w:ascii="Times New Roman" w:hAnsi="Times New Roman" w:cs="Times New Roman"/>
          <w:lang w:val="en-US"/>
        </w:rPr>
        <w:t>Despite its importance, there remains</w:t>
      </w:r>
      <w:r w:rsidR="00A73971" w:rsidRPr="00905499">
        <w:rPr>
          <w:rFonts w:ascii="Times New Roman" w:hAnsi="Times New Roman" w:cs="Times New Roman"/>
          <w:lang w:val="en-US"/>
        </w:rPr>
        <w:t xml:space="preserve"> ongoing inequality in access to higher education for those living outside </w:t>
      </w:r>
      <w:r w:rsidR="00F30154" w:rsidRPr="00905499">
        <w:rPr>
          <w:rFonts w:ascii="Times New Roman" w:hAnsi="Times New Roman" w:cs="Times New Roman"/>
          <w:lang w:val="en-US"/>
        </w:rPr>
        <w:t xml:space="preserve">of </w:t>
      </w:r>
      <w:r w:rsidR="00A73971" w:rsidRPr="00905499">
        <w:rPr>
          <w:rFonts w:ascii="Times New Roman" w:hAnsi="Times New Roman" w:cs="Times New Roman"/>
          <w:lang w:val="en-US"/>
        </w:rPr>
        <w:lastRenderedPageBreak/>
        <w:t xml:space="preserve">major urban centers (Bradley et al., 2008). </w:t>
      </w:r>
      <w:r w:rsidR="004A0FFF" w:rsidRPr="00905499">
        <w:rPr>
          <w:rFonts w:ascii="Times New Roman" w:hAnsi="Times New Roman" w:cs="Times New Roman"/>
          <w:lang w:val="en-US"/>
        </w:rPr>
        <w:t>Thus</w:t>
      </w:r>
      <w:r w:rsidR="00B47F48">
        <w:rPr>
          <w:rFonts w:ascii="Times New Roman" w:hAnsi="Times New Roman" w:cs="Times New Roman"/>
          <w:lang w:val="en-US"/>
        </w:rPr>
        <w:t>,</w:t>
      </w:r>
      <w:r w:rsidR="004A0FFF" w:rsidRPr="00905499">
        <w:rPr>
          <w:rFonts w:ascii="Times New Roman" w:hAnsi="Times New Roman" w:cs="Times New Roman"/>
          <w:lang w:val="en-US"/>
        </w:rPr>
        <w:t xml:space="preserve"> it is of critical importance to </w:t>
      </w:r>
      <w:r w:rsidR="00A73971" w:rsidRPr="00905499">
        <w:rPr>
          <w:rFonts w:ascii="Times New Roman" w:hAnsi="Times New Roman" w:cs="Times New Roman"/>
          <w:lang w:val="en-US"/>
        </w:rPr>
        <w:t xml:space="preserve">identify the presence and impact of the various mechanism by which geography shapes higher education aspirations and attainment. </w:t>
      </w:r>
      <w:r w:rsidR="002B5838" w:rsidRPr="00905499">
        <w:rPr>
          <w:rFonts w:ascii="Times New Roman" w:hAnsi="Times New Roman" w:cs="Times New Roman"/>
          <w:lang w:val="en-US"/>
        </w:rPr>
        <w:t>We considered the effect that distance had on expectations of a university level of education</w:t>
      </w:r>
      <w:r w:rsidR="00FB6064" w:rsidRPr="00905499">
        <w:rPr>
          <w:rFonts w:ascii="Times New Roman" w:hAnsi="Times New Roman" w:cs="Times New Roman"/>
          <w:lang w:val="en-US"/>
        </w:rPr>
        <w:t xml:space="preserve"> (age 15)</w:t>
      </w:r>
      <w:r w:rsidR="002B5838" w:rsidRPr="00905499">
        <w:rPr>
          <w:rFonts w:ascii="Times New Roman" w:hAnsi="Times New Roman" w:cs="Times New Roman"/>
          <w:lang w:val="en-US"/>
        </w:rPr>
        <w:t>,</w:t>
      </w:r>
      <w:r w:rsidR="00FB6064" w:rsidRPr="00905499">
        <w:rPr>
          <w:rFonts w:ascii="Times New Roman" w:hAnsi="Times New Roman" w:cs="Times New Roman"/>
          <w:lang w:val="en-US"/>
        </w:rPr>
        <w:t xml:space="preserve"> attendance at a university outreach information session (age 16),</w:t>
      </w:r>
      <w:r w:rsidR="002B5838" w:rsidRPr="00905499">
        <w:rPr>
          <w:rFonts w:ascii="Times New Roman" w:hAnsi="Times New Roman" w:cs="Times New Roman"/>
          <w:lang w:val="en-US"/>
        </w:rPr>
        <w:t xml:space="preserve"> university entry</w:t>
      </w:r>
      <w:r w:rsidR="004A0FFF" w:rsidRPr="00905499">
        <w:rPr>
          <w:rFonts w:ascii="Times New Roman" w:hAnsi="Times New Roman" w:cs="Times New Roman"/>
          <w:lang w:val="en-US"/>
        </w:rPr>
        <w:t xml:space="preserve"> (between ages 16 to 19)</w:t>
      </w:r>
      <w:r w:rsidR="002B5838" w:rsidRPr="00905499">
        <w:rPr>
          <w:rFonts w:ascii="Times New Roman" w:hAnsi="Times New Roman" w:cs="Times New Roman"/>
          <w:lang w:val="en-US"/>
        </w:rPr>
        <w:t xml:space="preserve">, </w:t>
      </w:r>
      <w:r w:rsidR="00FB6064" w:rsidRPr="00905499">
        <w:rPr>
          <w:rFonts w:ascii="Times New Roman" w:hAnsi="Times New Roman" w:cs="Times New Roman"/>
          <w:lang w:val="en-US"/>
        </w:rPr>
        <w:t xml:space="preserve">and </w:t>
      </w:r>
      <w:r w:rsidR="00E974FF" w:rsidRPr="00905499">
        <w:rPr>
          <w:rFonts w:ascii="Times New Roman" w:hAnsi="Times New Roman" w:cs="Times New Roman"/>
          <w:lang w:val="en-US"/>
        </w:rPr>
        <w:t>enrolment</w:t>
      </w:r>
      <w:r w:rsidR="002B5838" w:rsidRPr="00905499">
        <w:rPr>
          <w:rFonts w:ascii="Times New Roman" w:hAnsi="Times New Roman" w:cs="Times New Roman"/>
          <w:lang w:val="en-US"/>
        </w:rPr>
        <w:t xml:space="preserve"> into an elite </w:t>
      </w:r>
      <w:r w:rsidR="00AA1CD2" w:rsidRPr="00905499">
        <w:rPr>
          <w:rFonts w:ascii="Times New Roman" w:hAnsi="Times New Roman" w:cs="Times New Roman"/>
          <w:lang w:val="en-US"/>
        </w:rPr>
        <w:t xml:space="preserve">institution </w:t>
      </w:r>
      <w:r w:rsidR="00FB6064" w:rsidRPr="00905499">
        <w:rPr>
          <w:rFonts w:ascii="Times New Roman" w:hAnsi="Times New Roman" w:cs="Times New Roman"/>
          <w:lang w:val="en-US"/>
        </w:rPr>
        <w:t>(</w:t>
      </w:r>
      <w:r w:rsidR="00E974FF" w:rsidRPr="00905499">
        <w:rPr>
          <w:rFonts w:ascii="Times New Roman" w:hAnsi="Times New Roman" w:cs="Times New Roman"/>
          <w:lang w:val="en-US"/>
        </w:rPr>
        <w:t xml:space="preserve">between </w:t>
      </w:r>
      <w:r w:rsidR="00FB6064" w:rsidRPr="00905499">
        <w:rPr>
          <w:rFonts w:ascii="Times New Roman" w:hAnsi="Times New Roman" w:cs="Times New Roman"/>
          <w:lang w:val="en-US"/>
        </w:rPr>
        <w:t>age</w:t>
      </w:r>
      <w:r w:rsidR="00E974FF" w:rsidRPr="00905499">
        <w:rPr>
          <w:rFonts w:ascii="Times New Roman" w:hAnsi="Times New Roman" w:cs="Times New Roman"/>
          <w:lang w:val="en-US"/>
        </w:rPr>
        <w:t>s</w:t>
      </w:r>
      <w:r w:rsidR="00FB6064" w:rsidRPr="00905499">
        <w:rPr>
          <w:rFonts w:ascii="Times New Roman" w:hAnsi="Times New Roman" w:cs="Times New Roman"/>
          <w:lang w:val="en-US"/>
        </w:rPr>
        <w:t xml:space="preserve"> 17 to 19)</w:t>
      </w:r>
      <w:r w:rsidR="002B5838" w:rsidRPr="00905499">
        <w:rPr>
          <w:rFonts w:ascii="Times New Roman" w:hAnsi="Times New Roman" w:cs="Times New Roman"/>
          <w:lang w:val="en-US"/>
        </w:rPr>
        <w:t>. The consistent result was that distance did indeed have an effect on all outcomes of interest</w:t>
      </w:r>
      <w:r w:rsidR="00AA1CD2" w:rsidRPr="00905499">
        <w:rPr>
          <w:rFonts w:ascii="Times New Roman" w:hAnsi="Times New Roman" w:cs="Times New Roman"/>
          <w:lang w:val="en-US"/>
        </w:rPr>
        <w:t>,</w:t>
      </w:r>
      <w:r w:rsidR="002B5838" w:rsidRPr="00905499">
        <w:rPr>
          <w:rFonts w:ascii="Times New Roman" w:hAnsi="Times New Roman" w:cs="Times New Roman"/>
          <w:lang w:val="en-US"/>
        </w:rPr>
        <w:t xml:space="preserve"> with the exception of attendance at a university </w:t>
      </w:r>
      <w:r w:rsidR="003604DB" w:rsidRPr="00905499">
        <w:rPr>
          <w:rFonts w:ascii="Times New Roman" w:hAnsi="Times New Roman" w:cs="Times New Roman"/>
          <w:lang w:val="en-US"/>
        </w:rPr>
        <w:t>information session</w:t>
      </w:r>
      <w:r w:rsidR="002B5838" w:rsidRPr="00905499">
        <w:rPr>
          <w:rFonts w:ascii="Times New Roman" w:hAnsi="Times New Roman" w:cs="Times New Roman"/>
          <w:lang w:val="en-US"/>
        </w:rPr>
        <w:t>. The current research aimed not only to indicate whether distance was related to university outcomes</w:t>
      </w:r>
      <w:r w:rsidR="00AA1CD2" w:rsidRPr="00905499">
        <w:rPr>
          <w:rFonts w:ascii="Times New Roman" w:hAnsi="Times New Roman" w:cs="Times New Roman"/>
          <w:lang w:val="en-US"/>
        </w:rPr>
        <w:t>,</w:t>
      </w:r>
      <w:r w:rsidR="002B5838" w:rsidRPr="00905499">
        <w:rPr>
          <w:rFonts w:ascii="Times New Roman" w:hAnsi="Times New Roman" w:cs="Times New Roman"/>
          <w:lang w:val="en-US"/>
        </w:rPr>
        <w:t xml:space="preserve"> but </w:t>
      </w:r>
      <w:r w:rsidR="0071569D" w:rsidRPr="00905499">
        <w:rPr>
          <w:rFonts w:ascii="Times New Roman" w:hAnsi="Times New Roman" w:cs="Times New Roman"/>
          <w:lang w:val="en-US"/>
        </w:rPr>
        <w:t xml:space="preserve">also </w:t>
      </w:r>
      <w:r w:rsidR="002B5838" w:rsidRPr="00905499">
        <w:rPr>
          <w:rFonts w:ascii="Times New Roman" w:hAnsi="Times New Roman" w:cs="Times New Roman"/>
          <w:lang w:val="en-US"/>
        </w:rPr>
        <w:t>to tease apart the relative</w:t>
      </w:r>
      <w:r w:rsidR="00AA1CD2" w:rsidRPr="00905499">
        <w:rPr>
          <w:rFonts w:ascii="Times New Roman" w:hAnsi="Times New Roman" w:cs="Times New Roman"/>
          <w:lang w:val="en-US"/>
        </w:rPr>
        <w:t xml:space="preserve"> contribution of various</w:t>
      </w:r>
      <w:r w:rsidR="002B5838" w:rsidRPr="00905499">
        <w:rPr>
          <w:rFonts w:ascii="Times New Roman" w:hAnsi="Times New Roman" w:cs="Times New Roman"/>
          <w:lang w:val="en-US"/>
        </w:rPr>
        <w:t xml:space="preserve"> mechanisms that have been </w:t>
      </w:r>
      <w:r w:rsidR="00AA1CD2" w:rsidRPr="00905499">
        <w:rPr>
          <w:rFonts w:ascii="Times New Roman" w:hAnsi="Times New Roman" w:cs="Times New Roman"/>
          <w:lang w:val="en-US"/>
        </w:rPr>
        <w:t>suggested elsewhere</w:t>
      </w:r>
      <w:r w:rsidR="002B5838" w:rsidRPr="00905499">
        <w:rPr>
          <w:rFonts w:ascii="Times New Roman" w:hAnsi="Times New Roman" w:cs="Times New Roman"/>
          <w:lang w:val="en-US"/>
        </w:rPr>
        <w:t xml:space="preserve"> in the literature</w:t>
      </w:r>
      <w:r w:rsidR="00E974FF" w:rsidRPr="00905499">
        <w:rPr>
          <w:rFonts w:ascii="Times New Roman" w:hAnsi="Times New Roman" w:cs="Times New Roman"/>
          <w:lang w:val="en-US"/>
        </w:rPr>
        <w:t xml:space="preserve"> by way of </w:t>
      </w:r>
      <w:r w:rsidR="00F30154" w:rsidRPr="00905499">
        <w:rPr>
          <w:rFonts w:ascii="Times New Roman" w:hAnsi="Times New Roman" w:cs="Times New Roman"/>
          <w:lang w:val="en-US"/>
        </w:rPr>
        <w:t xml:space="preserve">the </w:t>
      </w:r>
      <w:r w:rsidR="00E974FF" w:rsidRPr="00905499">
        <w:rPr>
          <w:rFonts w:ascii="Times New Roman" w:hAnsi="Times New Roman" w:cs="Times New Roman"/>
          <w:lang w:val="en-US"/>
        </w:rPr>
        <w:t>four central hypotheses</w:t>
      </w:r>
      <w:r w:rsidR="00B46253" w:rsidRPr="00905499">
        <w:rPr>
          <w:rFonts w:ascii="Times New Roman" w:hAnsi="Times New Roman" w:cs="Times New Roman"/>
          <w:lang w:val="en-US"/>
        </w:rPr>
        <w:t xml:space="preserve"> outlined in Figure 1</w:t>
      </w:r>
      <w:r w:rsidR="002B5838" w:rsidRPr="00905499">
        <w:rPr>
          <w:rFonts w:ascii="Times New Roman" w:hAnsi="Times New Roman" w:cs="Times New Roman"/>
          <w:lang w:val="en-US"/>
        </w:rPr>
        <w:t xml:space="preserve">. </w:t>
      </w:r>
      <w:r w:rsidR="00274215" w:rsidRPr="00905499">
        <w:rPr>
          <w:rFonts w:ascii="Times New Roman" w:hAnsi="Times New Roman" w:cs="Times New Roman"/>
          <w:lang w:val="en-US"/>
        </w:rPr>
        <w:t xml:space="preserve">We discuss </w:t>
      </w:r>
      <w:r w:rsidR="00AA1CD2" w:rsidRPr="00905499">
        <w:rPr>
          <w:rFonts w:ascii="Times New Roman" w:hAnsi="Times New Roman" w:cs="Times New Roman"/>
          <w:lang w:val="en-US"/>
        </w:rPr>
        <w:t>the implications of our results for each of these hypotheses</w:t>
      </w:r>
      <w:r w:rsidR="00274215" w:rsidRPr="00905499">
        <w:rPr>
          <w:rFonts w:ascii="Times New Roman" w:hAnsi="Times New Roman" w:cs="Times New Roman"/>
          <w:lang w:val="en-US"/>
        </w:rPr>
        <w:t xml:space="preserve"> in turn</w:t>
      </w:r>
      <w:r w:rsidR="002B5838" w:rsidRPr="00905499">
        <w:rPr>
          <w:rFonts w:ascii="Times New Roman" w:hAnsi="Times New Roman" w:cs="Times New Roman"/>
          <w:lang w:val="en-US"/>
        </w:rPr>
        <w:t>.</w:t>
      </w:r>
    </w:p>
    <w:p w14:paraId="0601CB54" w14:textId="4A5A065E" w:rsidR="009669E8" w:rsidRPr="00905499" w:rsidRDefault="002B5838" w:rsidP="009669E8">
      <w:pPr>
        <w:spacing w:line="360" w:lineRule="auto"/>
        <w:jc w:val="both"/>
        <w:rPr>
          <w:rFonts w:ascii="Times New Roman" w:hAnsi="Times New Roman" w:cs="Times New Roman"/>
          <w:lang w:val="en-US"/>
        </w:rPr>
      </w:pPr>
      <w:r w:rsidRPr="00905499">
        <w:rPr>
          <w:rFonts w:ascii="Times New Roman" w:hAnsi="Times New Roman" w:cs="Times New Roman"/>
          <w:b/>
          <w:lang w:val="en-US"/>
        </w:rPr>
        <w:t xml:space="preserve">Selection </w:t>
      </w:r>
      <w:r w:rsidR="009669E8" w:rsidRPr="00905499">
        <w:rPr>
          <w:rFonts w:ascii="Times New Roman" w:hAnsi="Times New Roman" w:cs="Times New Roman"/>
          <w:b/>
          <w:lang w:val="en-US"/>
        </w:rPr>
        <w:t>H</w:t>
      </w:r>
      <w:r w:rsidRPr="00905499">
        <w:rPr>
          <w:rFonts w:ascii="Times New Roman" w:hAnsi="Times New Roman" w:cs="Times New Roman"/>
          <w:b/>
          <w:lang w:val="en-US"/>
        </w:rPr>
        <w:t>ypothesis</w:t>
      </w:r>
    </w:p>
    <w:p w14:paraId="1E8FA72F" w14:textId="5D1EDAF7" w:rsidR="002B5838" w:rsidRPr="00905499" w:rsidRDefault="002B5838" w:rsidP="009669E8">
      <w:pPr>
        <w:spacing w:line="360" w:lineRule="auto"/>
        <w:jc w:val="both"/>
        <w:rPr>
          <w:rFonts w:ascii="Times New Roman" w:hAnsi="Times New Roman" w:cs="Times New Roman"/>
          <w:lang w:val="en-US"/>
        </w:rPr>
      </w:pPr>
      <w:r w:rsidRPr="00905499">
        <w:rPr>
          <w:rFonts w:ascii="Times New Roman" w:hAnsi="Times New Roman" w:cs="Times New Roman"/>
          <w:lang w:val="en-US"/>
        </w:rPr>
        <w:t xml:space="preserve"> </w:t>
      </w:r>
      <w:r w:rsidR="00B46253" w:rsidRPr="00905499">
        <w:rPr>
          <w:rFonts w:ascii="Times New Roman" w:hAnsi="Times New Roman" w:cs="Times New Roman"/>
          <w:lang w:val="en-US"/>
        </w:rPr>
        <w:tab/>
      </w:r>
      <w:r w:rsidRPr="00905499">
        <w:rPr>
          <w:rFonts w:ascii="Times New Roman" w:hAnsi="Times New Roman" w:cs="Times New Roman"/>
          <w:lang w:val="en-US"/>
        </w:rPr>
        <w:t xml:space="preserve">The effects of distance were </w:t>
      </w:r>
      <w:r w:rsidR="00B76CBF" w:rsidRPr="00905499">
        <w:rPr>
          <w:rFonts w:ascii="Times New Roman" w:hAnsi="Times New Roman" w:cs="Times New Roman"/>
          <w:lang w:val="en-US"/>
        </w:rPr>
        <w:t xml:space="preserve">statistically </w:t>
      </w:r>
      <w:r w:rsidRPr="00905499">
        <w:rPr>
          <w:rFonts w:ascii="Times New Roman" w:hAnsi="Times New Roman" w:cs="Times New Roman"/>
          <w:lang w:val="en-US"/>
        </w:rPr>
        <w:t>significant</w:t>
      </w:r>
      <w:r w:rsidR="00AA1CD2" w:rsidRPr="00905499">
        <w:rPr>
          <w:rFonts w:ascii="Times New Roman" w:hAnsi="Times New Roman" w:cs="Times New Roman"/>
          <w:lang w:val="en-US"/>
        </w:rPr>
        <w:t>, even after</w:t>
      </w:r>
      <w:r w:rsidRPr="00905499">
        <w:rPr>
          <w:rFonts w:ascii="Times New Roman" w:hAnsi="Times New Roman" w:cs="Times New Roman"/>
          <w:lang w:val="en-US"/>
        </w:rPr>
        <w:t xml:space="preserve"> condition</w:t>
      </w:r>
      <w:r w:rsidR="00AA1CD2" w:rsidRPr="00905499">
        <w:rPr>
          <w:rFonts w:ascii="Times New Roman" w:hAnsi="Times New Roman" w:cs="Times New Roman"/>
          <w:lang w:val="en-US"/>
        </w:rPr>
        <w:t>ing</w:t>
      </w:r>
      <w:r w:rsidRPr="00905499">
        <w:rPr>
          <w:rFonts w:ascii="Times New Roman" w:hAnsi="Times New Roman" w:cs="Times New Roman"/>
          <w:lang w:val="en-US"/>
        </w:rPr>
        <w:t xml:space="preserve"> </w:t>
      </w:r>
      <w:r w:rsidR="0036149B" w:rsidRPr="00905499">
        <w:rPr>
          <w:rFonts w:ascii="Times New Roman" w:hAnsi="Times New Roman" w:cs="Times New Roman"/>
          <w:lang w:val="en-US"/>
        </w:rPr>
        <w:t xml:space="preserve">on a range of covariates. The most important of these were </w:t>
      </w:r>
      <w:r w:rsidRPr="00905499">
        <w:rPr>
          <w:rFonts w:ascii="Times New Roman" w:hAnsi="Times New Roman" w:cs="Times New Roman"/>
          <w:lang w:val="en-US"/>
        </w:rPr>
        <w:t>individual</w:t>
      </w:r>
      <w:r w:rsidR="00DA39A3" w:rsidRPr="00905499">
        <w:rPr>
          <w:rFonts w:ascii="Times New Roman" w:hAnsi="Times New Roman" w:cs="Times New Roman"/>
          <w:lang w:val="en-US"/>
        </w:rPr>
        <w:t>-</w:t>
      </w:r>
      <w:r w:rsidRPr="00905499">
        <w:rPr>
          <w:rFonts w:ascii="Times New Roman" w:hAnsi="Times New Roman" w:cs="Times New Roman"/>
          <w:lang w:val="en-US"/>
        </w:rPr>
        <w:t xml:space="preserve">level socioeconomic status and postcode </w:t>
      </w:r>
      <w:r w:rsidR="003604DB" w:rsidRPr="00905499">
        <w:rPr>
          <w:rFonts w:ascii="Times New Roman" w:hAnsi="Times New Roman" w:cs="Times New Roman"/>
          <w:lang w:val="en-US"/>
        </w:rPr>
        <w:t xml:space="preserve">average </w:t>
      </w:r>
      <w:r w:rsidR="0036149B" w:rsidRPr="00905499">
        <w:rPr>
          <w:rFonts w:ascii="Times New Roman" w:hAnsi="Times New Roman" w:cs="Times New Roman"/>
          <w:lang w:val="en-US"/>
        </w:rPr>
        <w:t>educational and occupational levels</w:t>
      </w:r>
      <w:r w:rsidR="00EA1048" w:rsidRPr="00905499">
        <w:rPr>
          <w:rFonts w:ascii="Times New Roman" w:hAnsi="Times New Roman" w:cs="Times New Roman"/>
          <w:lang w:val="en-US"/>
        </w:rPr>
        <w:t>. This suggested that</w:t>
      </w:r>
      <w:r w:rsidR="0036149B" w:rsidRPr="00905499">
        <w:rPr>
          <w:rFonts w:ascii="Times New Roman" w:hAnsi="Times New Roman" w:cs="Times New Roman"/>
          <w:lang w:val="en-US"/>
        </w:rPr>
        <w:t xml:space="preserve"> the significant influence of distance was more than merely due to poorer families </w:t>
      </w:r>
      <w:r w:rsidR="00031116" w:rsidRPr="00905499">
        <w:rPr>
          <w:rFonts w:ascii="Times New Roman" w:hAnsi="Times New Roman" w:cs="Times New Roman"/>
          <w:lang w:val="en-US"/>
        </w:rPr>
        <w:t xml:space="preserve">being </w:t>
      </w:r>
      <w:r w:rsidR="0036149B" w:rsidRPr="00905499">
        <w:rPr>
          <w:rFonts w:ascii="Times New Roman" w:hAnsi="Times New Roman" w:cs="Times New Roman"/>
          <w:lang w:val="en-US"/>
        </w:rPr>
        <w:t xml:space="preserve">disproportionately located </w:t>
      </w:r>
      <w:r w:rsidR="00C908A8" w:rsidRPr="00905499">
        <w:rPr>
          <w:lang w:val="en-US"/>
        </w:rPr>
        <w:t>at greater distances from a university campus</w:t>
      </w:r>
      <w:r w:rsidR="0036149B" w:rsidRPr="00905499">
        <w:rPr>
          <w:rFonts w:ascii="Times New Roman" w:hAnsi="Times New Roman" w:cs="Times New Roman"/>
          <w:lang w:val="en-US"/>
        </w:rPr>
        <w:t xml:space="preserve">. </w:t>
      </w:r>
      <w:r w:rsidR="009A4D0E" w:rsidRPr="00905499">
        <w:rPr>
          <w:rFonts w:ascii="Times New Roman" w:hAnsi="Times New Roman" w:cs="Times New Roman"/>
          <w:lang w:val="en-US"/>
        </w:rPr>
        <w:t xml:space="preserve">Put simply, distance appears to represent an additional disadvantage for young people in relation to </w:t>
      </w:r>
      <w:r w:rsidR="004D2C20" w:rsidRPr="00905499">
        <w:rPr>
          <w:rFonts w:ascii="Times New Roman" w:hAnsi="Times New Roman" w:cs="Times New Roman"/>
          <w:lang w:val="en-US"/>
        </w:rPr>
        <w:t xml:space="preserve">the </w:t>
      </w:r>
      <w:r w:rsidR="0068486D" w:rsidRPr="00905499">
        <w:rPr>
          <w:rFonts w:ascii="Times New Roman" w:hAnsi="Times New Roman" w:cs="Times New Roman"/>
          <w:lang w:val="en-US"/>
        </w:rPr>
        <w:t>development of university aspirations</w:t>
      </w:r>
      <w:r w:rsidR="00FE6354" w:rsidRPr="00905499">
        <w:rPr>
          <w:rFonts w:ascii="Times New Roman" w:hAnsi="Times New Roman" w:cs="Times New Roman"/>
          <w:lang w:val="en-US"/>
        </w:rPr>
        <w:t xml:space="preserve">, </w:t>
      </w:r>
      <w:r w:rsidR="0068486D" w:rsidRPr="00905499">
        <w:rPr>
          <w:rFonts w:ascii="Times New Roman" w:hAnsi="Times New Roman" w:cs="Times New Roman"/>
          <w:lang w:val="en-US"/>
        </w:rPr>
        <w:t>attainment of those aspirations</w:t>
      </w:r>
      <w:r w:rsidR="009A4D0E" w:rsidRPr="00905499">
        <w:rPr>
          <w:rFonts w:ascii="Times New Roman" w:hAnsi="Times New Roman" w:cs="Times New Roman"/>
          <w:lang w:val="en-US"/>
        </w:rPr>
        <w:t>, and</w:t>
      </w:r>
      <w:r w:rsidR="00416305" w:rsidRPr="00905499">
        <w:rPr>
          <w:rFonts w:ascii="Times New Roman" w:hAnsi="Times New Roman" w:cs="Times New Roman"/>
          <w:lang w:val="en-US"/>
        </w:rPr>
        <w:t xml:space="preserve"> </w:t>
      </w:r>
      <w:r w:rsidR="0068486D" w:rsidRPr="00905499">
        <w:rPr>
          <w:rFonts w:ascii="Times New Roman" w:hAnsi="Times New Roman" w:cs="Times New Roman"/>
          <w:lang w:val="en-US"/>
        </w:rPr>
        <w:t>entry to</w:t>
      </w:r>
      <w:r w:rsidR="009A4D0E" w:rsidRPr="00905499">
        <w:rPr>
          <w:rFonts w:ascii="Times New Roman" w:hAnsi="Times New Roman" w:cs="Times New Roman"/>
          <w:lang w:val="en-US"/>
        </w:rPr>
        <w:t xml:space="preserve"> an elite university. </w:t>
      </w:r>
      <w:r w:rsidR="0036149B" w:rsidRPr="00905499">
        <w:rPr>
          <w:rFonts w:ascii="Times New Roman" w:hAnsi="Times New Roman" w:cs="Times New Roman"/>
          <w:lang w:val="en-US"/>
        </w:rPr>
        <w:t>In addition, the results of distance were significant over and above standardized tests of math, reading, and science ability. There is an emerging literature that suggests that children in geographically disadvantaged locations are less likely to have highly qualified teachers and are often less well resourced (</w:t>
      </w:r>
      <w:r w:rsidR="00C9327B" w:rsidRPr="00905499">
        <w:rPr>
          <w:rFonts w:ascii="Times New Roman" w:hAnsi="Times New Roman" w:cs="Times New Roman"/>
          <w:lang w:val="en-US"/>
        </w:rPr>
        <w:t>Kannapel &amp; DeYoung, 1999; see also Byun, et al., 2012)</w:t>
      </w:r>
      <w:r w:rsidR="00B47F48">
        <w:rPr>
          <w:rFonts w:ascii="Times New Roman" w:hAnsi="Times New Roman" w:cs="Times New Roman"/>
          <w:lang w:val="en-US"/>
        </w:rPr>
        <w:t>,</w:t>
      </w:r>
      <w:r w:rsidR="0036149B" w:rsidRPr="00905499">
        <w:rPr>
          <w:rFonts w:ascii="Times New Roman" w:hAnsi="Times New Roman" w:cs="Times New Roman"/>
          <w:lang w:val="en-US"/>
        </w:rPr>
        <w:t xml:space="preserve"> which may account for </w:t>
      </w:r>
      <w:r w:rsidR="00AA1CD2" w:rsidRPr="00905499">
        <w:rPr>
          <w:rFonts w:ascii="Times New Roman" w:hAnsi="Times New Roman" w:cs="Times New Roman"/>
          <w:lang w:val="en-US"/>
        </w:rPr>
        <w:t xml:space="preserve">their </w:t>
      </w:r>
      <w:r w:rsidR="0036149B" w:rsidRPr="00905499">
        <w:rPr>
          <w:rFonts w:ascii="Times New Roman" w:hAnsi="Times New Roman" w:cs="Times New Roman"/>
          <w:lang w:val="en-US"/>
        </w:rPr>
        <w:t>lower</w:t>
      </w:r>
      <w:r w:rsidR="00AA1CD2" w:rsidRPr="00905499">
        <w:rPr>
          <w:rFonts w:ascii="Times New Roman" w:hAnsi="Times New Roman" w:cs="Times New Roman"/>
          <w:lang w:val="en-US"/>
        </w:rPr>
        <w:t xml:space="preserve"> levels of</w:t>
      </w:r>
      <w:r w:rsidR="0036149B" w:rsidRPr="00905499">
        <w:rPr>
          <w:rFonts w:ascii="Times New Roman" w:hAnsi="Times New Roman" w:cs="Times New Roman"/>
          <w:lang w:val="en-US"/>
        </w:rPr>
        <w:t xml:space="preserve"> academic achievement (</w:t>
      </w:r>
      <w:r w:rsidR="00C9327B" w:rsidRPr="00905499">
        <w:rPr>
          <w:rFonts w:ascii="Times New Roman" w:hAnsi="Times New Roman" w:cs="Times New Roman"/>
          <w:lang w:val="en-US"/>
        </w:rPr>
        <w:t>Pegg &amp; Panizzon, 2007</w:t>
      </w:r>
      <w:r w:rsidR="0036149B" w:rsidRPr="00905499">
        <w:rPr>
          <w:rFonts w:ascii="Times New Roman" w:hAnsi="Times New Roman" w:cs="Times New Roman"/>
          <w:lang w:val="en-US"/>
        </w:rPr>
        <w:t xml:space="preserve">). </w:t>
      </w:r>
      <w:r w:rsidR="00AA1CD2" w:rsidRPr="00905499">
        <w:rPr>
          <w:rFonts w:ascii="Times New Roman" w:hAnsi="Times New Roman" w:cs="Times New Roman"/>
          <w:lang w:val="en-US"/>
        </w:rPr>
        <w:t>Yet</w:t>
      </w:r>
      <w:r w:rsidR="00B47F48">
        <w:rPr>
          <w:rFonts w:ascii="Times New Roman" w:hAnsi="Times New Roman" w:cs="Times New Roman"/>
          <w:lang w:val="en-US"/>
        </w:rPr>
        <w:t>,</w:t>
      </w:r>
      <w:r w:rsidR="00AA1CD2" w:rsidRPr="00905499">
        <w:rPr>
          <w:rFonts w:ascii="Times New Roman" w:hAnsi="Times New Roman" w:cs="Times New Roman"/>
          <w:lang w:val="en-US"/>
        </w:rPr>
        <w:t xml:space="preserve"> the </w:t>
      </w:r>
      <w:r w:rsidR="0036149B" w:rsidRPr="00905499">
        <w:rPr>
          <w:rFonts w:ascii="Times New Roman" w:hAnsi="Times New Roman" w:cs="Times New Roman"/>
          <w:lang w:val="en-US"/>
        </w:rPr>
        <w:t>results here suggest that the influence of distance could not be accounted for by differences in academic ability</w:t>
      </w:r>
      <w:r w:rsidR="00EA1048" w:rsidRPr="00905499">
        <w:rPr>
          <w:rFonts w:ascii="Times New Roman" w:hAnsi="Times New Roman" w:cs="Times New Roman"/>
          <w:lang w:val="en-US"/>
        </w:rPr>
        <w:t xml:space="preserve"> or socioeconomic status</w:t>
      </w:r>
      <w:r w:rsidR="00C908A8" w:rsidRPr="00905499">
        <w:rPr>
          <w:rFonts w:ascii="Times New Roman" w:hAnsi="Times New Roman" w:cs="Times New Roman"/>
          <w:lang w:val="en-US"/>
        </w:rPr>
        <w:t xml:space="preserve"> alone</w:t>
      </w:r>
      <w:r w:rsidR="0036149B" w:rsidRPr="00905499">
        <w:rPr>
          <w:rFonts w:ascii="Times New Roman" w:hAnsi="Times New Roman" w:cs="Times New Roman"/>
          <w:lang w:val="en-US"/>
        </w:rPr>
        <w:t>.</w:t>
      </w:r>
    </w:p>
    <w:p w14:paraId="66BAFAC5" w14:textId="229D61BB" w:rsidR="004F3D82" w:rsidRPr="00905499" w:rsidRDefault="004F3D82" w:rsidP="008B74D0">
      <w:pPr>
        <w:spacing w:line="360" w:lineRule="auto"/>
        <w:ind w:firstLine="720"/>
        <w:jc w:val="both"/>
        <w:rPr>
          <w:rFonts w:ascii="Times New Roman" w:hAnsi="Times New Roman" w:cs="Times New Roman"/>
          <w:lang w:val="en-US"/>
        </w:rPr>
      </w:pPr>
      <w:r w:rsidRPr="00905499">
        <w:rPr>
          <w:rFonts w:ascii="Times New Roman" w:hAnsi="Times New Roman" w:cs="Times New Roman"/>
          <w:lang w:val="en-US"/>
        </w:rPr>
        <w:t>Distance was also a significant predictor of educational aspirations controlling for both family socioeconomic status and postcode average educational and occupational status. This is consistent with finding from the U</w:t>
      </w:r>
      <w:r w:rsidR="009543AB">
        <w:rPr>
          <w:rFonts w:ascii="Times New Roman" w:hAnsi="Times New Roman" w:cs="Times New Roman"/>
          <w:lang w:val="en-US"/>
        </w:rPr>
        <w:t>.</w:t>
      </w:r>
      <w:r w:rsidRPr="00905499">
        <w:rPr>
          <w:rFonts w:ascii="Times New Roman" w:hAnsi="Times New Roman" w:cs="Times New Roman"/>
          <w:lang w:val="en-US"/>
        </w:rPr>
        <w:t>S</w:t>
      </w:r>
      <w:r w:rsidR="009543AB">
        <w:rPr>
          <w:rFonts w:ascii="Times New Roman" w:hAnsi="Times New Roman" w:cs="Times New Roman"/>
          <w:lang w:val="en-US"/>
        </w:rPr>
        <w:t>.</w:t>
      </w:r>
      <w:r w:rsidRPr="00905499">
        <w:rPr>
          <w:rFonts w:ascii="Times New Roman" w:hAnsi="Times New Roman" w:cs="Times New Roman"/>
          <w:lang w:val="en-US"/>
        </w:rPr>
        <w:t xml:space="preserve"> (see Byun et al., 2012 for a review). Importantly, this directs attention toward how various social and </w:t>
      </w:r>
      <w:r w:rsidRPr="00905499">
        <w:rPr>
          <w:rFonts w:ascii="Times New Roman" w:hAnsi="Times New Roman" w:cs="Times New Roman"/>
          <w:lang w:val="en-US"/>
        </w:rPr>
        <w:lastRenderedPageBreak/>
        <w:t xml:space="preserve">community processes </w:t>
      </w:r>
      <w:r w:rsidR="0068486D" w:rsidRPr="00905499">
        <w:rPr>
          <w:rFonts w:ascii="Times New Roman" w:hAnsi="Times New Roman" w:cs="Times New Roman"/>
          <w:lang w:val="en-US"/>
        </w:rPr>
        <w:t>lead to different developmental influences in different geographic areas</w:t>
      </w:r>
      <w:r w:rsidRPr="00905499">
        <w:rPr>
          <w:rFonts w:ascii="Times New Roman" w:hAnsi="Times New Roman" w:cs="Times New Roman"/>
          <w:lang w:val="en-US"/>
        </w:rPr>
        <w:t xml:space="preserve"> (Byun et al., 2012).</w:t>
      </w:r>
    </w:p>
    <w:p w14:paraId="33791CD5" w14:textId="4153D5DE" w:rsidR="003D1118" w:rsidRPr="00905499" w:rsidRDefault="003D1118" w:rsidP="003D1118">
      <w:pPr>
        <w:spacing w:line="360" w:lineRule="auto"/>
        <w:jc w:val="both"/>
        <w:rPr>
          <w:rFonts w:ascii="Times New Roman" w:hAnsi="Times New Roman" w:cs="Times New Roman"/>
          <w:lang w:val="en-US"/>
        </w:rPr>
      </w:pPr>
      <w:r w:rsidRPr="00905499">
        <w:rPr>
          <w:rFonts w:ascii="Times New Roman" w:hAnsi="Times New Roman" w:cs="Times New Roman"/>
          <w:b/>
          <w:lang w:val="en-US"/>
        </w:rPr>
        <w:t>Anticipatory Decision H</w:t>
      </w:r>
      <w:r w:rsidR="002B5838" w:rsidRPr="00905499">
        <w:rPr>
          <w:rFonts w:ascii="Times New Roman" w:hAnsi="Times New Roman" w:cs="Times New Roman"/>
          <w:b/>
          <w:lang w:val="en-US"/>
        </w:rPr>
        <w:t>ypothesis</w:t>
      </w:r>
    </w:p>
    <w:p w14:paraId="735B9497" w14:textId="0D1B62C2" w:rsidR="0076649F" w:rsidRPr="00905499" w:rsidRDefault="002B5838" w:rsidP="008B74D0">
      <w:pPr>
        <w:spacing w:line="360" w:lineRule="auto"/>
        <w:ind w:firstLine="360"/>
        <w:jc w:val="both"/>
        <w:rPr>
          <w:rFonts w:ascii="Times New Roman" w:hAnsi="Times New Roman" w:cs="Times New Roman"/>
          <w:lang w:val="en-US"/>
        </w:rPr>
      </w:pPr>
      <w:r w:rsidRPr="00905499">
        <w:rPr>
          <w:rFonts w:ascii="Times New Roman" w:hAnsi="Times New Roman" w:cs="Times New Roman"/>
          <w:i/>
          <w:lang w:val="en-US"/>
        </w:rPr>
        <w:t xml:space="preserve"> </w:t>
      </w:r>
      <w:r w:rsidR="0064349B" w:rsidRPr="00905499">
        <w:rPr>
          <w:rFonts w:ascii="Times New Roman" w:hAnsi="Times New Roman" w:cs="Times New Roman"/>
          <w:lang w:val="en-US"/>
        </w:rPr>
        <w:t xml:space="preserve">Large effects were found for the effect of distance on expectations of a university level of education at age 15. </w:t>
      </w:r>
      <w:r w:rsidR="00EA1048" w:rsidRPr="00905499">
        <w:rPr>
          <w:rFonts w:ascii="Times New Roman" w:hAnsi="Times New Roman" w:cs="Times New Roman"/>
          <w:lang w:val="en-US"/>
        </w:rPr>
        <w:t>The effects were considerable</w:t>
      </w:r>
      <w:r w:rsidR="00AA1CD2" w:rsidRPr="00905499">
        <w:rPr>
          <w:rFonts w:ascii="Times New Roman" w:hAnsi="Times New Roman" w:cs="Times New Roman"/>
          <w:lang w:val="en-US"/>
        </w:rPr>
        <w:t>,</w:t>
      </w:r>
      <w:r w:rsidR="00EA1048" w:rsidRPr="00905499">
        <w:rPr>
          <w:rFonts w:ascii="Times New Roman" w:hAnsi="Times New Roman" w:cs="Times New Roman"/>
          <w:lang w:val="en-US"/>
        </w:rPr>
        <w:t xml:space="preserve"> with the presence of at least one campus in proximity </w:t>
      </w:r>
      <w:r w:rsidR="00337A63" w:rsidRPr="00905499">
        <w:rPr>
          <w:rFonts w:ascii="Times New Roman" w:hAnsi="Times New Roman" w:cs="Times New Roman"/>
          <w:lang w:val="en-US"/>
        </w:rPr>
        <w:t>being associated with over a 10-</w:t>
      </w:r>
      <w:r w:rsidR="00411035" w:rsidRPr="00905499">
        <w:rPr>
          <w:rFonts w:ascii="Times New Roman" w:hAnsi="Times New Roman" w:cs="Times New Roman"/>
          <w:lang w:val="en-US"/>
        </w:rPr>
        <w:t>p</w:t>
      </w:r>
      <w:r w:rsidR="00EA1048" w:rsidRPr="00905499">
        <w:rPr>
          <w:rFonts w:ascii="Times New Roman" w:hAnsi="Times New Roman" w:cs="Times New Roman"/>
          <w:lang w:val="en-US"/>
        </w:rPr>
        <w:t xml:space="preserve">ercentage point increase in the likelihood of expecting a university level of education. </w:t>
      </w:r>
      <w:r w:rsidR="0064349B" w:rsidRPr="00905499">
        <w:rPr>
          <w:rFonts w:ascii="Times New Roman" w:hAnsi="Times New Roman" w:cs="Times New Roman"/>
          <w:lang w:val="en-US"/>
        </w:rPr>
        <w:t>Such a finding suggests that the effect of distance is related to more than just cost related factors</w:t>
      </w:r>
      <w:r w:rsidR="00BF1F76">
        <w:rPr>
          <w:rFonts w:ascii="Times New Roman" w:hAnsi="Times New Roman" w:cs="Times New Roman"/>
          <w:lang w:val="en-US"/>
        </w:rPr>
        <w:t>, which</w:t>
      </w:r>
      <w:r w:rsidR="0076649F" w:rsidRPr="00905499">
        <w:rPr>
          <w:rFonts w:ascii="Times New Roman" w:hAnsi="Times New Roman" w:cs="Times New Roman"/>
          <w:lang w:val="en-US"/>
        </w:rPr>
        <w:t xml:space="preserve"> </w:t>
      </w:r>
      <w:r w:rsidR="00BF1F76">
        <w:rPr>
          <w:rFonts w:ascii="Times New Roman" w:hAnsi="Times New Roman" w:cs="Times New Roman"/>
          <w:lang w:val="en-US"/>
        </w:rPr>
        <w:t>suggest</w:t>
      </w:r>
      <w:r w:rsidR="0076649F" w:rsidRPr="00905499">
        <w:rPr>
          <w:rFonts w:ascii="Times New Roman" w:hAnsi="Times New Roman" w:cs="Times New Roman"/>
          <w:lang w:val="en-US"/>
        </w:rPr>
        <w:t xml:space="preserve"> strong developmental effects. Importantly, consistent with the Wisconsin model of status attainment (Sewell et al., 1970)</w:t>
      </w:r>
      <w:r w:rsidR="004B544E">
        <w:rPr>
          <w:rFonts w:ascii="Times New Roman" w:hAnsi="Times New Roman" w:cs="Times New Roman"/>
          <w:lang w:val="en-US"/>
        </w:rPr>
        <w:t>,</w:t>
      </w:r>
      <w:r w:rsidR="0076649F" w:rsidRPr="00905499">
        <w:rPr>
          <w:rFonts w:ascii="Times New Roman" w:hAnsi="Times New Roman" w:cs="Times New Roman"/>
          <w:lang w:val="en-US"/>
        </w:rPr>
        <w:t xml:space="preserve"> these aspirations went on to be strong predictors of actual university entry. Taken together, these findings suggest that at least part of the effect of distance on </w:t>
      </w:r>
      <w:r w:rsidR="00621C80" w:rsidRPr="00905499">
        <w:rPr>
          <w:rFonts w:ascii="Times New Roman" w:hAnsi="Times New Roman" w:cs="Times New Roman"/>
          <w:lang w:val="en-US"/>
        </w:rPr>
        <w:t>higher education</w:t>
      </w:r>
      <w:r w:rsidR="0076649F" w:rsidRPr="00905499">
        <w:rPr>
          <w:rFonts w:ascii="Times New Roman" w:hAnsi="Times New Roman" w:cs="Times New Roman"/>
          <w:lang w:val="en-US"/>
        </w:rPr>
        <w:t xml:space="preserve"> educational outcomes occurs at least as early as </w:t>
      </w:r>
      <w:r w:rsidR="00337A63" w:rsidRPr="00905499">
        <w:rPr>
          <w:rFonts w:ascii="Times New Roman" w:hAnsi="Times New Roman" w:cs="Times New Roman"/>
          <w:lang w:val="en-US"/>
        </w:rPr>
        <w:t xml:space="preserve">age </w:t>
      </w:r>
      <w:r w:rsidR="0076649F" w:rsidRPr="00905499">
        <w:rPr>
          <w:rFonts w:ascii="Times New Roman" w:hAnsi="Times New Roman" w:cs="Times New Roman"/>
          <w:lang w:val="en-US"/>
        </w:rPr>
        <w:t>15 and, based on research on the formation of aspirations Gambetta (1989) and Grodsky and Riegle-Crumb (2010), may occur even sooner than that.</w:t>
      </w:r>
    </w:p>
    <w:p w14:paraId="5CBFECC9" w14:textId="2B14D6B7" w:rsidR="00940DAC" w:rsidRPr="00905499" w:rsidRDefault="0064349B" w:rsidP="008B74D0">
      <w:pPr>
        <w:spacing w:line="360" w:lineRule="auto"/>
        <w:ind w:firstLine="360"/>
        <w:jc w:val="both"/>
        <w:rPr>
          <w:rFonts w:ascii="Times New Roman" w:hAnsi="Times New Roman" w:cs="Times New Roman"/>
          <w:lang w:val="en-US"/>
        </w:rPr>
      </w:pPr>
      <w:r w:rsidRPr="00905499">
        <w:rPr>
          <w:rFonts w:ascii="Times New Roman" w:hAnsi="Times New Roman" w:cs="Times New Roman"/>
          <w:lang w:val="en-US"/>
        </w:rPr>
        <w:t xml:space="preserve">Such a finding is important as it suggests that programs designed </w:t>
      </w:r>
      <w:r w:rsidR="0076649F" w:rsidRPr="00905499">
        <w:rPr>
          <w:rFonts w:ascii="Times New Roman" w:hAnsi="Times New Roman" w:cs="Times New Roman"/>
          <w:lang w:val="en-US"/>
        </w:rPr>
        <w:t>to increase attendance of regionally disadvantaged youth cannot merely focus on scholarships, stipends, or bursaries. Instead</w:t>
      </w:r>
      <w:r w:rsidR="007E578B">
        <w:rPr>
          <w:rFonts w:ascii="Times New Roman" w:hAnsi="Times New Roman" w:cs="Times New Roman"/>
          <w:lang w:val="en-US"/>
        </w:rPr>
        <w:t>,</w:t>
      </w:r>
      <w:r w:rsidR="0076649F" w:rsidRPr="00905499">
        <w:rPr>
          <w:rFonts w:ascii="Times New Roman" w:hAnsi="Times New Roman" w:cs="Times New Roman"/>
          <w:lang w:val="en-US"/>
        </w:rPr>
        <w:t xml:space="preserve"> intervention needs to occur much earlier in adolescents’ educational careers. To effectively do so, however, further research is needed to identify the particular developmental mechanisms </w:t>
      </w:r>
      <w:r w:rsidR="00C939DF" w:rsidRPr="00905499">
        <w:rPr>
          <w:rFonts w:ascii="Times New Roman" w:hAnsi="Times New Roman" w:cs="Times New Roman"/>
          <w:lang w:val="en-US"/>
        </w:rPr>
        <w:t xml:space="preserve">that </w:t>
      </w:r>
      <w:r w:rsidR="00337A63" w:rsidRPr="00905499">
        <w:rPr>
          <w:rFonts w:ascii="Times New Roman" w:hAnsi="Times New Roman" w:cs="Times New Roman"/>
          <w:lang w:val="en-US"/>
        </w:rPr>
        <w:t>are</w:t>
      </w:r>
      <w:r w:rsidR="00C939DF" w:rsidRPr="00905499">
        <w:rPr>
          <w:rFonts w:ascii="Times New Roman" w:hAnsi="Times New Roman" w:cs="Times New Roman"/>
          <w:lang w:val="en-US"/>
        </w:rPr>
        <w:t xml:space="preserve"> at</w:t>
      </w:r>
      <w:r w:rsidR="0076649F" w:rsidRPr="00905499">
        <w:rPr>
          <w:rFonts w:ascii="Times New Roman" w:hAnsi="Times New Roman" w:cs="Times New Roman"/>
          <w:lang w:val="en-US"/>
        </w:rPr>
        <w:t xml:space="preserve"> play. </w:t>
      </w:r>
      <w:r w:rsidR="00EE262A" w:rsidRPr="00905499">
        <w:rPr>
          <w:rFonts w:ascii="Times New Roman" w:hAnsi="Times New Roman" w:cs="Times New Roman"/>
          <w:lang w:val="en-US"/>
        </w:rPr>
        <w:t>For example, Crockett et al. (2000</w:t>
      </w:r>
      <w:r w:rsidR="00447042" w:rsidRPr="00905499">
        <w:rPr>
          <w:rFonts w:ascii="Times New Roman" w:hAnsi="Times New Roman" w:cs="Times New Roman"/>
          <w:lang w:val="en-US"/>
        </w:rPr>
        <w:t xml:space="preserve">; see also Elder &amp; Conger, 2000; Elder, </w:t>
      </w:r>
      <w:r w:rsidR="00105603" w:rsidRPr="00905499">
        <w:rPr>
          <w:rFonts w:ascii="Times New Roman" w:hAnsi="Times New Roman" w:cs="Times New Roman"/>
          <w:lang w:val="en-US"/>
        </w:rPr>
        <w:t>et al.</w:t>
      </w:r>
      <w:r w:rsidR="00447042" w:rsidRPr="00905499">
        <w:rPr>
          <w:rFonts w:ascii="Times New Roman" w:hAnsi="Times New Roman" w:cs="Times New Roman"/>
          <w:lang w:val="en-US"/>
        </w:rPr>
        <w:t>, 1996</w:t>
      </w:r>
      <w:r w:rsidR="00EE262A" w:rsidRPr="00905499">
        <w:rPr>
          <w:rFonts w:ascii="Times New Roman" w:hAnsi="Times New Roman" w:cs="Times New Roman"/>
          <w:lang w:val="en-US"/>
        </w:rPr>
        <w:t xml:space="preserve">) suggested that rural and remote communities are less economically diverse and generally consist of jobs that do not require a university degree thus providing students with fewer options to consider when </w:t>
      </w:r>
      <w:r w:rsidR="000E4E84" w:rsidRPr="00905499">
        <w:rPr>
          <w:rFonts w:ascii="Times New Roman" w:hAnsi="Times New Roman" w:cs="Times New Roman"/>
          <w:lang w:val="en-US"/>
        </w:rPr>
        <w:t>developing a</w:t>
      </w:r>
      <w:r w:rsidR="00EE262A" w:rsidRPr="00905499">
        <w:rPr>
          <w:rFonts w:ascii="Times New Roman" w:hAnsi="Times New Roman" w:cs="Times New Roman"/>
          <w:lang w:val="en-US"/>
        </w:rPr>
        <w:t xml:space="preserve"> career </w:t>
      </w:r>
      <w:r w:rsidR="000E4E84" w:rsidRPr="00905499">
        <w:rPr>
          <w:rFonts w:ascii="Times New Roman" w:hAnsi="Times New Roman" w:cs="Times New Roman"/>
          <w:lang w:val="en-US"/>
        </w:rPr>
        <w:t>self-concept or set of goals</w:t>
      </w:r>
      <w:r w:rsidR="00EE262A" w:rsidRPr="00905499">
        <w:rPr>
          <w:rFonts w:ascii="Times New Roman" w:hAnsi="Times New Roman" w:cs="Times New Roman"/>
          <w:lang w:val="en-US"/>
        </w:rPr>
        <w:t xml:space="preserve"> (see </w:t>
      </w:r>
      <w:r w:rsidR="00387840" w:rsidRPr="00905499">
        <w:rPr>
          <w:rFonts w:ascii="Times New Roman" w:hAnsi="Times New Roman" w:cs="Times New Roman"/>
          <w:lang w:val="en-US"/>
        </w:rPr>
        <w:t>Dietrich et al., 2012</w:t>
      </w:r>
      <w:r w:rsidR="00EE262A" w:rsidRPr="00905499">
        <w:rPr>
          <w:rFonts w:ascii="Times New Roman" w:hAnsi="Times New Roman" w:cs="Times New Roman"/>
          <w:lang w:val="en-US"/>
        </w:rPr>
        <w:t xml:space="preserve"> for a review). This would suggest the </w:t>
      </w:r>
      <w:r w:rsidR="007E578B">
        <w:rPr>
          <w:rFonts w:ascii="Times New Roman" w:hAnsi="Times New Roman" w:cs="Times New Roman"/>
          <w:lang w:val="en-US"/>
        </w:rPr>
        <w:t xml:space="preserve">need to provide youth with </w:t>
      </w:r>
      <w:r w:rsidR="00EE262A" w:rsidRPr="00905499">
        <w:rPr>
          <w:rFonts w:ascii="Times New Roman" w:hAnsi="Times New Roman" w:cs="Times New Roman"/>
          <w:lang w:val="en-US"/>
        </w:rPr>
        <w:t xml:space="preserve">greater access to career models and information. </w:t>
      </w:r>
    </w:p>
    <w:p w14:paraId="248BD0E5" w14:textId="0AE19835" w:rsidR="0064349B" w:rsidRPr="00905499" w:rsidRDefault="003231FC" w:rsidP="008B74D0">
      <w:pPr>
        <w:spacing w:line="360" w:lineRule="auto"/>
        <w:ind w:firstLine="360"/>
        <w:jc w:val="both"/>
        <w:rPr>
          <w:rFonts w:ascii="Times New Roman" w:hAnsi="Times New Roman" w:cs="Times New Roman"/>
          <w:lang w:val="en-US"/>
        </w:rPr>
      </w:pPr>
      <w:r w:rsidRPr="00905499">
        <w:rPr>
          <w:rFonts w:ascii="Times New Roman" w:hAnsi="Times New Roman" w:cs="Times New Roman"/>
          <w:lang w:val="en-US"/>
        </w:rPr>
        <w:t>Interestingly, socioeconomic status moderated the effect of distance on expectations of a university level of education. Again, given the current data</w:t>
      </w:r>
      <w:r w:rsidR="00AA56D6">
        <w:rPr>
          <w:rFonts w:ascii="Times New Roman" w:hAnsi="Times New Roman" w:cs="Times New Roman"/>
          <w:lang w:val="en-US"/>
        </w:rPr>
        <w:t>,</w:t>
      </w:r>
      <w:r w:rsidRPr="00905499">
        <w:rPr>
          <w:rFonts w:ascii="Times New Roman" w:hAnsi="Times New Roman" w:cs="Times New Roman"/>
          <w:lang w:val="en-US"/>
        </w:rPr>
        <w:t xml:space="preserve"> it is unclear what set of competing mechanisms may explain this. </w:t>
      </w:r>
      <w:r w:rsidR="00C2048E" w:rsidRPr="00905499">
        <w:rPr>
          <w:rFonts w:ascii="Times New Roman" w:hAnsi="Times New Roman" w:cs="Times New Roman"/>
          <w:lang w:val="en-US"/>
        </w:rPr>
        <w:t xml:space="preserve">It may be that richer adolescents have </w:t>
      </w:r>
      <w:r w:rsidR="00000232" w:rsidRPr="00905499">
        <w:rPr>
          <w:rFonts w:ascii="Times New Roman" w:hAnsi="Times New Roman" w:cs="Times New Roman"/>
          <w:lang w:val="en-US"/>
        </w:rPr>
        <w:t xml:space="preserve">access to </w:t>
      </w:r>
      <w:r w:rsidR="00C2048E" w:rsidRPr="00905499">
        <w:rPr>
          <w:rFonts w:ascii="Times New Roman" w:hAnsi="Times New Roman" w:cs="Times New Roman"/>
          <w:lang w:val="en-US"/>
        </w:rPr>
        <w:t>more diverse occupational models</w:t>
      </w:r>
      <w:r w:rsidR="00000232" w:rsidRPr="00905499">
        <w:rPr>
          <w:rFonts w:ascii="Times New Roman" w:hAnsi="Times New Roman" w:cs="Times New Roman"/>
          <w:lang w:val="en-US"/>
        </w:rPr>
        <w:t xml:space="preserve"> that can supplement a lack of such model in regional areas (</w:t>
      </w:r>
      <w:r w:rsidR="00940DAC" w:rsidRPr="00905499">
        <w:rPr>
          <w:rFonts w:ascii="Times New Roman" w:hAnsi="Times New Roman" w:cs="Times New Roman"/>
          <w:lang w:val="en-US"/>
        </w:rPr>
        <w:t>Elder et al., 1996</w:t>
      </w:r>
      <w:r w:rsidR="00000232" w:rsidRPr="00905499">
        <w:rPr>
          <w:rFonts w:ascii="Times New Roman" w:hAnsi="Times New Roman" w:cs="Times New Roman"/>
          <w:lang w:val="en-US"/>
        </w:rPr>
        <w:t>)</w:t>
      </w:r>
      <w:r w:rsidR="00C2048E" w:rsidRPr="00905499">
        <w:rPr>
          <w:rFonts w:ascii="Times New Roman" w:hAnsi="Times New Roman" w:cs="Times New Roman"/>
          <w:lang w:val="en-US"/>
        </w:rPr>
        <w:t xml:space="preserve">. Alternatively, </w:t>
      </w:r>
      <w:r w:rsidR="00000232" w:rsidRPr="00905499">
        <w:rPr>
          <w:rFonts w:ascii="Times New Roman" w:hAnsi="Times New Roman" w:cs="Times New Roman"/>
          <w:lang w:val="en-US"/>
        </w:rPr>
        <w:t xml:space="preserve">consistent with the findings of Gambetta (1989) and Grodsky and &amp; Riegle-Crumb (2010), </w:t>
      </w:r>
      <w:r w:rsidR="00C2048E" w:rsidRPr="00905499">
        <w:rPr>
          <w:rFonts w:ascii="Times New Roman" w:hAnsi="Times New Roman" w:cs="Times New Roman"/>
          <w:lang w:val="en-US"/>
        </w:rPr>
        <w:t xml:space="preserve">it </w:t>
      </w:r>
      <w:r w:rsidR="00B047A6" w:rsidRPr="00905499">
        <w:rPr>
          <w:rFonts w:ascii="Times New Roman" w:hAnsi="Times New Roman" w:cs="Times New Roman"/>
          <w:lang w:val="en-US"/>
        </w:rPr>
        <w:t xml:space="preserve">is </w:t>
      </w:r>
      <w:r w:rsidR="00C2048E" w:rsidRPr="00905499">
        <w:rPr>
          <w:rFonts w:ascii="Times New Roman" w:hAnsi="Times New Roman" w:cs="Times New Roman"/>
          <w:lang w:val="en-US"/>
        </w:rPr>
        <w:t>also</w:t>
      </w:r>
      <w:r w:rsidR="00B047A6" w:rsidRPr="00905499">
        <w:rPr>
          <w:rFonts w:ascii="Times New Roman" w:hAnsi="Times New Roman" w:cs="Times New Roman"/>
          <w:lang w:val="en-US"/>
        </w:rPr>
        <w:t xml:space="preserve"> likely</w:t>
      </w:r>
      <w:r w:rsidR="00C2048E" w:rsidRPr="00905499">
        <w:rPr>
          <w:rFonts w:ascii="Times New Roman" w:hAnsi="Times New Roman" w:cs="Times New Roman"/>
          <w:lang w:val="en-US"/>
        </w:rPr>
        <w:t xml:space="preserve"> be true that children from </w:t>
      </w:r>
      <w:r w:rsidR="00B047A6" w:rsidRPr="00905499">
        <w:rPr>
          <w:rFonts w:ascii="Times New Roman" w:hAnsi="Times New Roman" w:cs="Times New Roman"/>
          <w:lang w:val="en-US"/>
        </w:rPr>
        <w:t xml:space="preserve">more affluent and highly educated </w:t>
      </w:r>
      <w:r w:rsidR="00C2048E" w:rsidRPr="00905499">
        <w:rPr>
          <w:rFonts w:ascii="Times New Roman" w:hAnsi="Times New Roman" w:cs="Times New Roman"/>
          <w:lang w:val="en-US"/>
        </w:rPr>
        <w:t>families inherit a university going habitus at a very early age</w:t>
      </w:r>
      <w:r w:rsidR="00000232" w:rsidRPr="00905499">
        <w:rPr>
          <w:rFonts w:ascii="Times New Roman" w:hAnsi="Times New Roman" w:cs="Times New Roman"/>
          <w:lang w:val="en-US"/>
        </w:rPr>
        <w:t xml:space="preserve"> regardless of location.</w:t>
      </w:r>
    </w:p>
    <w:p w14:paraId="096B6059" w14:textId="45673D77" w:rsidR="00AA2CD2" w:rsidRPr="00905499" w:rsidRDefault="00EE262A" w:rsidP="00105603">
      <w:pPr>
        <w:spacing w:line="360" w:lineRule="auto"/>
        <w:jc w:val="both"/>
        <w:rPr>
          <w:rFonts w:ascii="Times New Roman" w:hAnsi="Times New Roman" w:cs="Times New Roman"/>
          <w:lang w:val="en-US"/>
        </w:rPr>
      </w:pPr>
      <w:r w:rsidRPr="00905499">
        <w:rPr>
          <w:rFonts w:ascii="Times New Roman" w:hAnsi="Times New Roman" w:cs="Times New Roman"/>
          <w:lang w:val="en-US"/>
        </w:rPr>
        <w:lastRenderedPageBreak/>
        <w:tab/>
        <w:t>It is important to note that anticipatory decisions</w:t>
      </w:r>
      <w:r w:rsidR="00000232" w:rsidRPr="00905499">
        <w:rPr>
          <w:rFonts w:ascii="Times New Roman" w:hAnsi="Times New Roman" w:cs="Times New Roman"/>
          <w:lang w:val="en-US"/>
        </w:rPr>
        <w:t>, as we operationalized them,</w:t>
      </w:r>
      <w:r w:rsidRPr="00905499">
        <w:rPr>
          <w:rFonts w:ascii="Times New Roman" w:hAnsi="Times New Roman" w:cs="Times New Roman"/>
          <w:lang w:val="en-US"/>
        </w:rPr>
        <w:t xml:space="preserve"> cannot explain the effect of distance on enrolment in elite universities</w:t>
      </w:r>
      <w:r w:rsidR="00000232" w:rsidRPr="00905499">
        <w:rPr>
          <w:rFonts w:ascii="Times New Roman" w:hAnsi="Times New Roman" w:cs="Times New Roman"/>
          <w:lang w:val="en-US"/>
        </w:rPr>
        <w:t xml:space="preserve"> given that aspirations had a non-significant effect on elite university enrolment</w:t>
      </w:r>
      <w:r w:rsidRPr="00905499">
        <w:rPr>
          <w:rFonts w:ascii="Times New Roman" w:hAnsi="Times New Roman" w:cs="Times New Roman"/>
          <w:lang w:val="en-US"/>
        </w:rPr>
        <w:t xml:space="preserve">. This may </w:t>
      </w:r>
      <w:r w:rsidR="00541515" w:rsidRPr="00905499">
        <w:rPr>
          <w:rFonts w:ascii="Times New Roman" w:hAnsi="Times New Roman" w:cs="Times New Roman"/>
          <w:lang w:val="en-US"/>
        </w:rPr>
        <w:t xml:space="preserve">mean </w:t>
      </w:r>
      <w:r w:rsidR="00000232" w:rsidRPr="00905499">
        <w:rPr>
          <w:rFonts w:ascii="Times New Roman" w:hAnsi="Times New Roman" w:cs="Times New Roman"/>
          <w:lang w:val="en-US"/>
        </w:rPr>
        <w:t xml:space="preserve">that the decision to go to university is strongly impacted by </w:t>
      </w:r>
      <w:r w:rsidRPr="00905499">
        <w:rPr>
          <w:rFonts w:ascii="Times New Roman" w:hAnsi="Times New Roman" w:cs="Times New Roman"/>
          <w:lang w:val="en-US"/>
        </w:rPr>
        <w:t xml:space="preserve">developmental mechanisms but </w:t>
      </w:r>
      <w:r w:rsidR="00000232" w:rsidRPr="00905499">
        <w:rPr>
          <w:rFonts w:ascii="Times New Roman" w:hAnsi="Times New Roman" w:cs="Times New Roman"/>
          <w:lang w:val="en-US"/>
        </w:rPr>
        <w:t xml:space="preserve">that </w:t>
      </w:r>
      <w:r w:rsidRPr="00905499">
        <w:rPr>
          <w:rFonts w:ascii="Times New Roman" w:hAnsi="Times New Roman" w:cs="Times New Roman"/>
          <w:lang w:val="en-US"/>
        </w:rPr>
        <w:t xml:space="preserve">institution choice </w:t>
      </w:r>
      <w:r w:rsidR="00000232" w:rsidRPr="00905499">
        <w:rPr>
          <w:rFonts w:ascii="Times New Roman" w:hAnsi="Times New Roman" w:cs="Times New Roman"/>
          <w:lang w:val="en-US"/>
        </w:rPr>
        <w:t>is largely</w:t>
      </w:r>
      <w:r w:rsidRPr="00905499">
        <w:rPr>
          <w:rFonts w:ascii="Times New Roman" w:hAnsi="Times New Roman" w:cs="Times New Roman"/>
          <w:lang w:val="en-US"/>
        </w:rPr>
        <w:t xml:space="preserve"> related to costs. </w:t>
      </w:r>
      <w:r w:rsidR="003231FC" w:rsidRPr="00905499">
        <w:rPr>
          <w:rFonts w:ascii="Times New Roman" w:hAnsi="Times New Roman" w:cs="Times New Roman"/>
          <w:lang w:val="en-US"/>
        </w:rPr>
        <w:t>However, developmental effects may</w:t>
      </w:r>
      <w:r w:rsidR="00FE6354" w:rsidRPr="00905499">
        <w:rPr>
          <w:rFonts w:ascii="Times New Roman" w:hAnsi="Times New Roman" w:cs="Times New Roman"/>
          <w:lang w:val="en-US"/>
        </w:rPr>
        <w:t xml:space="preserve"> </w:t>
      </w:r>
      <w:r w:rsidR="003231FC" w:rsidRPr="00905499">
        <w:rPr>
          <w:rFonts w:ascii="Times New Roman" w:hAnsi="Times New Roman" w:cs="Times New Roman"/>
          <w:lang w:val="en-US"/>
        </w:rPr>
        <w:t xml:space="preserve">be masked by </w:t>
      </w:r>
      <w:r w:rsidR="00000232" w:rsidRPr="00905499">
        <w:rPr>
          <w:rFonts w:ascii="Times New Roman" w:hAnsi="Times New Roman" w:cs="Times New Roman"/>
          <w:lang w:val="en-US"/>
        </w:rPr>
        <w:t xml:space="preserve">our narrow </w:t>
      </w:r>
      <w:r w:rsidR="00337A63" w:rsidRPr="00905499">
        <w:rPr>
          <w:rFonts w:ascii="Times New Roman" w:hAnsi="Times New Roman" w:cs="Times New Roman"/>
          <w:lang w:val="en-US"/>
        </w:rPr>
        <w:t>operationalization</w:t>
      </w:r>
      <w:r w:rsidR="00000232" w:rsidRPr="00905499">
        <w:rPr>
          <w:rFonts w:ascii="Times New Roman" w:hAnsi="Times New Roman" w:cs="Times New Roman"/>
          <w:lang w:val="en-US"/>
        </w:rPr>
        <w:t xml:space="preserve"> of anticipatory decisions. </w:t>
      </w:r>
      <w:r w:rsidR="003231FC" w:rsidRPr="00905499">
        <w:rPr>
          <w:rFonts w:ascii="Times New Roman" w:hAnsi="Times New Roman" w:cs="Times New Roman"/>
          <w:lang w:val="en-US"/>
        </w:rPr>
        <w:t xml:space="preserve">Factors </w:t>
      </w:r>
      <w:r w:rsidR="00000232" w:rsidRPr="00905499">
        <w:rPr>
          <w:rFonts w:ascii="Times New Roman" w:hAnsi="Times New Roman" w:cs="Times New Roman"/>
          <w:lang w:val="en-US"/>
        </w:rPr>
        <w:t xml:space="preserve">related more specifically to institution choice </w:t>
      </w:r>
      <w:r w:rsidR="003231FC" w:rsidRPr="00905499">
        <w:rPr>
          <w:rFonts w:ascii="Times New Roman" w:hAnsi="Times New Roman" w:cs="Times New Roman"/>
          <w:lang w:val="en-US"/>
        </w:rPr>
        <w:t>like parents</w:t>
      </w:r>
      <w:r w:rsidR="00FE6354" w:rsidRPr="00905499">
        <w:rPr>
          <w:rFonts w:ascii="Times New Roman" w:hAnsi="Times New Roman" w:cs="Times New Roman"/>
          <w:lang w:val="en-US"/>
        </w:rPr>
        <w:t>’</w:t>
      </w:r>
      <w:r w:rsidR="003231FC" w:rsidRPr="00905499">
        <w:rPr>
          <w:rFonts w:ascii="Times New Roman" w:hAnsi="Times New Roman" w:cs="Times New Roman"/>
          <w:lang w:val="en-US"/>
        </w:rPr>
        <w:t xml:space="preserve"> alm</w:t>
      </w:r>
      <w:r w:rsidR="00FE6354" w:rsidRPr="00905499">
        <w:rPr>
          <w:rFonts w:ascii="Times New Roman" w:hAnsi="Times New Roman" w:cs="Times New Roman"/>
          <w:lang w:val="en-US"/>
        </w:rPr>
        <w:t>a mater</w:t>
      </w:r>
      <w:r w:rsidR="003231FC" w:rsidRPr="00905499">
        <w:rPr>
          <w:rFonts w:ascii="Times New Roman" w:hAnsi="Times New Roman" w:cs="Times New Roman"/>
          <w:lang w:val="en-US"/>
        </w:rPr>
        <w:t xml:space="preserve"> may have indicated bigger effects for anticipatory decisions for elite university enrolment</w:t>
      </w:r>
      <w:r w:rsidR="00000232" w:rsidRPr="00905499">
        <w:rPr>
          <w:rFonts w:ascii="Times New Roman" w:hAnsi="Times New Roman" w:cs="Times New Roman"/>
          <w:lang w:val="en-US"/>
        </w:rPr>
        <w:t xml:space="preserve"> (</w:t>
      </w:r>
      <w:r w:rsidR="004202F8" w:rsidRPr="00905499">
        <w:rPr>
          <w:rFonts w:ascii="Times New Roman" w:hAnsi="Times New Roman" w:cs="Times New Roman"/>
          <w:lang w:val="en-US"/>
        </w:rPr>
        <w:t>Jerrim et al., in press</w:t>
      </w:r>
      <w:r w:rsidR="00000232" w:rsidRPr="00905499">
        <w:rPr>
          <w:rFonts w:ascii="Times New Roman" w:hAnsi="Times New Roman" w:cs="Times New Roman"/>
          <w:lang w:val="en-US"/>
        </w:rPr>
        <w:t>)</w:t>
      </w:r>
      <w:r w:rsidR="003231FC" w:rsidRPr="00905499">
        <w:rPr>
          <w:rFonts w:ascii="Times New Roman" w:hAnsi="Times New Roman" w:cs="Times New Roman"/>
          <w:lang w:val="en-US"/>
        </w:rPr>
        <w:t>.</w:t>
      </w:r>
      <w:r w:rsidR="00AA2CD2" w:rsidRPr="00905499">
        <w:rPr>
          <w:rFonts w:ascii="Times New Roman" w:hAnsi="Times New Roman" w:cs="Times New Roman"/>
          <w:lang w:val="en-US"/>
        </w:rPr>
        <w:t xml:space="preserve"> Such results are consistent with findings that young people tend to have a preference for attending universities that are near them</w:t>
      </w:r>
      <w:r w:rsidR="00337A63" w:rsidRPr="00905499">
        <w:rPr>
          <w:rFonts w:ascii="Times New Roman" w:hAnsi="Times New Roman" w:cs="Times New Roman"/>
          <w:lang w:val="en-US"/>
        </w:rPr>
        <w:t xml:space="preserve"> (Gibbons &amp; Vignoles, 2009)</w:t>
      </w:r>
      <w:r w:rsidR="00AA2CD2" w:rsidRPr="00905499">
        <w:rPr>
          <w:rFonts w:ascii="Times New Roman" w:hAnsi="Times New Roman" w:cs="Times New Roman"/>
          <w:lang w:val="en-US"/>
        </w:rPr>
        <w:t>. Similar conclusions have been found in the U</w:t>
      </w:r>
      <w:r w:rsidR="005835BF">
        <w:rPr>
          <w:rFonts w:ascii="Times New Roman" w:hAnsi="Times New Roman" w:cs="Times New Roman"/>
          <w:lang w:val="en-US"/>
        </w:rPr>
        <w:t>.</w:t>
      </w:r>
      <w:r w:rsidR="00AA2CD2" w:rsidRPr="00905499">
        <w:rPr>
          <w:rFonts w:ascii="Times New Roman" w:hAnsi="Times New Roman" w:cs="Times New Roman"/>
          <w:lang w:val="en-US"/>
        </w:rPr>
        <w:t>S</w:t>
      </w:r>
      <w:r w:rsidR="005835BF">
        <w:rPr>
          <w:rFonts w:ascii="Times New Roman" w:hAnsi="Times New Roman" w:cs="Times New Roman"/>
          <w:lang w:val="en-US"/>
        </w:rPr>
        <w:t>.</w:t>
      </w:r>
      <w:r w:rsidR="00AA2CD2" w:rsidRPr="00905499">
        <w:rPr>
          <w:rFonts w:ascii="Times New Roman" w:hAnsi="Times New Roman" w:cs="Times New Roman"/>
          <w:lang w:val="en-US"/>
        </w:rPr>
        <w:t>, where most elite university campuses are located in the north east of the country (Griffith &amp; Rothstein, 2009). Our findings from Australia also highlight such concerns. Like the U</w:t>
      </w:r>
      <w:r w:rsidR="002B3576">
        <w:rPr>
          <w:rFonts w:ascii="Times New Roman" w:hAnsi="Times New Roman" w:cs="Times New Roman"/>
          <w:lang w:val="en-US"/>
        </w:rPr>
        <w:t>.</w:t>
      </w:r>
      <w:r w:rsidR="00AA2CD2" w:rsidRPr="00905499">
        <w:rPr>
          <w:rFonts w:ascii="Times New Roman" w:hAnsi="Times New Roman" w:cs="Times New Roman"/>
          <w:lang w:val="en-US"/>
        </w:rPr>
        <w:t>S</w:t>
      </w:r>
      <w:r w:rsidR="002B3576">
        <w:rPr>
          <w:rFonts w:ascii="Times New Roman" w:hAnsi="Times New Roman" w:cs="Times New Roman"/>
          <w:lang w:val="en-US"/>
        </w:rPr>
        <w:t>.</w:t>
      </w:r>
      <w:r w:rsidR="00AA2CD2" w:rsidRPr="00905499">
        <w:rPr>
          <w:rFonts w:ascii="Times New Roman" w:hAnsi="Times New Roman" w:cs="Times New Roman"/>
          <w:lang w:val="en-US"/>
        </w:rPr>
        <w:t xml:space="preserve">, Australian elite universities are also not randomly distributed, with all but two universities located in major cities in the southeast. As we note above, research tends to suggest </w:t>
      </w:r>
      <w:r w:rsidR="002327F8">
        <w:rPr>
          <w:rFonts w:ascii="Times New Roman" w:hAnsi="Times New Roman" w:cs="Times New Roman"/>
          <w:lang w:val="en-US"/>
        </w:rPr>
        <w:t xml:space="preserve">that </w:t>
      </w:r>
      <w:r w:rsidR="00AA2CD2" w:rsidRPr="00905499">
        <w:rPr>
          <w:rFonts w:ascii="Times New Roman" w:hAnsi="Times New Roman" w:cs="Times New Roman"/>
          <w:lang w:val="en-US"/>
        </w:rPr>
        <w:t xml:space="preserve">young people who attend an elite university accrue a number of potential advantages (Black and Smith 2006; Hoekstra 2009; Long 2007; </w:t>
      </w:r>
      <w:r w:rsidR="00AA2CD2" w:rsidRPr="00905499">
        <w:rPr>
          <w:rFonts w:ascii="Times New Roman" w:hAnsi="Times New Roman" w:cs="Times New Roman"/>
          <w:color w:val="000000" w:themeColor="text1"/>
          <w:lang w:val="en-US"/>
        </w:rPr>
        <w:t>Rivera 2011</w:t>
      </w:r>
      <w:r w:rsidR="00AA2CD2" w:rsidRPr="00905499">
        <w:rPr>
          <w:rFonts w:ascii="Times New Roman" w:hAnsi="Times New Roman" w:cs="Times New Roman"/>
          <w:lang w:val="en-US"/>
        </w:rPr>
        <w:t>). Thus</w:t>
      </w:r>
      <w:r w:rsidR="002327F8">
        <w:rPr>
          <w:rFonts w:ascii="Times New Roman" w:hAnsi="Times New Roman" w:cs="Times New Roman"/>
          <w:lang w:val="en-US"/>
        </w:rPr>
        <w:t>,</w:t>
      </w:r>
      <w:r w:rsidR="00AA2CD2" w:rsidRPr="00905499">
        <w:rPr>
          <w:rFonts w:ascii="Times New Roman" w:hAnsi="Times New Roman" w:cs="Times New Roman"/>
          <w:lang w:val="en-US"/>
        </w:rPr>
        <w:t xml:space="preserve"> our findings are likely to be of particular concern to those living in smaller cities, rural and remote regions, and those located </w:t>
      </w:r>
      <w:r w:rsidR="00EA5FDE" w:rsidRPr="00905499">
        <w:rPr>
          <w:rFonts w:ascii="Times New Roman" w:hAnsi="Times New Roman" w:cs="Times New Roman"/>
          <w:lang w:val="en-US"/>
        </w:rPr>
        <w:t xml:space="preserve">outside of the </w:t>
      </w:r>
      <w:proofErr w:type="gramStart"/>
      <w:r w:rsidR="00EA5FDE" w:rsidRPr="00905499">
        <w:rPr>
          <w:rFonts w:ascii="Times New Roman" w:hAnsi="Times New Roman" w:cs="Times New Roman"/>
          <w:lang w:val="en-US"/>
        </w:rPr>
        <w:t>east-coast</w:t>
      </w:r>
      <w:proofErr w:type="gramEnd"/>
      <w:r w:rsidR="00AA2CD2" w:rsidRPr="00905499">
        <w:rPr>
          <w:rFonts w:ascii="Times New Roman" w:hAnsi="Times New Roman" w:cs="Times New Roman"/>
          <w:lang w:val="en-US"/>
        </w:rPr>
        <w:t xml:space="preserve"> </w:t>
      </w:r>
      <w:r w:rsidR="00EA5FDE" w:rsidRPr="00905499">
        <w:rPr>
          <w:rFonts w:ascii="Times New Roman" w:hAnsi="Times New Roman" w:cs="Times New Roman"/>
          <w:lang w:val="en-US"/>
        </w:rPr>
        <w:t xml:space="preserve">of </w:t>
      </w:r>
      <w:r w:rsidR="00AA2CD2" w:rsidRPr="00905499">
        <w:rPr>
          <w:rFonts w:ascii="Times New Roman" w:hAnsi="Times New Roman" w:cs="Times New Roman"/>
          <w:lang w:val="en-US"/>
        </w:rPr>
        <w:t>Australia.</w:t>
      </w:r>
    </w:p>
    <w:p w14:paraId="4EF6510C" w14:textId="5A660B96" w:rsidR="005224F9" w:rsidRPr="00905499" w:rsidRDefault="002B5838" w:rsidP="005224F9">
      <w:pPr>
        <w:spacing w:line="360" w:lineRule="auto"/>
        <w:jc w:val="both"/>
        <w:rPr>
          <w:rFonts w:ascii="Times New Roman" w:hAnsi="Times New Roman" w:cs="Times New Roman"/>
          <w:lang w:val="en-US"/>
        </w:rPr>
      </w:pPr>
      <w:r w:rsidRPr="00905499">
        <w:rPr>
          <w:rFonts w:ascii="Times New Roman" w:hAnsi="Times New Roman" w:cs="Times New Roman"/>
          <w:b/>
          <w:lang w:val="en-US"/>
        </w:rPr>
        <w:t xml:space="preserve">Cost </w:t>
      </w:r>
      <w:r w:rsidR="005224F9" w:rsidRPr="00905499">
        <w:rPr>
          <w:rFonts w:ascii="Times New Roman" w:hAnsi="Times New Roman" w:cs="Times New Roman"/>
          <w:b/>
          <w:lang w:val="en-US"/>
        </w:rPr>
        <w:t>H</w:t>
      </w:r>
      <w:r w:rsidRPr="00905499">
        <w:rPr>
          <w:rFonts w:ascii="Times New Roman" w:hAnsi="Times New Roman" w:cs="Times New Roman"/>
          <w:b/>
          <w:lang w:val="en-US"/>
        </w:rPr>
        <w:t>ypothesis</w:t>
      </w:r>
    </w:p>
    <w:p w14:paraId="20A50682" w14:textId="11618ED8" w:rsidR="003231FC" w:rsidRPr="00905499" w:rsidRDefault="002B5838" w:rsidP="008B74D0">
      <w:pPr>
        <w:spacing w:line="360" w:lineRule="auto"/>
        <w:ind w:firstLine="360"/>
        <w:jc w:val="both"/>
        <w:rPr>
          <w:rFonts w:ascii="Times New Roman" w:hAnsi="Times New Roman" w:cs="Times New Roman"/>
          <w:lang w:val="en-US"/>
        </w:rPr>
      </w:pPr>
      <w:r w:rsidRPr="00905499">
        <w:rPr>
          <w:rFonts w:ascii="Times New Roman" w:hAnsi="Times New Roman" w:cs="Times New Roman"/>
          <w:i/>
          <w:lang w:val="en-US"/>
        </w:rPr>
        <w:t xml:space="preserve"> </w:t>
      </w:r>
      <w:r w:rsidR="00CF323D">
        <w:rPr>
          <w:rFonts w:ascii="Times New Roman" w:hAnsi="Times New Roman" w:cs="Times New Roman"/>
          <w:lang w:val="en-US"/>
        </w:rPr>
        <w:t>I</w:t>
      </w:r>
      <w:r w:rsidR="00EE262A" w:rsidRPr="00905499">
        <w:rPr>
          <w:rFonts w:ascii="Times New Roman" w:hAnsi="Times New Roman" w:cs="Times New Roman"/>
          <w:lang w:val="en-US"/>
        </w:rPr>
        <w:t xml:space="preserve">t is </w:t>
      </w:r>
      <w:r w:rsidR="003231FC" w:rsidRPr="00905499">
        <w:rPr>
          <w:rFonts w:ascii="Times New Roman" w:hAnsi="Times New Roman" w:cs="Times New Roman"/>
          <w:lang w:val="en-US"/>
        </w:rPr>
        <w:t xml:space="preserve">also </w:t>
      </w:r>
      <w:r w:rsidR="00EE262A" w:rsidRPr="00905499">
        <w:rPr>
          <w:rFonts w:ascii="Times New Roman" w:hAnsi="Times New Roman" w:cs="Times New Roman"/>
          <w:lang w:val="en-US"/>
        </w:rPr>
        <w:t xml:space="preserve">important to note that </w:t>
      </w:r>
      <w:r w:rsidR="003231FC" w:rsidRPr="00905499">
        <w:rPr>
          <w:rFonts w:ascii="Times New Roman" w:hAnsi="Times New Roman" w:cs="Times New Roman"/>
          <w:lang w:val="en-US"/>
        </w:rPr>
        <w:t>even for university entry, anticipatory decisions could not explain the whole effect of distance. O</w:t>
      </w:r>
      <w:r w:rsidR="0036149B" w:rsidRPr="00905499">
        <w:rPr>
          <w:rFonts w:ascii="Times New Roman" w:hAnsi="Times New Roman" w:cs="Times New Roman"/>
          <w:lang w:val="en-US"/>
        </w:rPr>
        <w:t>ur results suggest a more complicated picture. It was true that distance was significantly and strongly related to expectations of a university level of education</w:t>
      </w:r>
      <w:r w:rsidR="00AA1CD2" w:rsidRPr="00905499">
        <w:rPr>
          <w:rFonts w:ascii="Times New Roman" w:hAnsi="Times New Roman" w:cs="Times New Roman"/>
          <w:lang w:val="en-US"/>
        </w:rPr>
        <w:t>,</w:t>
      </w:r>
      <w:r w:rsidR="0036149B" w:rsidRPr="00905499">
        <w:rPr>
          <w:rFonts w:ascii="Times New Roman" w:hAnsi="Times New Roman" w:cs="Times New Roman"/>
          <w:lang w:val="en-US"/>
        </w:rPr>
        <w:t xml:space="preserve"> and that these expectations were very strong predictors of actual </w:t>
      </w:r>
      <w:r w:rsidR="00F404A9" w:rsidRPr="00905499">
        <w:rPr>
          <w:rFonts w:ascii="Times New Roman" w:hAnsi="Times New Roman" w:cs="Times New Roman"/>
          <w:lang w:val="en-US"/>
        </w:rPr>
        <w:t>university entry.</w:t>
      </w:r>
      <w:r w:rsidR="00AA1CD2" w:rsidRPr="00905499">
        <w:rPr>
          <w:rFonts w:ascii="Times New Roman" w:hAnsi="Times New Roman" w:cs="Times New Roman"/>
          <w:lang w:val="en-US"/>
        </w:rPr>
        <w:t xml:space="preserve"> However, even after</w:t>
      </w:r>
      <w:r w:rsidR="00F404A9" w:rsidRPr="00905499">
        <w:rPr>
          <w:rFonts w:ascii="Times New Roman" w:hAnsi="Times New Roman" w:cs="Times New Roman"/>
          <w:lang w:val="en-US"/>
        </w:rPr>
        <w:t xml:space="preserve"> </w:t>
      </w:r>
      <w:r w:rsidR="00AA1CD2" w:rsidRPr="00905499">
        <w:rPr>
          <w:rFonts w:ascii="Times New Roman" w:hAnsi="Times New Roman" w:cs="Times New Roman"/>
          <w:lang w:val="en-US"/>
        </w:rPr>
        <w:t xml:space="preserve">controlling </w:t>
      </w:r>
      <w:r w:rsidR="00F404A9" w:rsidRPr="00905499">
        <w:rPr>
          <w:rFonts w:ascii="Times New Roman" w:hAnsi="Times New Roman" w:cs="Times New Roman"/>
          <w:lang w:val="en-US"/>
        </w:rPr>
        <w:t xml:space="preserve">for these expectations, we found significant effects of distance </w:t>
      </w:r>
      <w:r w:rsidR="00AA1CD2" w:rsidRPr="00905499">
        <w:rPr>
          <w:rFonts w:ascii="Times New Roman" w:hAnsi="Times New Roman" w:cs="Times New Roman"/>
          <w:lang w:val="en-US"/>
        </w:rPr>
        <w:t xml:space="preserve">upon </w:t>
      </w:r>
      <w:r w:rsidR="00F404A9" w:rsidRPr="00905499">
        <w:rPr>
          <w:rFonts w:ascii="Times New Roman" w:hAnsi="Times New Roman" w:cs="Times New Roman"/>
          <w:lang w:val="en-US"/>
        </w:rPr>
        <w:t>both university entry and institution</w:t>
      </w:r>
      <w:r w:rsidR="00AA1CD2" w:rsidRPr="00905499">
        <w:rPr>
          <w:rFonts w:ascii="Times New Roman" w:hAnsi="Times New Roman" w:cs="Times New Roman"/>
          <w:lang w:val="en-US"/>
        </w:rPr>
        <w:t>al</w:t>
      </w:r>
      <w:r w:rsidR="00F404A9" w:rsidRPr="00905499">
        <w:rPr>
          <w:rFonts w:ascii="Times New Roman" w:hAnsi="Times New Roman" w:cs="Times New Roman"/>
          <w:lang w:val="en-US"/>
        </w:rPr>
        <w:t xml:space="preserve"> choice</w:t>
      </w:r>
      <w:r w:rsidR="00E60597" w:rsidRPr="00905499">
        <w:rPr>
          <w:rFonts w:ascii="Times New Roman" w:hAnsi="Times New Roman" w:cs="Times New Roman"/>
          <w:lang w:val="en-US"/>
        </w:rPr>
        <w:t xml:space="preserve"> controlling for aspirations</w:t>
      </w:r>
      <w:r w:rsidR="00F404A9" w:rsidRPr="00905499">
        <w:rPr>
          <w:rFonts w:ascii="Times New Roman" w:hAnsi="Times New Roman" w:cs="Times New Roman"/>
          <w:lang w:val="en-US"/>
        </w:rPr>
        <w:t xml:space="preserve">. </w:t>
      </w:r>
      <w:r w:rsidR="004457FA" w:rsidRPr="00905499">
        <w:rPr>
          <w:rFonts w:ascii="Times New Roman" w:hAnsi="Times New Roman" w:cs="Times New Roman"/>
          <w:lang w:val="en-US"/>
        </w:rPr>
        <w:t>As such, the influence of distance is unlikely to be due to anticipatory decisions</w:t>
      </w:r>
      <w:r w:rsidR="00C52102" w:rsidRPr="00905499">
        <w:rPr>
          <w:rFonts w:ascii="Times New Roman" w:hAnsi="Times New Roman" w:cs="Times New Roman"/>
          <w:lang w:val="en-US"/>
        </w:rPr>
        <w:t xml:space="preserve"> alone</w:t>
      </w:r>
      <w:r w:rsidR="004457FA" w:rsidRPr="00905499">
        <w:rPr>
          <w:rFonts w:ascii="Times New Roman" w:hAnsi="Times New Roman" w:cs="Times New Roman"/>
          <w:lang w:val="en-US"/>
        </w:rPr>
        <w:t>.</w:t>
      </w:r>
      <w:r w:rsidR="003604DB" w:rsidRPr="00905499">
        <w:rPr>
          <w:rFonts w:ascii="Times New Roman" w:hAnsi="Times New Roman" w:cs="Times New Roman"/>
          <w:lang w:val="en-US"/>
        </w:rPr>
        <w:t xml:space="preserve"> This suggests consideration of costs, whether they be economic, </w:t>
      </w:r>
      <w:r w:rsidR="00031116" w:rsidRPr="00905499">
        <w:rPr>
          <w:rFonts w:ascii="Times New Roman" w:hAnsi="Times New Roman" w:cs="Times New Roman"/>
          <w:lang w:val="en-US"/>
        </w:rPr>
        <w:t xml:space="preserve">logistic, </w:t>
      </w:r>
      <w:r w:rsidR="003604DB" w:rsidRPr="00905499">
        <w:rPr>
          <w:rFonts w:ascii="Times New Roman" w:hAnsi="Times New Roman" w:cs="Times New Roman"/>
          <w:lang w:val="en-US"/>
        </w:rPr>
        <w:t>social, or emotional</w:t>
      </w:r>
      <w:r w:rsidR="00C52102" w:rsidRPr="00905499">
        <w:rPr>
          <w:rFonts w:ascii="Times New Roman" w:hAnsi="Times New Roman" w:cs="Times New Roman"/>
          <w:lang w:val="en-US"/>
        </w:rPr>
        <w:t>, is likely to be important</w:t>
      </w:r>
      <w:r w:rsidR="00002367" w:rsidRPr="00905499">
        <w:rPr>
          <w:rFonts w:ascii="Times New Roman" w:hAnsi="Times New Roman" w:cs="Times New Roman"/>
          <w:lang w:val="en-US"/>
        </w:rPr>
        <w:t xml:space="preserve"> (</w:t>
      </w:r>
      <w:r w:rsidR="007E4B29" w:rsidRPr="00905499">
        <w:rPr>
          <w:rFonts w:ascii="Times New Roman" w:hAnsi="Times New Roman" w:cs="Times New Roman"/>
          <w:lang w:val="en-US"/>
        </w:rPr>
        <w:t>Turley</w:t>
      </w:r>
      <w:r w:rsidR="00002367" w:rsidRPr="00905499">
        <w:rPr>
          <w:rFonts w:ascii="Times New Roman" w:hAnsi="Times New Roman" w:cs="Times New Roman"/>
          <w:lang w:val="en-US"/>
        </w:rPr>
        <w:t>, 2009)</w:t>
      </w:r>
      <w:r w:rsidR="003604DB" w:rsidRPr="00905499">
        <w:rPr>
          <w:rFonts w:ascii="Times New Roman" w:hAnsi="Times New Roman" w:cs="Times New Roman"/>
          <w:lang w:val="en-US"/>
        </w:rPr>
        <w:t>.</w:t>
      </w:r>
      <w:r w:rsidR="004457FA" w:rsidRPr="00905499">
        <w:rPr>
          <w:rFonts w:ascii="Times New Roman" w:hAnsi="Times New Roman" w:cs="Times New Roman"/>
          <w:lang w:val="en-US"/>
        </w:rPr>
        <w:t xml:space="preserve"> </w:t>
      </w:r>
    </w:p>
    <w:p w14:paraId="1194F8EA" w14:textId="2CA1682D" w:rsidR="00727E71" w:rsidRPr="00905499" w:rsidRDefault="005E2D90" w:rsidP="00F230F8">
      <w:pPr>
        <w:spacing w:line="360" w:lineRule="auto"/>
        <w:ind w:firstLine="360"/>
        <w:jc w:val="both"/>
        <w:rPr>
          <w:rFonts w:ascii="Times New Roman" w:hAnsi="Times New Roman" w:cs="Times New Roman"/>
          <w:lang w:val="en-US"/>
        </w:rPr>
      </w:pPr>
      <w:r w:rsidRPr="00905499">
        <w:rPr>
          <w:rFonts w:ascii="Times New Roman" w:hAnsi="Times New Roman" w:cs="Times New Roman"/>
          <w:lang w:val="en-US"/>
        </w:rPr>
        <w:t>The finding of significant distance effect</w:t>
      </w:r>
      <w:r w:rsidR="00FE6354" w:rsidRPr="00905499">
        <w:rPr>
          <w:rFonts w:ascii="Times New Roman" w:hAnsi="Times New Roman" w:cs="Times New Roman"/>
          <w:lang w:val="en-US"/>
        </w:rPr>
        <w:t>s</w:t>
      </w:r>
      <w:r w:rsidR="0068660F">
        <w:rPr>
          <w:rFonts w:ascii="Times New Roman" w:hAnsi="Times New Roman" w:cs="Times New Roman"/>
          <w:lang w:val="en-US"/>
        </w:rPr>
        <w:t xml:space="preserve"> controlling for aspirations </w:t>
      </w:r>
      <w:r w:rsidRPr="00905499">
        <w:rPr>
          <w:rFonts w:ascii="Times New Roman" w:hAnsi="Times New Roman" w:cs="Times New Roman"/>
          <w:lang w:val="en-US"/>
        </w:rPr>
        <w:t xml:space="preserve">directs attention toward issues of cost, and suggests scholarship programs and stipends remain viable interventions (Gibbons &amp; Vignoles, 2009; Griffith &amp; Rothstein, 2009). </w:t>
      </w:r>
      <w:r w:rsidRPr="00905499">
        <w:rPr>
          <w:rFonts w:ascii="Times New Roman" w:hAnsi="Times New Roman" w:cs="Times New Roman"/>
          <w:lang w:val="en-US"/>
        </w:rPr>
        <w:lastRenderedPageBreak/>
        <w:t xml:space="preserve">However, it should be noted that there was relatively little evidence that these distance effects differed by socioeconomic </w:t>
      </w:r>
      <w:r w:rsidR="00E60597" w:rsidRPr="00905499">
        <w:rPr>
          <w:rFonts w:ascii="Times New Roman" w:hAnsi="Times New Roman" w:cs="Times New Roman"/>
          <w:lang w:val="en-US"/>
        </w:rPr>
        <w:t xml:space="preserve">or Indigenous </w:t>
      </w:r>
      <w:r w:rsidRPr="00905499">
        <w:rPr>
          <w:rFonts w:ascii="Times New Roman" w:hAnsi="Times New Roman" w:cs="Times New Roman"/>
          <w:lang w:val="en-US"/>
        </w:rPr>
        <w:t>status. As such, it could be that young people, regardless of their</w:t>
      </w:r>
      <w:r w:rsidR="00E60597" w:rsidRPr="00905499">
        <w:rPr>
          <w:rFonts w:ascii="Times New Roman" w:hAnsi="Times New Roman" w:cs="Times New Roman"/>
          <w:lang w:val="en-US"/>
        </w:rPr>
        <w:t xml:space="preserve"> social origin</w:t>
      </w:r>
      <w:r w:rsidRPr="00905499">
        <w:rPr>
          <w:rFonts w:ascii="Times New Roman" w:hAnsi="Times New Roman" w:cs="Times New Roman"/>
          <w:lang w:val="en-US"/>
        </w:rPr>
        <w:t xml:space="preserve">, find the prospect of moving from the family home to attend university a central barrier to entry (Denzler &amp; Wolter, 2011). In other words, it may be logistic, social and emotional costs, rather than economic, </w:t>
      </w:r>
      <w:r w:rsidR="00BE7F22" w:rsidRPr="00905499">
        <w:rPr>
          <w:rFonts w:ascii="Times New Roman" w:hAnsi="Times New Roman" w:cs="Times New Roman"/>
          <w:lang w:val="en-US"/>
        </w:rPr>
        <w:t>that drives</w:t>
      </w:r>
      <w:r w:rsidRPr="00905499">
        <w:rPr>
          <w:rFonts w:ascii="Times New Roman" w:hAnsi="Times New Roman" w:cs="Times New Roman"/>
          <w:lang w:val="en-US"/>
        </w:rPr>
        <w:t xml:space="preserve"> the cost proportion of the distance effect in Australia. </w:t>
      </w:r>
      <w:r w:rsidR="004D3AA7" w:rsidRPr="00905499">
        <w:rPr>
          <w:rFonts w:ascii="Times New Roman" w:hAnsi="Times New Roman" w:cs="Times New Roman"/>
          <w:lang w:val="en-US"/>
        </w:rPr>
        <w:t>Such costs may be higher in rural and remote setting</w:t>
      </w:r>
      <w:r w:rsidR="00DC414B">
        <w:rPr>
          <w:rFonts w:ascii="Times New Roman" w:hAnsi="Times New Roman" w:cs="Times New Roman"/>
          <w:lang w:val="en-US"/>
        </w:rPr>
        <w:t>s</w:t>
      </w:r>
      <w:r w:rsidR="004D3AA7" w:rsidRPr="00905499">
        <w:rPr>
          <w:rFonts w:ascii="Times New Roman" w:hAnsi="Times New Roman" w:cs="Times New Roman"/>
          <w:lang w:val="en-US"/>
        </w:rPr>
        <w:t xml:space="preserve"> due to stronger social capital and community attachment (Crockett et al., 2000; Elder &amp; Conger, 2000). This suggests that interventions may need to focus on providing resources that </w:t>
      </w:r>
      <w:proofErr w:type="gramStart"/>
      <w:r w:rsidR="004D3AA7" w:rsidRPr="00905499">
        <w:rPr>
          <w:rFonts w:ascii="Times New Roman" w:hAnsi="Times New Roman" w:cs="Times New Roman"/>
          <w:lang w:val="en-US"/>
        </w:rPr>
        <w:t>mean</w:t>
      </w:r>
      <w:proofErr w:type="gramEnd"/>
      <w:r w:rsidR="004D3AA7" w:rsidRPr="00905499">
        <w:rPr>
          <w:rFonts w:ascii="Times New Roman" w:hAnsi="Times New Roman" w:cs="Times New Roman"/>
          <w:lang w:val="en-US"/>
        </w:rPr>
        <w:t xml:space="preserve"> young people do not have to sacrifice their connection to their community in order to attend university (see </w:t>
      </w:r>
      <w:r w:rsidR="006D116F" w:rsidRPr="00905499">
        <w:rPr>
          <w:rFonts w:ascii="Times New Roman" w:hAnsi="Times New Roman" w:cs="Times New Roman"/>
          <w:lang w:val="en-US"/>
        </w:rPr>
        <w:t>Petrin</w:t>
      </w:r>
      <w:r w:rsidR="004D3AA7" w:rsidRPr="00905499">
        <w:rPr>
          <w:rFonts w:ascii="Times New Roman" w:hAnsi="Times New Roman" w:cs="Times New Roman"/>
          <w:lang w:val="en-US"/>
        </w:rPr>
        <w:t xml:space="preserve"> et al., 2011 for example interventions). </w:t>
      </w:r>
    </w:p>
    <w:p w14:paraId="48005E74" w14:textId="649F2B6D" w:rsidR="00727E71" w:rsidRPr="00905499" w:rsidRDefault="00727E71" w:rsidP="00727E71">
      <w:pPr>
        <w:spacing w:line="360" w:lineRule="auto"/>
        <w:jc w:val="both"/>
        <w:rPr>
          <w:rFonts w:ascii="Times New Roman" w:hAnsi="Times New Roman" w:cs="Times New Roman"/>
          <w:lang w:val="en-US"/>
        </w:rPr>
      </w:pPr>
      <w:r w:rsidRPr="00905499">
        <w:rPr>
          <w:rFonts w:ascii="Times New Roman" w:hAnsi="Times New Roman" w:cs="Times New Roman"/>
          <w:b/>
          <w:lang w:val="en-US"/>
        </w:rPr>
        <w:t>University Outreach Influence H</w:t>
      </w:r>
      <w:r w:rsidR="002B5838" w:rsidRPr="00905499">
        <w:rPr>
          <w:rFonts w:ascii="Times New Roman" w:hAnsi="Times New Roman" w:cs="Times New Roman"/>
          <w:b/>
          <w:lang w:val="en-US"/>
        </w:rPr>
        <w:t>ypothesis</w:t>
      </w:r>
    </w:p>
    <w:p w14:paraId="1908EC11" w14:textId="53C2B34A" w:rsidR="00C52102" w:rsidRPr="00905499" w:rsidRDefault="002B5838" w:rsidP="00727E71">
      <w:pPr>
        <w:spacing w:line="360" w:lineRule="auto"/>
        <w:jc w:val="both"/>
        <w:rPr>
          <w:rFonts w:ascii="Times New Roman" w:hAnsi="Times New Roman" w:cs="Times New Roman"/>
          <w:lang w:val="en-US"/>
        </w:rPr>
      </w:pPr>
      <w:r w:rsidRPr="00905499">
        <w:rPr>
          <w:rFonts w:ascii="Times New Roman" w:hAnsi="Times New Roman" w:cs="Times New Roman"/>
          <w:i/>
          <w:lang w:val="en-US"/>
        </w:rPr>
        <w:t xml:space="preserve"> </w:t>
      </w:r>
      <w:r w:rsidR="00727E71" w:rsidRPr="00905499">
        <w:rPr>
          <w:rFonts w:ascii="Times New Roman" w:hAnsi="Times New Roman" w:cs="Times New Roman"/>
          <w:i/>
          <w:lang w:val="en-US"/>
        </w:rPr>
        <w:tab/>
      </w:r>
      <w:r w:rsidR="004416D6" w:rsidRPr="00905499">
        <w:rPr>
          <w:rFonts w:ascii="Times New Roman" w:hAnsi="Times New Roman" w:cs="Times New Roman"/>
          <w:lang w:val="en-US"/>
        </w:rPr>
        <w:t>T</w:t>
      </w:r>
      <w:r w:rsidRPr="00905499">
        <w:rPr>
          <w:rFonts w:ascii="Times New Roman" w:hAnsi="Times New Roman" w:cs="Times New Roman"/>
          <w:lang w:val="en-US"/>
        </w:rPr>
        <w:t>url</w:t>
      </w:r>
      <w:r w:rsidR="00454887" w:rsidRPr="00905499">
        <w:rPr>
          <w:rFonts w:ascii="Times New Roman" w:hAnsi="Times New Roman" w:cs="Times New Roman"/>
          <w:lang w:val="en-US"/>
        </w:rPr>
        <w:t>e</w:t>
      </w:r>
      <w:r w:rsidRPr="00905499">
        <w:rPr>
          <w:rFonts w:ascii="Times New Roman" w:hAnsi="Times New Roman" w:cs="Times New Roman"/>
          <w:lang w:val="en-US"/>
        </w:rPr>
        <w:t xml:space="preserve">y (2009) suggests that proximity to university may influence attendance via outreach programs. </w:t>
      </w:r>
      <w:r w:rsidR="00B6469B" w:rsidRPr="00905499">
        <w:rPr>
          <w:rFonts w:ascii="Times New Roman" w:hAnsi="Times New Roman" w:cs="Times New Roman"/>
          <w:lang w:val="en-US"/>
        </w:rPr>
        <w:t>In the current research</w:t>
      </w:r>
      <w:r w:rsidR="00E54346">
        <w:rPr>
          <w:rFonts w:ascii="Times New Roman" w:hAnsi="Times New Roman" w:cs="Times New Roman"/>
          <w:lang w:val="en-US"/>
        </w:rPr>
        <w:t>,</w:t>
      </w:r>
      <w:r w:rsidR="00B6469B" w:rsidRPr="00905499">
        <w:rPr>
          <w:rFonts w:ascii="Times New Roman" w:hAnsi="Times New Roman" w:cs="Times New Roman"/>
          <w:lang w:val="en-US"/>
        </w:rPr>
        <w:t xml:space="preserve"> we </w:t>
      </w:r>
      <w:r w:rsidR="009A4D0E" w:rsidRPr="00905499">
        <w:rPr>
          <w:rFonts w:ascii="Times New Roman" w:hAnsi="Times New Roman" w:cs="Times New Roman"/>
          <w:lang w:val="en-US"/>
        </w:rPr>
        <w:t>found no evidence that distance uniquely impacted the likelihood of a young person attending a university outreach session. Rather</w:t>
      </w:r>
      <w:r w:rsidR="00E54346">
        <w:rPr>
          <w:rFonts w:ascii="Times New Roman" w:hAnsi="Times New Roman" w:cs="Times New Roman"/>
          <w:lang w:val="en-US"/>
        </w:rPr>
        <w:t>,</w:t>
      </w:r>
      <w:r w:rsidR="00B6469B" w:rsidRPr="00905499">
        <w:rPr>
          <w:rFonts w:ascii="Times New Roman" w:hAnsi="Times New Roman" w:cs="Times New Roman"/>
          <w:lang w:val="en-US"/>
        </w:rPr>
        <w:t xml:space="preserve"> </w:t>
      </w:r>
      <w:r w:rsidR="009A4D0E" w:rsidRPr="00905499">
        <w:rPr>
          <w:rFonts w:ascii="Times New Roman" w:hAnsi="Times New Roman" w:cs="Times New Roman"/>
          <w:lang w:val="en-US"/>
        </w:rPr>
        <w:t>state of residence, gender, and socioeconomic status were significant predictors</w:t>
      </w:r>
      <w:r w:rsidR="00B6469B" w:rsidRPr="00905499">
        <w:rPr>
          <w:rFonts w:ascii="Times New Roman" w:hAnsi="Times New Roman" w:cs="Times New Roman"/>
          <w:lang w:val="en-US"/>
        </w:rPr>
        <w:t>.</w:t>
      </w:r>
      <w:r w:rsidR="009A4D0E" w:rsidRPr="00905499">
        <w:rPr>
          <w:rFonts w:ascii="Times New Roman" w:hAnsi="Times New Roman" w:cs="Times New Roman"/>
          <w:lang w:val="en-US"/>
        </w:rPr>
        <w:t xml:space="preserve"> The strong effects of state of residence may indicate differences in state board of education policies relating to </w:t>
      </w:r>
      <w:r w:rsidR="006961A6" w:rsidRPr="00905499">
        <w:rPr>
          <w:rFonts w:ascii="Times New Roman" w:hAnsi="Times New Roman" w:cs="Times New Roman"/>
          <w:lang w:val="en-US"/>
        </w:rPr>
        <w:t>the timing of when university outreach programs occur. In particular, we had data on attendance on university programs when most participants were in year 11 but not from when participants were in their final year of schooling (year 12). The other major predictors were being female and having higher socioeconomic status.</w:t>
      </w:r>
      <w:r w:rsidR="00B6469B" w:rsidRPr="00905499">
        <w:rPr>
          <w:rFonts w:ascii="Times New Roman" w:hAnsi="Times New Roman" w:cs="Times New Roman"/>
          <w:lang w:val="en-US"/>
        </w:rPr>
        <w:t xml:space="preserve"> It </w:t>
      </w:r>
      <w:r w:rsidR="00031116" w:rsidRPr="00905499">
        <w:rPr>
          <w:rFonts w:ascii="Times New Roman" w:hAnsi="Times New Roman" w:cs="Times New Roman"/>
          <w:lang w:val="en-US"/>
        </w:rPr>
        <w:t>remains a question for future research</w:t>
      </w:r>
      <w:r w:rsidR="00B6469B" w:rsidRPr="00905499">
        <w:rPr>
          <w:rFonts w:ascii="Times New Roman" w:hAnsi="Times New Roman" w:cs="Times New Roman"/>
          <w:lang w:val="en-US"/>
        </w:rPr>
        <w:t xml:space="preserve"> </w:t>
      </w:r>
      <w:r w:rsidR="006961A6" w:rsidRPr="00905499">
        <w:rPr>
          <w:rFonts w:ascii="Times New Roman" w:hAnsi="Times New Roman" w:cs="Times New Roman"/>
          <w:lang w:val="en-US"/>
        </w:rPr>
        <w:t xml:space="preserve">to determine </w:t>
      </w:r>
      <w:r w:rsidR="00B6469B" w:rsidRPr="00905499">
        <w:rPr>
          <w:rFonts w:ascii="Times New Roman" w:hAnsi="Times New Roman" w:cs="Times New Roman"/>
          <w:lang w:val="en-US"/>
        </w:rPr>
        <w:t xml:space="preserve">whether the effects of </w:t>
      </w:r>
      <w:r w:rsidR="006961A6" w:rsidRPr="00905499">
        <w:rPr>
          <w:rFonts w:ascii="Times New Roman" w:hAnsi="Times New Roman" w:cs="Times New Roman"/>
          <w:lang w:val="en-US"/>
        </w:rPr>
        <w:t>gender</w:t>
      </w:r>
      <w:r w:rsidR="00B6469B" w:rsidRPr="00905499">
        <w:rPr>
          <w:rFonts w:ascii="Times New Roman" w:hAnsi="Times New Roman" w:cs="Times New Roman"/>
          <w:lang w:val="en-US"/>
        </w:rPr>
        <w:t xml:space="preserve"> and socioeconomic status </w:t>
      </w:r>
      <w:r w:rsidR="006961A6" w:rsidRPr="00905499">
        <w:rPr>
          <w:rFonts w:ascii="Times New Roman" w:hAnsi="Times New Roman" w:cs="Times New Roman"/>
          <w:lang w:val="en-US"/>
        </w:rPr>
        <w:t>reflect inequalities in access to such programs or individual level choices</w:t>
      </w:r>
      <w:r w:rsidR="00C52102" w:rsidRPr="00905499">
        <w:rPr>
          <w:rFonts w:ascii="Times New Roman" w:hAnsi="Times New Roman" w:cs="Times New Roman"/>
          <w:lang w:val="en-US"/>
        </w:rPr>
        <w:t>.</w:t>
      </w:r>
      <w:r w:rsidR="00B6469B" w:rsidRPr="00905499">
        <w:rPr>
          <w:rFonts w:ascii="Times New Roman" w:hAnsi="Times New Roman" w:cs="Times New Roman"/>
          <w:lang w:val="en-US"/>
        </w:rPr>
        <w:t xml:space="preserve"> </w:t>
      </w:r>
      <w:r w:rsidR="00C52102" w:rsidRPr="00905499">
        <w:rPr>
          <w:rFonts w:ascii="Times New Roman" w:hAnsi="Times New Roman" w:cs="Times New Roman"/>
          <w:lang w:val="en-US"/>
        </w:rPr>
        <w:t>However</w:t>
      </w:r>
      <w:r w:rsidR="00E54346">
        <w:rPr>
          <w:rFonts w:ascii="Times New Roman" w:hAnsi="Times New Roman" w:cs="Times New Roman"/>
          <w:lang w:val="en-US"/>
        </w:rPr>
        <w:t>,</w:t>
      </w:r>
      <w:r w:rsidR="00C52102" w:rsidRPr="00905499">
        <w:rPr>
          <w:rFonts w:ascii="Times New Roman" w:hAnsi="Times New Roman" w:cs="Times New Roman"/>
          <w:lang w:val="en-US"/>
        </w:rPr>
        <w:t xml:space="preserve"> </w:t>
      </w:r>
      <w:r w:rsidR="00B6469B" w:rsidRPr="00905499">
        <w:rPr>
          <w:rFonts w:ascii="Times New Roman" w:hAnsi="Times New Roman" w:cs="Times New Roman"/>
          <w:lang w:val="en-US"/>
        </w:rPr>
        <w:t>the</w:t>
      </w:r>
      <w:r w:rsidR="00C52102" w:rsidRPr="00905499">
        <w:rPr>
          <w:rFonts w:ascii="Times New Roman" w:hAnsi="Times New Roman" w:cs="Times New Roman"/>
          <w:lang w:val="en-US"/>
        </w:rPr>
        <w:t>se</w:t>
      </w:r>
      <w:r w:rsidR="00B6469B" w:rsidRPr="00905499">
        <w:rPr>
          <w:rFonts w:ascii="Times New Roman" w:hAnsi="Times New Roman" w:cs="Times New Roman"/>
          <w:lang w:val="en-US"/>
        </w:rPr>
        <w:t xml:space="preserve"> results do suggest that university outreach programs may not be </w:t>
      </w:r>
      <w:r w:rsidR="00674535" w:rsidRPr="00905499">
        <w:rPr>
          <w:rFonts w:ascii="Times New Roman" w:hAnsi="Times New Roman" w:cs="Times New Roman"/>
          <w:lang w:val="en-US"/>
        </w:rPr>
        <w:t xml:space="preserve">the </w:t>
      </w:r>
      <w:r w:rsidR="00B6469B" w:rsidRPr="00905499">
        <w:rPr>
          <w:rFonts w:ascii="Times New Roman" w:hAnsi="Times New Roman" w:cs="Times New Roman"/>
          <w:lang w:val="en-US"/>
        </w:rPr>
        <w:t xml:space="preserve">leading mechanism explaining </w:t>
      </w:r>
      <w:r w:rsidR="00C52102" w:rsidRPr="00905499">
        <w:rPr>
          <w:rFonts w:ascii="Times New Roman" w:hAnsi="Times New Roman" w:cs="Times New Roman"/>
          <w:lang w:val="en-US"/>
        </w:rPr>
        <w:t>why there is an</w:t>
      </w:r>
      <w:r w:rsidR="00674535" w:rsidRPr="00905499">
        <w:rPr>
          <w:rFonts w:ascii="Times New Roman" w:hAnsi="Times New Roman" w:cs="Times New Roman"/>
          <w:lang w:val="en-US"/>
        </w:rPr>
        <w:t xml:space="preserve"> </w:t>
      </w:r>
      <w:r w:rsidR="003604DB" w:rsidRPr="00905499">
        <w:rPr>
          <w:rFonts w:ascii="Times New Roman" w:hAnsi="Times New Roman" w:cs="Times New Roman"/>
          <w:lang w:val="en-US"/>
        </w:rPr>
        <w:t>association between</w:t>
      </w:r>
      <w:r w:rsidR="00674535" w:rsidRPr="00905499">
        <w:rPr>
          <w:rFonts w:ascii="Times New Roman" w:hAnsi="Times New Roman" w:cs="Times New Roman"/>
          <w:lang w:val="en-US"/>
        </w:rPr>
        <w:t xml:space="preserve"> </w:t>
      </w:r>
      <w:r w:rsidR="003604DB" w:rsidRPr="00905499">
        <w:rPr>
          <w:rFonts w:ascii="Times New Roman" w:hAnsi="Times New Roman" w:cs="Times New Roman"/>
          <w:lang w:val="en-US"/>
        </w:rPr>
        <w:t xml:space="preserve">distance and </w:t>
      </w:r>
      <w:r w:rsidR="00674535" w:rsidRPr="00905499">
        <w:rPr>
          <w:rFonts w:ascii="Times New Roman" w:hAnsi="Times New Roman" w:cs="Times New Roman"/>
          <w:lang w:val="en-US"/>
        </w:rPr>
        <w:t xml:space="preserve">expectations </w:t>
      </w:r>
      <w:r w:rsidR="00C52102" w:rsidRPr="00905499">
        <w:rPr>
          <w:rFonts w:ascii="Times New Roman" w:hAnsi="Times New Roman" w:cs="Times New Roman"/>
          <w:lang w:val="en-US"/>
        </w:rPr>
        <w:t>of entering higher education (in Australia at least)</w:t>
      </w:r>
      <w:r w:rsidR="00B6469B" w:rsidRPr="00905499">
        <w:rPr>
          <w:rFonts w:ascii="Times New Roman" w:hAnsi="Times New Roman" w:cs="Times New Roman"/>
          <w:lang w:val="en-US"/>
        </w:rPr>
        <w:t>.</w:t>
      </w:r>
      <w:r w:rsidR="00674535" w:rsidRPr="00905499">
        <w:rPr>
          <w:rFonts w:ascii="Times New Roman" w:hAnsi="Times New Roman" w:cs="Times New Roman"/>
          <w:lang w:val="en-US"/>
        </w:rPr>
        <w:t xml:space="preserve"> </w:t>
      </w:r>
    </w:p>
    <w:p w14:paraId="49BE9253" w14:textId="3947BA79" w:rsidR="003933FE" w:rsidRPr="00905499" w:rsidRDefault="00472C2E" w:rsidP="008B74D0">
      <w:pPr>
        <w:spacing w:line="360" w:lineRule="auto"/>
        <w:jc w:val="both"/>
        <w:rPr>
          <w:rFonts w:ascii="Times New Roman" w:hAnsi="Times New Roman" w:cs="Times New Roman"/>
          <w:b/>
          <w:lang w:val="en-US"/>
        </w:rPr>
      </w:pPr>
      <w:r w:rsidRPr="00905499">
        <w:rPr>
          <w:rFonts w:ascii="Times New Roman" w:hAnsi="Times New Roman" w:cs="Times New Roman"/>
          <w:b/>
          <w:lang w:val="en-US"/>
        </w:rPr>
        <w:t>Strengths and L</w:t>
      </w:r>
      <w:r w:rsidR="00CF7804" w:rsidRPr="00905499">
        <w:rPr>
          <w:rFonts w:ascii="Times New Roman" w:hAnsi="Times New Roman" w:cs="Times New Roman"/>
          <w:b/>
          <w:lang w:val="en-US"/>
        </w:rPr>
        <w:t>imitations</w:t>
      </w:r>
    </w:p>
    <w:p w14:paraId="386B1731" w14:textId="77777777" w:rsidR="000D4B30" w:rsidRPr="00905499" w:rsidRDefault="007F34FF" w:rsidP="008B74D0">
      <w:pPr>
        <w:spacing w:line="360" w:lineRule="auto"/>
        <w:ind w:firstLine="720"/>
        <w:jc w:val="both"/>
        <w:rPr>
          <w:rFonts w:ascii="Times New Roman" w:hAnsi="Times New Roman" w:cs="Times New Roman"/>
          <w:lang w:val="en-US"/>
        </w:rPr>
      </w:pPr>
      <w:r w:rsidRPr="00905499">
        <w:rPr>
          <w:rFonts w:ascii="Times New Roman" w:hAnsi="Times New Roman" w:cs="Times New Roman"/>
          <w:lang w:val="en-US"/>
        </w:rPr>
        <w:t xml:space="preserve">Unlike many studies in this area, we have used longitudinal data, and thus temporal precedence was established for outcomes like university entry. </w:t>
      </w:r>
      <w:r w:rsidR="00652A3B" w:rsidRPr="00905499">
        <w:rPr>
          <w:rFonts w:ascii="Times New Roman" w:hAnsi="Times New Roman" w:cs="Times New Roman"/>
          <w:lang w:val="en-US"/>
        </w:rPr>
        <w:t>Bias attributable to r</w:t>
      </w:r>
      <w:r w:rsidR="001C5877" w:rsidRPr="00905499">
        <w:rPr>
          <w:rFonts w:ascii="Times New Roman" w:hAnsi="Times New Roman" w:cs="Times New Roman"/>
          <w:lang w:val="en-US"/>
        </w:rPr>
        <w:t xml:space="preserve">everse causation is an important limitation of a field of enquiry replete with studies of cross-sectional data and, as such, our ability to align exposure prior to outcomes constitutes an important </w:t>
      </w:r>
      <w:r w:rsidR="00D94F46" w:rsidRPr="00905499">
        <w:rPr>
          <w:rFonts w:ascii="Times New Roman" w:hAnsi="Times New Roman" w:cs="Times New Roman"/>
          <w:lang w:val="en-US"/>
        </w:rPr>
        <w:t xml:space="preserve">methodological </w:t>
      </w:r>
      <w:r w:rsidR="001C5877" w:rsidRPr="00905499">
        <w:rPr>
          <w:rFonts w:ascii="Times New Roman" w:hAnsi="Times New Roman" w:cs="Times New Roman"/>
          <w:lang w:val="en-US"/>
        </w:rPr>
        <w:t xml:space="preserve">advance. </w:t>
      </w:r>
    </w:p>
    <w:p w14:paraId="2A086B81" w14:textId="24D213CB" w:rsidR="00FE11AF" w:rsidRPr="00905499" w:rsidRDefault="00672501" w:rsidP="00FD2FF8">
      <w:pPr>
        <w:spacing w:line="360" w:lineRule="auto"/>
        <w:ind w:firstLine="720"/>
        <w:jc w:val="both"/>
        <w:rPr>
          <w:rFonts w:ascii="Times New Roman" w:hAnsi="Times New Roman" w:cs="Times New Roman"/>
          <w:lang w:val="en-US"/>
        </w:rPr>
      </w:pPr>
      <w:r w:rsidRPr="00905499">
        <w:rPr>
          <w:rFonts w:ascii="Times New Roman" w:hAnsi="Times New Roman" w:cs="Times New Roman"/>
          <w:lang w:val="en-US"/>
        </w:rPr>
        <w:lastRenderedPageBreak/>
        <w:t xml:space="preserve">While temporal alignment is an important pre-requisite for the identification of causal effects, </w:t>
      </w:r>
      <w:r w:rsidR="007F34FF" w:rsidRPr="00905499">
        <w:rPr>
          <w:rFonts w:ascii="Times New Roman" w:hAnsi="Times New Roman" w:cs="Times New Roman"/>
          <w:lang w:val="en-US"/>
        </w:rPr>
        <w:t xml:space="preserve">our research is still based upon an assumption of key characteristics of individuals being observable (Morgan &amp; Winship, 2007). </w:t>
      </w:r>
      <w:r w:rsidR="000D4B30" w:rsidRPr="00905499">
        <w:rPr>
          <w:rFonts w:ascii="Times New Roman" w:hAnsi="Times New Roman" w:cs="Times New Roman"/>
          <w:lang w:val="en-US"/>
        </w:rPr>
        <w:t xml:space="preserve">Omitted variables bias is a common limitation of observational studies in this field and some potential candidates include data on choice </w:t>
      </w:r>
      <w:r w:rsidR="00BE7F22" w:rsidRPr="00905499">
        <w:rPr>
          <w:rFonts w:ascii="Times New Roman" w:hAnsi="Times New Roman" w:cs="Times New Roman"/>
          <w:lang w:val="en-US"/>
        </w:rPr>
        <w:t>behaviors</w:t>
      </w:r>
      <w:r w:rsidR="000D4B30" w:rsidRPr="00905499">
        <w:rPr>
          <w:rFonts w:ascii="Times New Roman" w:hAnsi="Times New Roman" w:cs="Times New Roman"/>
          <w:lang w:val="en-US"/>
        </w:rPr>
        <w:t xml:space="preserve"> and barriers associated with university entry. In particular, variables related to access to information and the social capital needed to interpret that information would be of interest (Bowen et al., 2009). Likewise, information on parents </w:t>
      </w:r>
      <w:r w:rsidR="007B4458" w:rsidRPr="00905499">
        <w:rPr>
          <w:rFonts w:ascii="Times New Roman" w:hAnsi="Times New Roman" w:cs="Times New Roman"/>
          <w:lang w:val="en-US"/>
        </w:rPr>
        <w:t>alma mater</w:t>
      </w:r>
      <w:r w:rsidR="000D4B30" w:rsidRPr="00905499">
        <w:rPr>
          <w:rFonts w:ascii="Times New Roman" w:hAnsi="Times New Roman" w:cs="Times New Roman"/>
          <w:lang w:val="en-US"/>
        </w:rPr>
        <w:t>, presence of strong and weak ties that can help reduce the logistic, emotional, and social costs of relocation for university on the one hand, and measures of relative risk aversion, differences in expectations of success or future orientations on the other (</w:t>
      </w:r>
      <w:r w:rsidR="000439E3" w:rsidRPr="00905499">
        <w:rPr>
          <w:rFonts w:ascii="Times New Roman" w:hAnsi="Times New Roman" w:cs="Times New Roman"/>
          <w:lang w:val="en-US"/>
        </w:rPr>
        <w:t>Breen</w:t>
      </w:r>
      <w:r w:rsidR="000D4B30" w:rsidRPr="00905499">
        <w:rPr>
          <w:rFonts w:ascii="Times New Roman" w:hAnsi="Times New Roman" w:cs="Times New Roman"/>
          <w:lang w:val="en-US"/>
        </w:rPr>
        <w:t xml:space="preserve"> &amp; Goldthorpe, </w:t>
      </w:r>
      <w:r w:rsidR="000439E3" w:rsidRPr="00905499">
        <w:rPr>
          <w:rFonts w:ascii="Times New Roman" w:hAnsi="Times New Roman" w:cs="Times New Roman"/>
          <w:lang w:val="en-US"/>
        </w:rPr>
        <w:t>1997</w:t>
      </w:r>
      <w:r w:rsidR="000D4B30" w:rsidRPr="00905499">
        <w:rPr>
          <w:rFonts w:ascii="Times New Roman" w:hAnsi="Times New Roman" w:cs="Times New Roman"/>
          <w:lang w:val="en-US"/>
        </w:rPr>
        <w:t xml:space="preserve">) are all important variables that could contribute to research in this area. </w:t>
      </w:r>
    </w:p>
    <w:p w14:paraId="1C8E11E2" w14:textId="7F9E8A82" w:rsidR="00185A20" w:rsidRPr="00905499" w:rsidRDefault="00185A20" w:rsidP="00FD2FF8">
      <w:pPr>
        <w:spacing w:line="360" w:lineRule="auto"/>
        <w:ind w:firstLine="720"/>
        <w:jc w:val="both"/>
        <w:rPr>
          <w:rFonts w:ascii="Times New Roman" w:hAnsi="Times New Roman" w:cs="Times New Roman"/>
          <w:lang w:val="en-US"/>
        </w:rPr>
      </w:pPr>
      <w:r w:rsidRPr="00905499">
        <w:rPr>
          <w:rFonts w:ascii="Times New Roman" w:hAnsi="Times New Roman" w:cs="Times New Roman"/>
          <w:lang w:val="en-US"/>
        </w:rPr>
        <w:t xml:space="preserve">To take the quality of evidence yet further ahead, a quasi-experimental study would be interesting but not necessarily a panacea. For instance, a “natural experiment” may consist of assessing how university related outcomes change amongst young people in a region before and after the introduction of a new university campus in the local area that previously did not have one. Or, </w:t>
      </w:r>
      <w:proofErr w:type="gramStart"/>
      <w:r w:rsidRPr="00905499">
        <w:rPr>
          <w:rFonts w:ascii="Times New Roman" w:hAnsi="Times New Roman" w:cs="Times New Roman"/>
          <w:lang w:val="en-US"/>
        </w:rPr>
        <w:t>as was the case with the “Moving To Opportunity” (MTO) program in the US, a design may involving random assignment of household relocation vouchers so that families can move nearer to university campuses</w:t>
      </w:r>
      <w:proofErr w:type="gramEnd"/>
      <w:r w:rsidRPr="00905499">
        <w:rPr>
          <w:rFonts w:ascii="Times New Roman" w:hAnsi="Times New Roman" w:cs="Times New Roman"/>
          <w:lang w:val="en-US"/>
        </w:rPr>
        <w:t xml:space="preserve"> (Sampson, 2008). However, most university expansion in Australia (and probably in many other countries too) relates to the opening of new campuses in areas where other universities are already located, perhaps to take advantage of existing local infrastructure. Even were a rare case to become available for research purposes, however, the development of university campuses is not random and therefore the opportunity to mimic a cluster </w:t>
      </w:r>
      <w:r w:rsidR="00BE7F22" w:rsidRPr="00905499">
        <w:rPr>
          <w:rFonts w:ascii="Times New Roman" w:hAnsi="Times New Roman" w:cs="Times New Roman"/>
          <w:lang w:val="en-US"/>
        </w:rPr>
        <w:t>randomized</w:t>
      </w:r>
      <w:r w:rsidRPr="00905499">
        <w:rPr>
          <w:rFonts w:ascii="Times New Roman" w:hAnsi="Times New Roman" w:cs="Times New Roman"/>
          <w:lang w:val="en-US"/>
        </w:rPr>
        <w:t xml:space="preserve"> controlled trial would appear to be limited. Likewise, it is unlikely that an MTO-type program will be repeated due to financial, ethical and methodological implications, not least to do with the degree of freedom participants may be afforded to choose where there live and how long they choose or feel able to remain in the new </w:t>
      </w:r>
      <w:r w:rsidR="00BE7F22" w:rsidRPr="00905499">
        <w:rPr>
          <w:rFonts w:ascii="Times New Roman" w:hAnsi="Times New Roman" w:cs="Times New Roman"/>
          <w:lang w:val="en-US"/>
        </w:rPr>
        <w:t>neighborhood</w:t>
      </w:r>
      <w:r w:rsidRPr="00905499">
        <w:rPr>
          <w:rFonts w:ascii="Times New Roman" w:hAnsi="Times New Roman" w:cs="Times New Roman"/>
          <w:lang w:val="en-US"/>
        </w:rPr>
        <w:t xml:space="preserve"> (Ludwig, Liebman, Kling et al., 2008). As such, the results of carefully controlled observational studies of longitudinal data </w:t>
      </w:r>
      <w:r w:rsidR="00E92C17" w:rsidRPr="00E92C17">
        <w:rPr>
          <w:rFonts w:ascii="Times New Roman" w:hAnsi="Times New Roman" w:cs="Times New Roman"/>
          <w:lang w:val="en-US"/>
        </w:rPr>
        <w:t>like the one that we have presented in this article are likely</w:t>
      </w:r>
      <w:r w:rsidRPr="00905499">
        <w:rPr>
          <w:rFonts w:ascii="Times New Roman" w:hAnsi="Times New Roman" w:cs="Times New Roman"/>
          <w:lang w:val="en-US"/>
        </w:rPr>
        <w:t xml:space="preserve"> to remain the backbone for informed public policy debate on this important societal issue.</w:t>
      </w:r>
    </w:p>
    <w:p w14:paraId="0A9D132B" w14:textId="78F34C7C" w:rsidR="00FD2FF8" w:rsidRPr="00905499" w:rsidRDefault="00FD2FF8" w:rsidP="00FD2FF8">
      <w:pPr>
        <w:spacing w:line="360" w:lineRule="auto"/>
        <w:ind w:firstLine="720"/>
        <w:jc w:val="both"/>
        <w:rPr>
          <w:rFonts w:ascii="Times New Roman" w:hAnsi="Times New Roman" w:cs="Times New Roman"/>
          <w:lang w:val="en-US"/>
        </w:rPr>
      </w:pPr>
      <w:r w:rsidRPr="00905499">
        <w:rPr>
          <w:rFonts w:ascii="Times New Roman" w:hAnsi="Times New Roman" w:cs="Times New Roman"/>
          <w:lang w:val="en-US"/>
        </w:rPr>
        <w:lastRenderedPageBreak/>
        <w:t>A related issue is the potential for some variables to be misclassified. In the case of our study, the LSAY databases only provide postcode locations and</w:t>
      </w:r>
      <w:r w:rsidR="00EA3134">
        <w:rPr>
          <w:rFonts w:ascii="Times New Roman" w:hAnsi="Times New Roman" w:cs="Times New Roman"/>
          <w:lang w:val="en-US"/>
        </w:rPr>
        <w:t>, for ethical reasons,</w:t>
      </w:r>
      <w:r w:rsidRPr="00905499">
        <w:rPr>
          <w:rFonts w:ascii="Times New Roman" w:hAnsi="Times New Roman" w:cs="Times New Roman"/>
          <w:lang w:val="en-US"/>
        </w:rPr>
        <w:t xml:space="preserve"> not street addresses of participants. Although population-weighted centroids eliminate some of the bias that would have been incurred were geometric centroids of postcodes used as surrogates for home address, there inevitably remains some degree of variation in the accuracy of the distance estimates that could not be avoided and should be considered as the best ethically available proxy. </w:t>
      </w:r>
    </w:p>
    <w:p w14:paraId="2FEE919C" w14:textId="73E6BB0C" w:rsidR="00B308B2" w:rsidRPr="00905499" w:rsidRDefault="00B9390A" w:rsidP="00B9390A">
      <w:pPr>
        <w:spacing w:line="360" w:lineRule="auto"/>
        <w:jc w:val="center"/>
        <w:rPr>
          <w:rFonts w:ascii="Times New Roman" w:hAnsi="Times New Roman" w:cs="Times New Roman"/>
          <w:b/>
          <w:lang w:val="en-US"/>
        </w:rPr>
      </w:pPr>
      <w:r w:rsidRPr="00905499">
        <w:rPr>
          <w:rFonts w:ascii="Times New Roman" w:hAnsi="Times New Roman" w:cs="Times New Roman"/>
          <w:b/>
          <w:lang w:val="en-US"/>
        </w:rPr>
        <w:t>Conclusion</w:t>
      </w:r>
    </w:p>
    <w:p w14:paraId="74A404A4" w14:textId="672CB5E7" w:rsidR="007B4458" w:rsidRPr="00905499" w:rsidRDefault="00EA5FDE" w:rsidP="00BD75A5">
      <w:pPr>
        <w:spacing w:line="360" w:lineRule="auto"/>
        <w:ind w:firstLine="720"/>
        <w:jc w:val="both"/>
        <w:rPr>
          <w:rFonts w:ascii="Times New Roman" w:hAnsi="Times New Roman" w:cs="Times New Roman"/>
          <w:lang w:val="en-US"/>
        </w:rPr>
      </w:pPr>
      <w:r w:rsidRPr="00905499">
        <w:rPr>
          <w:rFonts w:ascii="Times New Roman" w:hAnsi="Times New Roman" w:cs="Times New Roman"/>
          <w:b/>
          <w:i/>
          <w:lang w:val="en-US"/>
        </w:rPr>
        <w:t xml:space="preserve"> </w:t>
      </w:r>
      <w:r w:rsidR="00541B08" w:rsidRPr="00905499">
        <w:rPr>
          <w:rFonts w:ascii="Times New Roman" w:hAnsi="Times New Roman" w:cs="Times New Roman"/>
          <w:lang w:val="en-US"/>
        </w:rPr>
        <w:t>O</w:t>
      </w:r>
      <w:r w:rsidR="0088754F" w:rsidRPr="00905499">
        <w:rPr>
          <w:rFonts w:ascii="Times New Roman" w:hAnsi="Times New Roman" w:cs="Times New Roman"/>
          <w:lang w:val="en-US"/>
        </w:rPr>
        <w:t xml:space="preserve">ur study provides novel findings from a country where long distances to resources and institutions </w:t>
      </w:r>
      <w:r w:rsidR="00D56158">
        <w:rPr>
          <w:rFonts w:ascii="Times New Roman" w:hAnsi="Times New Roman" w:cs="Times New Roman"/>
          <w:lang w:val="en-US"/>
        </w:rPr>
        <w:t>are</w:t>
      </w:r>
      <w:r w:rsidR="0088754F" w:rsidRPr="00905499">
        <w:rPr>
          <w:rFonts w:ascii="Times New Roman" w:hAnsi="Times New Roman" w:cs="Times New Roman"/>
          <w:lang w:val="en-US"/>
        </w:rPr>
        <w:t xml:space="preserve"> widely </w:t>
      </w:r>
      <w:r w:rsidR="00D56158" w:rsidRPr="00905499">
        <w:rPr>
          <w:rFonts w:ascii="Times New Roman" w:hAnsi="Times New Roman" w:cs="Times New Roman"/>
          <w:lang w:val="en-US"/>
        </w:rPr>
        <w:t>conceptualized</w:t>
      </w:r>
      <w:r w:rsidR="0088754F" w:rsidRPr="00905499">
        <w:rPr>
          <w:rFonts w:ascii="Times New Roman" w:hAnsi="Times New Roman" w:cs="Times New Roman"/>
          <w:lang w:val="en-US"/>
        </w:rPr>
        <w:t xml:space="preserve"> as disadvantageous, but hitherto scant research has been conducted from the point of view of educational </w:t>
      </w:r>
      <w:r w:rsidR="00F36A2B" w:rsidRPr="00905499">
        <w:rPr>
          <w:rFonts w:ascii="Times New Roman" w:hAnsi="Times New Roman" w:cs="Times New Roman"/>
          <w:lang w:val="en-US"/>
        </w:rPr>
        <w:t>aspirations and attainment</w:t>
      </w:r>
      <w:r w:rsidR="0088754F" w:rsidRPr="00905499">
        <w:rPr>
          <w:rFonts w:ascii="Times New Roman" w:hAnsi="Times New Roman" w:cs="Times New Roman"/>
          <w:lang w:val="en-US"/>
        </w:rPr>
        <w:t xml:space="preserve">. </w:t>
      </w:r>
      <w:r w:rsidR="008D2B3F" w:rsidRPr="00905499">
        <w:rPr>
          <w:rFonts w:ascii="Times New Roman" w:hAnsi="Times New Roman" w:cs="Times New Roman"/>
          <w:lang w:val="en-US"/>
        </w:rPr>
        <w:t xml:space="preserve">Previous research has </w:t>
      </w:r>
      <w:r w:rsidR="00F230F8" w:rsidRPr="00905499">
        <w:rPr>
          <w:rFonts w:ascii="Times New Roman" w:hAnsi="Times New Roman" w:cs="Times New Roman"/>
          <w:lang w:val="en-US"/>
        </w:rPr>
        <w:t>considered</w:t>
      </w:r>
      <w:r w:rsidR="008D2B3F" w:rsidRPr="00905499">
        <w:rPr>
          <w:rFonts w:ascii="Times New Roman" w:hAnsi="Times New Roman" w:cs="Times New Roman"/>
          <w:lang w:val="en-US"/>
        </w:rPr>
        <w:t xml:space="preserve"> aspirations</w:t>
      </w:r>
      <w:r w:rsidR="00F230F8" w:rsidRPr="00905499">
        <w:rPr>
          <w:rFonts w:ascii="Times New Roman" w:hAnsi="Times New Roman" w:cs="Times New Roman"/>
          <w:lang w:val="en-US"/>
        </w:rPr>
        <w:t>,</w:t>
      </w:r>
      <w:r w:rsidR="008D2B3F" w:rsidRPr="00905499">
        <w:rPr>
          <w:rFonts w:ascii="Times New Roman" w:hAnsi="Times New Roman" w:cs="Times New Roman"/>
          <w:lang w:val="en-US"/>
        </w:rPr>
        <w:t xml:space="preserve"> university entry</w:t>
      </w:r>
      <w:r w:rsidR="00F230F8" w:rsidRPr="00905499">
        <w:rPr>
          <w:rFonts w:ascii="Times New Roman" w:hAnsi="Times New Roman" w:cs="Times New Roman"/>
          <w:lang w:val="en-US"/>
        </w:rPr>
        <w:t>,</w:t>
      </w:r>
      <w:r w:rsidR="008D2B3F" w:rsidRPr="00905499">
        <w:rPr>
          <w:rFonts w:ascii="Times New Roman" w:hAnsi="Times New Roman" w:cs="Times New Roman"/>
          <w:lang w:val="en-US"/>
        </w:rPr>
        <w:t xml:space="preserve"> </w:t>
      </w:r>
      <w:r w:rsidR="00F230F8" w:rsidRPr="00905499">
        <w:rPr>
          <w:rFonts w:ascii="Times New Roman" w:hAnsi="Times New Roman" w:cs="Times New Roman"/>
          <w:lang w:val="en-US"/>
        </w:rPr>
        <w:t>or</w:t>
      </w:r>
      <w:r w:rsidR="008D2B3F" w:rsidRPr="00905499">
        <w:rPr>
          <w:rFonts w:ascii="Times New Roman" w:hAnsi="Times New Roman" w:cs="Times New Roman"/>
          <w:lang w:val="en-US"/>
        </w:rPr>
        <w:t xml:space="preserve"> institution choice but rarely all three in a single context. Furthermore, most evidence in this area is from cross-sectional samples. As such</w:t>
      </w:r>
      <w:r w:rsidR="006504B4">
        <w:rPr>
          <w:rFonts w:ascii="Times New Roman" w:hAnsi="Times New Roman" w:cs="Times New Roman"/>
          <w:lang w:val="en-US"/>
        </w:rPr>
        <w:t>,</w:t>
      </w:r>
      <w:r w:rsidR="008D2B3F" w:rsidRPr="00905499">
        <w:rPr>
          <w:rFonts w:ascii="Times New Roman" w:hAnsi="Times New Roman" w:cs="Times New Roman"/>
          <w:lang w:val="en-US"/>
        </w:rPr>
        <w:t xml:space="preserve"> it has been hard to distinguish between, and evaluate, the various mechanisms involved and the degree to which developmental mechanisms versus barriers to entry are at play. </w:t>
      </w:r>
      <w:r w:rsidR="00202F25" w:rsidRPr="00905499">
        <w:rPr>
          <w:rFonts w:ascii="Times New Roman" w:hAnsi="Times New Roman" w:cs="Times New Roman"/>
          <w:lang w:val="en-US"/>
        </w:rPr>
        <w:t xml:space="preserve">We have enriched an evidence base that is predominantly </w:t>
      </w:r>
      <w:r w:rsidR="006504B4" w:rsidRPr="00905499">
        <w:rPr>
          <w:rFonts w:ascii="Times New Roman" w:hAnsi="Times New Roman" w:cs="Times New Roman"/>
          <w:lang w:val="en-US"/>
        </w:rPr>
        <w:t>focused</w:t>
      </w:r>
      <w:r w:rsidR="00202F25" w:rsidRPr="00905499">
        <w:rPr>
          <w:rFonts w:ascii="Times New Roman" w:hAnsi="Times New Roman" w:cs="Times New Roman"/>
          <w:lang w:val="en-US"/>
        </w:rPr>
        <w:t xml:space="preserve"> upon studies set within the U</w:t>
      </w:r>
      <w:r w:rsidR="008A44BC">
        <w:rPr>
          <w:rFonts w:ascii="Times New Roman" w:hAnsi="Times New Roman" w:cs="Times New Roman"/>
          <w:lang w:val="en-US"/>
        </w:rPr>
        <w:t>.</w:t>
      </w:r>
      <w:r w:rsidR="00202F25" w:rsidRPr="00905499">
        <w:rPr>
          <w:rFonts w:ascii="Times New Roman" w:hAnsi="Times New Roman" w:cs="Times New Roman"/>
          <w:lang w:val="en-US"/>
        </w:rPr>
        <w:t>S</w:t>
      </w:r>
      <w:r w:rsidR="008A44BC">
        <w:rPr>
          <w:rFonts w:ascii="Times New Roman" w:hAnsi="Times New Roman" w:cs="Times New Roman"/>
          <w:lang w:val="en-US"/>
        </w:rPr>
        <w:t>.</w:t>
      </w:r>
      <w:r w:rsidR="00202F25" w:rsidRPr="00905499">
        <w:rPr>
          <w:rFonts w:ascii="Times New Roman" w:hAnsi="Times New Roman" w:cs="Times New Roman"/>
          <w:lang w:val="en-US"/>
        </w:rPr>
        <w:t xml:space="preserve"> and </w:t>
      </w:r>
      <w:r w:rsidR="007E7FB7">
        <w:rPr>
          <w:rFonts w:ascii="Times New Roman" w:hAnsi="Times New Roman" w:cs="Times New Roman"/>
          <w:lang w:val="en-US"/>
        </w:rPr>
        <w:t>U.K.</w:t>
      </w:r>
      <w:r w:rsidR="00202F25" w:rsidRPr="00905499">
        <w:rPr>
          <w:rFonts w:ascii="Times New Roman" w:hAnsi="Times New Roman" w:cs="Times New Roman"/>
          <w:lang w:val="en-US"/>
        </w:rPr>
        <w:t xml:space="preserve"> contexts. Moreover, our study enhances the credibility of the evidence available for decision makers through the analysis of a large source of longitudinal data</w:t>
      </w:r>
      <w:r w:rsidR="00583240" w:rsidRPr="00905499">
        <w:rPr>
          <w:rFonts w:ascii="Times New Roman" w:hAnsi="Times New Roman" w:cs="Times New Roman"/>
          <w:lang w:val="en-US"/>
        </w:rPr>
        <w:t xml:space="preserve">. </w:t>
      </w:r>
      <w:r w:rsidR="008D2B3F" w:rsidRPr="00905499">
        <w:rPr>
          <w:rFonts w:ascii="Times New Roman" w:hAnsi="Times New Roman" w:cs="Times New Roman"/>
          <w:lang w:val="en-US"/>
        </w:rPr>
        <w:t xml:space="preserve">Results suggest that distance exerts a unique influence on aspirations and attainment over-and-above socioeconomic status and academic ability. </w:t>
      </w:r>
      <w:r w:rsidR="004A0FFF" w:rsidRPr="00905499">
        <w:rPr>
          <w:rFonts w:ascii="Times New Roman" w:hAnsi="Times New Roman" w:cs="Times New Roman"/>
          <w:lang w:val="en-US"/>
        </w:rPr>
        <w:t>O</w:t>
      </w:r>
      <w:r w:rsidR="00F6685E" w:rsidRPr="00905499">
        <w:rPr>
          <w:rFonts w:ascii="Times New Roman" w:hAnsi="Times New Roman" w:cs="Times New Roman"/>
          <w:lang w:val="en-US"/>
        </w:rPr>
        <w:t>ur results suggest</w:t>
      </w:r>
      <w:r w:rsidR="00F30154" w:rsidRPr="00905499">
        <w:rPr>
          <w:rFonts w:ascii="Times New Roman" w:hAnsi="Times New Roman" w:cs="Times New Roman"/>
          <w:lang w:val="en-US"/>
        </w:rPr>
        <w:t xml:space="preserve"> that</w:t>
      </w:r>
      <w:r w:rsidR="00F6685E" w:rsidRPr="00905499">
        <w:rPr>
          <w:rFonts w:ascii="Times New Roman" w:hAnsi="Times New Roman" w:cs="Times New Roman"/>
          <w:lang w:val="en-US"/>
        </w:rPr>
        <w:t xml:space="preserve"> the effect of distance includes developmental </w:t>
      </w:r>
      <w:r w:rsidR="006504B4">
        <w:rPr>
          <w:rFonts w:ascii="Times New Roman" w:hAnsi="Times New Roman" w:cs="Times New Roman"/>
          <w:lang w:val="en-US"/>
        </w:rPr>
        <w:t>influences,</w:t>
      </w:r>
      <w:r w:rsidR="00695335" w:rsidRPr="00905499">
        <w:rPr>
          <w:rFonts w:ascii="Times New Roman" w:hAnsi="Times New Roman" w:cs="Times New Roman"/>
          <w:lang w:val="en-US"/>
        </w:rPr>
        <w:t xml:space="preserve"> which may include the relationship between distance and the </w:t>
      </w:r>
      <w:r w:rsidR="00F6685E" w:rsidRPr="00905499">
        <w:rPr>
          <w:rFonts w:ascii="Times New Roman" w:hAnsi="Times New Roman" w:cs="Times New Roman"/>
          <w:lang w:val="en-US"/>
        </w:rPr>
        <w:t>availability of a diverse set of career models (</w:t>
      </w:r>
      <w:r w:rsidR="00BD75A5" w:rsidRPr="00905499">
        <w:rPr>
          <w:rFonts w:ascii="Times New Roman" w:hAnsi="Times New Roman" w:cs="Times New Roman"/>
          <w:lang w:val="en-US"/>
        </w:rPr>
        <w:t>Elder et al., 1996</w:t>
      </w:r>
      <w:r w:rsidR="00F6685E" w:rsidRPr="00905499">
        <w:rPr>
          <w:rFonts w:ascii="Times New Roman" w:hAnsi="Times New Roman" w:cs="Times New Roman"/>
          <w:lang w:val="en-US"/>
        </w:rPr>
        <w:t xml:space="preserve">). </w:t>
      </w:r>
      <w:r w:rsidR="004A0FFF" w:rsidRPr="00905499">
        <w:rPr>
          <w:rFonts w:ascii="Times New Roman" w:hAnsi="Times New Roman" w:cs="Times New Roman"/>
          <w:lang w:val="en-US"/>
        </w:rPr>
        <w:t>C</w:t>
      </w:r>
      <w:r w:rsidR="00F6685E" w:rsidRPr="00905499">
        <w:rPr>
          <w:rFonts w:ascii="Times New Roman" w:hAnsi="Times New Roman" w:cs="Times New Roman"/>
          <w:lang w:val="en-US"/>
        </w:rPr>
        <w:t>ontrolling for aspirations, distance continues to exert a unique effect</w:t>
      </w:r>
      <w:r w:rsidR="00695335" w:rsidRPr="00905499">
        <w:rPr>
          <w:rFonts w:ascii="Times New Roman" w:hAnsi="Times New Roman" w:cs="Times New Roman"/>
          <w:lang w:val="en-US"/>
        </w:rPr>
        <w:t>. This</w:t>
      </w:r>
      <w:r w:rsidR="00F6685E" w:rsidRPr="00905499">
        <w:rPr>
          <w:rFonts w:ascii="Times New Roman" w:hAnsi="Times New Roman" w:cs="Times New Roman"/>
          <w:lang w:val="en-US"/>
        </w:rPr>
        <w:t xml:space="preserve"> suggest</w:t>
      </w:r>
      <w:r w:rsidR="00695335" w:rsidRPr="00905499">
        <w:rPr>
          <w:rFonts w:ascii="Times New Roman" w:hAnsi="Times New Roman" w:cs="Times New Roman"/>
          <w:lang w:val="en-US"/>
        </w:rPr>
        <w:t>s</w:t>
      </w:r>
      <w:r w:rsidR="00F6685E" w:rsidRPr="00905499">
        <w:rPr>
          <w:rFonts w:ascii="Times New Roman" w:hAnsi="Times New Roman" w:cs="Times New Roman"/>
          <w:lang w:val="en-US"/>
        </w:rPr>
        <w:t xml:space="preserve"> </w:t>
      </w:r>
      <w:r w:rsidR="00BD75A5" w:rsidRPr="00905499">
        <w:rPr>
          <w:rFonts w:ascii="Times New Roman" w:hAnsi="Times New Roman" w:cs="Times New Roman"/>
          <w:lang w:val="en-US"/>
        </w:rPr>
        <w:t>ongoing</w:t>
      </w:r>
      <w:r w:rsidR="00F6685E" w:rsidRPr="00905499">
        <w:rPr>
          <w:rFonts w:ascii="Times New Roman" w:hAnsi="Times New Roman" w:cs="Times New Roman"/>
          <w:lang w:val="en-US"/>
        </w:rPr>
        <w:t xml:space="preserve"> influences </w:t>
      </w:r>
      <w:r w:rsidR="00BD75A5" w:rsidRPr="00905499">
        <w:rPr>
          <w:rFonts w:ascii="Times New Roman" w:hAnsi="Times New Roman" w:cs="Times New Roman"/>
          <w:lang w:val="en-US"/>
        </w:rPr>
        <w:t>of costs many of which may be emotional and social due to young people from rural communities</w:t>
      </w:r>
      <w:r w:rsidR="006504B4">
        <w:rPr>
          <w:rFonts w:ascii="Times New Roman" w:hAnsi="Times New Roman" w:cs="Times New Roman"/>
          <w:lang w:val="en-US"/>
        </w:rPr>
        <w:t>’</w:t>
      </w:r>
      <w:r w:rsidR="00BD75A5" w:rsidRPr="00905499">
        <w:rPr>
          <w:rFonts w:ascii="Times New Roman" w:hAnsi="Times New Roman" w:cs="Times New Roman"/>
          <w:lang w:val="en-US"/>
        </w:rPr>
        <w:t xml:space="preserve"> strong connection to community (Crockett et al., 2000; Elder &amp; Conger, 2000; Petrin et al., 2011). Furthermore</w:t>
      </w:r>
      <w:r w:rsidR="008D2B3F" w:rsidRPr="00905499">
        <w:rPr>
          <w:rFonts w:ascii="Times New Roman" w:hAnsi="Times New Roman" w:cs="Times New Roman"/>
          <w:lang w:val="en-US"/>
        </w:rPr>
        <w:t xml:space="preserve">, </w:t>
      </w:r>
      <w:r w:rsidR="00BD75A5" w:rsidRPr="00905499">
        <w:rPr>
          <w:rFonts w:ascii="Times New Roman" w:hAnsi="Times New Roman" w:cs="Times New Roman"/>
          <w:lang w:val="en-US"/>
        </w:rPr>
        <w:t>on the available evidence</w:t>
      </w:r>
      <w:r w:rsidR="00145965" w:rsidRPr="00905499">
        <w:rPr>
          <w:rFonts w:ascii="Times New Roman" w:hAnsi="Times New Roman" w:cs="Times New Roman"/>
          <w:lang w:val="en-US"/>
        </w:rPr>
        <w:t>,</w:t>
      </w:r>
      <w:r w:rsidR="008D2B3F" w:rsidRPr="00905499">
        <w:rPr>
          <w:rFonts w:ascii="Times New Roman" w:hAnsi="Times New Roman" w:cs="Times New Roman"/>
          <w:lang w:val="en-US"/>
        </w:rPr>
        <w:t xml:space="preserve"> cost appears to explain most of the influence of distance on university choice.</w:t>
      </w:r>
    </w:p>
    <w:p w14:paraId="2FE2F6E1" w14:textId="77777777" w:rsidR="00773FAA" w:rsidRDefault="00773FAA" w:rsidP="000439E3">
      <w:pPr>
        <w:spacing w:line="480" w:lineRule="auto"/>
        <w:jc w:val="center"/>
        <w:rPr>
          <w:rFonts w:ascii="Times New Roman" w:hAnsi="Times New Roman" w:cs="Times New Roman"/>
          <w:b/>
          <w:lang w:val="en-US"/>
        </w:rPr>
      </w:pPr>
      <w:r>
        <w:rPr>
          <w:rFonts w:ascii="Times New Roman" w:hAnsi="Times New Roman" w:cs="Times New Roman"/>
          <w:b/>
          <w:lang w:val="en-US"/>
        </w:rPr>
        <w:br w:type="page"/>
      </w:r>
    </w:p>
    <w:p w14:paraId="7E00CE01" w14:textId="36427DDA" w:rsidR="000439E3" w:rsidRPr="00905499" w:rsidRDefault="000439E3" w:rsidP="000439E3">
      <w:pPr>
        <w:spacing w:line="480" w:lineRule="auto"/>
        <w:jc w:val="center"/>
        <w:rPr>
          <w:rFonts w:ascii="Times New Roman" w:hAnsi="Times New Roman" w:cs="Times New Roman"/>
          <w:b/>
          <w:lang w:val="en-US"/>
        </w:rPr>
      </w:pPr>
      <w:r w:rsidRPr="00905499">
        <w:rPr>
          <w:rFonts w:ascii="Times New Roman" w:hAnsi="Times New Roman" w:cs="Times New Roman"/>
          <w:b/>
          <w:lang w:val="en-US"/>
        </w:rPr>
        <w:lastRenderedPageBreak/>
        <w:t>References</w:t>
      </w:r>
    </w:p>
    <w:p w14:paraId="7FEBF392" w14:textId="77777777" w:rsidR="000439E3" w:rsidRPr="00905499" w:rsidRDefault="000439E3" w:rsidP="000439E3">
      <w:pPr>
        <w:pStyle w:val="NormalWeb"/>
        <w:spacing w:before="0" w:beforeAutospacing="0" w:after="0" w:afterAutospacing="0" w:line="480" w:lineRule="auto"/>
        <w:ind w:left="480" w:hanging="480"/>
        <w:rPr>
          <w:rFonts w:ascii="Times New Roman" w:hAnsi="Times New Roman"/>
          <w:sz w:val="24"/>
          <w:szCs w:val="24"/>
          <w:lang w:val="en-US"/>
        </w:rPr>
      </w:pPr>
      <w:proofErr w:type="gramStart"/>
      <w:r w:rsidRPr="00905499">
        <w:rPr>
          <w:rFonts w:ascii="Times New Roman" w:hAnsi="Times New Roman"/>
          <w:sz w:val="24"/>
          <w:szCs w:val="24"/>
          <w:lang w:val="en-US"/>
        </w:rPr>
        <w:t>Australian Bureau of Statistics [ABS] (2014).</w:t>
      </w:r>
      <w:proofErr w:type="gramEnd"/>
      <w:r w:rsidRPr="00905499">
        <w:rPr>
          <w:rFonts w:ascii="Times New Roman" w:hAnsi="Times New Roman"/>
          <w:sz w:val="24"/>
          <w:szCs w:val="24"/>
          <w:lang w:val="en-US"/>
        </w:rPr>
        <w:t xml:space="preserve"> </w:t>
      </w:r>
      <w:proofErr w:type="gramStart"/>
      <w:r w:rsidRPr="00905499">
        <w:rPr>
          <w:rFonts w:ascii="Times New Roman" w:hAnsi="Times New Roman"/>
          <w:i/>
          <w:sz w:val="24"/>
          <w:szCs w:val="24"/>
          <w:lang w:val="en-US"/>
        </w:rPr>
        <w:t>Australian social trends</w:t>
      </w:r>
      <w:r w:rsidRPr="00905499">
        <w:rPr>
          <w:rFonts w:ascii="Times New Roman" w:hAnsi="Times New Roman"/>
          <w:sz w:val="24"/>
          <w:szCs w:val="24"/>
          <w:lang w:val="en-US"/>
        </w:rPr>
        <w:t>.</w:t>
      </w:r>
      <w:proofErr w:type="gramEnd"/>
      <w:r w:rsidRPr="00905499">
        <w:rPr>
          <w:rFonts w:ascii="Times New Roman" w:hAnsi="Times New Roman"/>
          <w:sz w:val="24"/>
          <w:szCs w:val="24"/>
          <w:lang w:val="en-US"/>
        </w:rPr>
        <w:t xml:space="preserve">  </w:t>
      </w:r>
      <w:proofErr w:type="spellStart"/>
      <w:proofErr w:type="gramStart"/>
      <w:r w:rsidRPr="00905499">
        <w:rPr>
          <w:rFonts w:ascii="Times New Roman" w:hAnsi="Times New Roman"/>
          <w:sz w:val="24"/>
          <w:szCs w:val="24"/>
          <w:lang w:val="en-US"/>
        </w:rPr>
        <w:t>Catlog</w:t>
      </w:r>
      <w:proofErr w:type="spellEnd"/>
      <w:r w:rsidRPr="00905499">
        <w:rPr>
          <w:rFonts w:ascii="Times New Roman" w:hAnsi="Times New Roman"/>
          <w:sz w:val="24"/>
          <w:szCs w:val="24"/>
          <w:lang w:val="en-US"/>
        </w:rPr>
        <w:t xml:space="preserve"> no. 4102.</w:t>
      </w:r>
      <w:proofErr w:type="gramEnd"/>
    </w:p>
    <w:p w14:paraId="19EC27F2" w14:textId="77777777" w:rsidR="000439E3" w:rsidRPr="00905499" w:rsidRDefault="000439E3" w:rsidP="000439E3">
      <w:pPr>
        <w:pStyle w:val="NormalWeb"/>
        <w:spacing w:before="0" w:beforeAutospacing="0" w:after="0" w:afterAutospacing="0" w:line="480" w:lineRule="auto"/>
        <w:ind w:left="480" w:hanging="480"/>
        <w:rPr>
          <w:rFonts w:ascii="Times New Roman" w:hAnsi="Times New Roman"/>
          <w:sz w:val="24"/>
          <w:szCs w:val="24"/>
          <w:lang w:val="en-US"/>
        </w:rPr>
      </w:pPr>
      <w:r w:rsidRPr="00905499">
        <w:rPr>
          <w:rFonts w:ascii="Times New Roman" w:hAnsi="Times New Roman"/>
          <w:sz w:val="24"/>
          <w:szCs w:val="24"/>
          <w:lang w:val="en-US"/>
        </w:rPr>
        <w:t xml:space="preserve">Black, D and Smith, J. (2006). Estimating the return to college quality with multiple proxies for quality. </w:t>
      </w:r>
      <w:proofErr w:type="gramStart"/>
      <w:r w:rsidRPr="00905499">
        <w:rPr>
          <w:rFonts w:ascii="Times New Roman" w:hAnsi="Times New Roman"/>
          <w:i/>
          <w:sz w:val="24"/>
          <w:szCs w:val="24"/>
          <w:lang w:val="en-US"/>
        </w:rPr>
        <w:t>Journal of Labor Economics</w:t>
      </w:r>
      <w:r w:rsidRPr="00905499">
        <w:rPr>
          <w:rFonts w:ascii="Times New Roman" w:hAnsi="Times New Roman"/>
          <w:sz w:val="24"/>
          <w:szCs w:val="24"/>
          <w:lang w:val="en-US"/>
        </w:rPr>
        <w:t xml:space="preserve"> 24,701-28.</w:t>
      </w:r>
      <w:proofErr w:type="gramEnd"/>
    </w:p>
    <w:p w14:paraId="13C524CA" w14:textId="77777777" w:rsidR="000439E3" w:rsidRPr="00905499" w:rsidRDefault="000439E3" w:rsidP="000439E3">
      <w:pPr>
        <w:pStyle w:val="NormalWeb"/>
        <w:spacing w:before="0" w:beforeAutospacing="0" w:after="0" w:afterAutospacing="0" w:line="480" w:lineRule="auto"/>
        <w:ind w:left="482" w:hanging="482"/>
        <w:rPr>
          <w:rFonts w:ascii="Times New Roman" w:hAnsi="Times New Roman"/>
          <w:sz w:val="24"/>
          <w:szCs w:val="24"/>
          <w:lang w:val="en-US"/>
        </w:rPr>
      </w:pPr>
      <w:r w:rsidRPr="00905499">
        <w:rPr>
          <w:rFonts w:ascii="Times New Roman" w:hAnsi="Times New Roman"/>
          <w:sz w:val="24"/>
          <w:szCs w:val="24"/>
          <w:lang w:val="en-US"/>
        </w:rPr>
        <w:t xml:space="preserve">Bradley, D., Noonan, P., Nugent, H., &amp; Scales, B. (2008). </w:t>
      </w:r>
      <w:proofErr w:type="gramStart"/>
      <w:r w:rsidRPr="00905499">
        <w:rPr>
          <w:rFonts w:ascii="Times New Roman" w:hAnsi="Times New Roman"/>
          <w:i/>
          <w:sz w:val="24"/>
          <w:szCs w:val="24"/>
          <w:lang w:val="en-US"/>
        </w:rPr>
        <w:t>Review of Australian higher education.</w:t>
      </w:r>
      <w:proofErr w:type="gramEnd"/>
      <w:r w:rsidRPr="00905499">
        <w:rPr>
          <w:rFonts w:ascii="Times New Roman" w:hAnsi="Times New Roman"/>
          <w:i/>
          <w:sz w:val="24"/>
          <w:szCs w:val="24"/>
          <w:lang w:val="en-US"/>
        </w:rPr>
        <w:t xml:space="preserve"> </w:t>
      </w:r>
      <w:r w:rsidRPr="00905499">
        <w:rPr>
          <w:rFonts w:ascii="Times New Roman" w:hAnsi="Times New Roman"/>
          <w:sz w:val="24"/>
          <w:szCs w:val="24"/>
          <w:lang w:val="en-US"/>
        </w:rPr>
        <w:t>Canberra: Commonwealth of Australia.</w:t>
      </w:r>
    </w:p>
    <w:p w14:paraId="0D2123DD" w14:textId="77777777" w:rsidR="000439E3" w:rsidRPr="00905499" w:rsidRDefault="000439E3" w:rsidP="000439E3">
      <w:pPr>
        <w:pStyle w:val="NormalWeb"/>
        <w:spacing w:before="0" w:beforeAutospacing="0" w:after="0" w:afterAutospacing="0" w:line="480" w:lineRule="auto"/>
        <w:ind w:left="480" w:hanging="480"/>
        <w:rPr>
          <w:rFonts w:ascii="Times New Roman" w:hAnsi="Times New Roman"/>
          <w:i/>
          <w:sz w:val="24"/>
          <w:szCs w:val="24"/>
          <w:lang w:val="en-US"/>
        </w:rPr>
      </w:pPr>
      <w:r w:rsidRPr="00905499">
        <w:rPr>
          <w:rFonts w:ascii="Times New Roman" w:hAnsi="Times New Roman"/>
          <w:sz w:val="24"/>
          <w:szCs w:val="24"/>
          <w:lang w:val="en-US"/>
        </w:rPr>
        <w:t xml:space="preserve">Boudon, R. (1974). </w:t>
      </w:r>
      <w:r w:rsidRPr="00905499">
        <w:rPr>
          <w:rFonts w:ascii="Times New Roman" w:hAnsi="Times New Roman"/>
          <w:i/>
          <w:sz w:val="24"/>
          <w:szCs w:val="24"/>
          <w:lang w:val="en-US"/>
        </w:rPr>
        <w:t xml:space="preserve">Education, opportunity, and social inequality: Changing prospects in western society. </w:t>
      </w:r>
      <w:r w:rsidRPr="00905499">
        <w:rPr>
          <w:rFonts w:ascii="Times New Roman" w:hAnsi="Times New Roman"/>
          <w:sz w:val="24"/>
          <w:szCs w:val="24"/>
          <w:lang w:val="en-US"/>
        </w:rPr>
        <w:t xml:space="preserve">New York, NY: </w:t>
      </w:r>
      <w:r w:rsidRPr="00905499">
        <w:rPr>
          <w:rFonts w:ascii="Times New Roman" w:hAnsi="Times New Roman"/>
          <w:iCs/>
          <w:sz w:val="24"/>
          <w:szCs w:val="24"/>
          <w:lang w:val="en-US"/>
        </w:rPr>
        <w:t>Wiley-</w:t>
      </w:r>
      <w:proofErr w:type="spellStart"/>
      <w:r w:rsidRPr="00905499">
        <w:rPr>
          <w:rFonts w:ascii="Times New Roman" w:hAnsi="Times New Roman"/>
          <w:iCs/>
          <w:sz w:val="24"/>
          <w:szCs w:val="24"/>
          <w:lang w:val="en-US"/>
        </w:rPr>
        <w:t>Interscience</w:t>
      </w:r>
      <w:proofErr w:type="spellEnd"/>
      <w:r w:rsidRPr="00905499">
        <w:rPr>
          <w:rFonts w:ascii="Times New Roman" w:hAnsi="Times New Roman"/>
          <w:sz w:val="24"/>
          <w:szCs w:val="24"/>
          <w:lang w:val="en-US"/>
        </w:rPr>
        <w:t>.</w:t>
      </w:r>
    </w:p>
    <w:p w14:paraId="4B699DE4" w14:textId="77777777" w:rsidR="000439E3" w:rsidRPr="00905499" w:rsidRDefault="000439E3" w:rsidP="000439E3">
      <w:pPr>
        <w:pStyle w:val="NormalWeb"/>
        <w:spacing w:before="0" w:beforeAutospacing="0" w:after="0" w:afterAutospacing="0" w:line="480" w:lineRule="auto"/>
        <w:ind w:left="480" w:hanging="480"/>
        <w:rPr>
          <w:rFonts w:ascii="Times New Roman" w:hAnsi="Times New Roman"/>
          <w:sz w:val="24"/>
          <w:szCs w:val="24"/>
          <w:lang w:val="en-US"/>
        </w:rPr>
      </w:pPr>
      <w:proofErr w:type="gramStart"/>
      <w:r w:rsidRPr="00905499">
        <w:rPr>
          <w:rFonts w:ascii="Times New Roman" w:hAnsi="Times New Roman"/>
          <w:sz w:val="24"/>
          <w:szCs w:val="24"/>
          <w:lang w:val="en-US"/>
        </w:rPr>
        <w:t xml:space="preserve">Bowen, W., </w:t>
      </w:r>
      <w:proofErr w:type="spellStart"/>
      <w:r w:rsidRPr="00905499">
        <w:rPr>
          <w:rFonts w:ascii="Times New Roman" w:hAnsi="Times New Roman"/>
          <w:sz w:val="24"/>
          <w:szCs w:val="24"/>
          <w:lang w:val="en-US"/>
        </w:rPr>
        <w:t>Chingos</w:t>
      </w:r>
      <w:proofErr w:type="spellEnd"/>
      <w:r w:rsidRPr="00905499">
        <w:rPr>
          <w:rFonts w:ascii="Times New Roman" w:hAnsi="Times New Roman"/>
          <w:sz w:val="24"/>
          <w:szCs w:val="24"/>
          <w:lang w:val="en-US"/>
        </w:rPr>
        <w:t>, M., &amp; McPherson, M. (2009).</w:t>
      </w:r>
      <w:proofErr w:type="gramEnd"/>
      <w:r w:rsidRPr="00905499">
        <w:rPr>
          <w:rFonts w:ascii="Times New Roman" w:hAnsi="Times New Roman"/>
          <w:sz w:val="24"/>
          <w:szCs w:val="24"/>
          <w:lang w:val="en-US"/>
        </w:rPr>
        <w:t xml:space="preserve"> </w:t>
      </w:r>
      <w:r w:rsidRPr="00905499">
        <w:rPr>
          <w:rFonts w:ascii="Times New Roman" w:hAnsi="Times New Roman"/>
          <w:i/>
          <w:sz w:val="24"/>
          <w:szCs w:val="24"/>
          <w:lang w:val="en-US"/>
        </w:rPr>
        <w:t>Crossing the finish line: Completing college at America’s public universities</w:t>
      </w:r>
      <w:r w:rsidRPr="00905499">
        <w:rPr>
          <w:rFonts w:ascii="Times New Roman" w:hAnsi="Times New Roman"/>
          <w:sz w:val="24"/>
          <w:szCs w:val="24"/>
          <w:lang w:val="en-US"/>
        </w:rPr>
        <w:t>. Princeton: Princeton University Press.</w:t>
      </w:r>
    </w:p>
    <w:p w14:paraId="2DDB0E0B" w14:textId="77777777" w:rsidR="000439E3" w:rsidRPr="00905499" w:rsidRDefault="000439E3" w:rsidP="000439E3">
      <w:pPr>
        <w:pStyle w:val="NormalWeb"/>
        <w:spacing w:before="0" w:beforeAutospacing="0" w:after="0" w:afterAutospacing="0" w:line="480" w:lineRule="auto"/>
        <w:ind w:left="482" w:hanging="482"/>
        <w:rPr>
          <w:rFonts w:ascii="Times New Roman" w:hAnsi="Times New Roman"/>
          <w:sz w:val="24"/>
          <w:szCs w:val="24"/>
          <w:lang w:val="en-US"/>
        </w:rPr>
      </w:pPr>
      <w:r w:rsidRPr="00905499">
        <w:rPr>
          <w:rFonts w:ascii="Times New Roman" w:hAnsi="Times New Roman"/>
          <w:sz w:val="24"/>
          <w:szCs w:val="24"/>
          <w:lang w:val="en-US"/>
        </w:rPr>
        <w:t>Breen, R., &amp; Goldthorpe, J. H. (1997). Explaining educational differentials towards a formal rational action theory. </w:t>
      </w:r>
      <w:r w:rsidRPr="00905499">
        <w:rPr>
          <w:rFonts w:ascii="Times New Roman" w:hAnsi="Times New Roman"/>
          <w:i/>
          <w:iCs/>
          <w:sz w:val="24"/>
          <w:szCs w:val="24"/>
          <w:lang w:val="en-US"/>
        </w:rPr>
        <w:t>Rationality and society</w:t>
      </w:r>
      <w:r w:rsidRPr="00905499">
        <w:rPr>
          <w:rFonts w:ascii="Times New Roman" w:hAnsi="Times New Roman"/>
          <w:sz w:val="24"/>
          <w:szCs w:val="24"/>
          <w:lang w:val="en-US"/>
        </w:rPr>
        <w:t>, </w:t>
      </w:r>
      <w:r w:rsidRPr="00905499">
        <w:rPr>
          <w:rFonts w:ascii="Times New Roman" w:hAnsi="Times New Roman"/>
          <w:i/>
          <w:iCs/>
          <w:sz w:val="24"/>
          <w:szCs w:val="24"/>
          <w:lang w:val="en-US"/>
        </w:rPr>
        <w:t>9</w:t>
      </w:r>
      <w:r w:rsidRPr="00905499">
        <w:rPr>
          <w:rFonts w:ascii="Times New Roman" w:hAnsi="Times New Roman"/>
          <w:sz w:val="24"/>
          <w:szCs w:val="24"/>
          <w:lang w:val="en-US"/>
        </w:rPr>
        <w:t>, 275-305.</w:t>
      </w:r>
    </w:p>
    <w:p w14:paraId="47B68A25" w14:textId="77777777" w:rsidR="000439E3" w:rsidRPr="00905499" w:rsidRDefault="000439E3" w:rsidP="000439E3">
      <w:pPr>
        <w:pStyle w:val="NormalWeb"/>
        <w:spacing w:before="0" w:beforeAutospacing="0" w:after="0" w:afterAutospacing="0" w:line="480" w:lineRule="auto"/>
        <w:ind w:left="480" w:hanging="480"/>
        <w:rPr>
          <w:rFonts w:ascii="Times New Roman" w:hAnsi="Times New Roman"/>
          <w:sz w:val="24"/>
          <w:szCs w:val="24"/>
          <w:lang w:val="en-US"/>
        </w:rPr>
      </w:pPr>
      <w:r w:rsidRPr="00905499">
        <w:rPr>
          <w:rFonts w:ascii="Times New Roman" w:hAnsi="Times New Roman"/>
          <w:sz w:val="24"/>
          <w:szCs w:val="24"/>
          <w:lang w:val="en-US"/>
        </w:rPr>
        <w:t xml:space="preserve">Bronfenbrenner, U., &amp; Evans, G. W. (2000). Developmental science in the 21st century: Emerging questions, theoretical models, research designs and empirical findings. </w:t>
      </w:r>
      <w:proofErr w:type="gramStart"/>
      <w:r w:rsidRPr="00905499">
        <w:rPr>
          <w:rFonts w:ascii="Times New Roman" w:hAnsi="Times New Roman"/>
          <w:i/>
          <w:sz w:val="24"/>
          <w:szCs w:val="24"/>
          <w:lang w:val="en-US"/>
        </w:rPr>
        <w:t>Social Development, 9,</w:t>
      </w:r>
      <w:r w:rsidRPr="00905499">
        <w:rPr>
          <w:rFonts w:ascii="Times New Roman" w:hAnsi="Times New Roman"/>
          <w:sz w:val="24"/>
          <w:szCs w:val="24"/>
          <w:lang w:val="en-US"/>
        </w:rPr>
        <w:t xml:space="preserve"> 115–125.</w:t>
      </w:r>
      <w:proofErr w:type="gramEnd"/>
    </w:p>
    <w:p w14:paraId="40DE9897" w14:textId="00349916" w:rsidR="000439E3" w:rsidRPr="00905499" w:rsidRDefault="000439E3" w:rsidP="000439E3">
      <w:pPr>
        <w:pStyle w:val="NormalWeb"/>
        <w:spacing w:before="0" w:beforeAutospacing="0" w:after="0" w:afterAutospacing="0" w:line="480" w:lineRule="auto"/>
        <w:ind w:left="480" w:hanging="480"/>
        <w:rPr>
          <w:rFonts w:ascii="Times New Roman" w:hAnsi="Times New Roman"/>
          <w:sz w:val="24"/>
          <w:szCs w:val="24"/>
          <w:lang w:val="en-US"/>
        </w:rPr>
      </w:pPr>
      <w:r w:rsidRPr="00905499">
        <w:rPr>
          <w:rFonts w:ascii="Times New Roman" w:hAnsi="Times New Roman"/>
          <w:sz w:val="24"/>
          <w:szCs w:val="24"/>
          <w:lang w:val="en-US"/>
        </w:rPr>
        <w:t>Bronfenbrenner, U., Morris, P.A.</w:t>
      </w:r>
      <w:r w:rsidR="00BE7F22">
        <w:rPr>
          <w:rFonts w:ascii="Times New Roman" w:hAnsi="Times New Roman"/>
          <w:sz w:val="24"/>
          <w:szCs w:val="24"/>
          <w:lang w:val="en-US"/>
        </w:rPr>
        <w:t xml:space="preserve"> </w:t>
      </w:r>
      <w:r w:rsidRPr="00905499">
        <w:rPr>
          <w:rFonts w:ascii="Times New Roman" w:hAnsi="Times New Roman"/>
          <w:sz w:val="24"/>
          <w:szCs w:val="24"/>
          <w:lang w:val="en-US"/>
        </w:rPr>
        <w:t xml:space="preserve">(1998). </w:t>
      </w:r>
      <w:proofErr w:type="gramStart"/>
      <w:r w:rsidRPr="00905499">
        <w:rPr>
          <w:rFonts w:ascii="Times New Roman" w:hAnsi="Times New Roman"/>
          <w:sz w:val="24"/>
          <w:szCs w:val="24"/>
          <w:lang w:val="en-US"/>
        </w:rPr>
        <w:t>The ecology of developmental processes.</w:t>
      </w:r>
      <w:proofErr w:type="gramEnd"/>
      <w:r w:rsidRPr="00905499">
        <w:rPr>
          <w:rFonts w:ascii="Times New Roman" w:hAnsi="Times New Roman"/>
          <w:sz w:val="24"/>
          <w:szCs w:val="24"/>
          <w:lang w:val="en-US"/>
        </w:rPr>
        <w:t xml:space="preserve"> </w:t>
      </w:r>
      <w:proofErr w:type="gramStart"/>
      <w:r w:rsidRPr="00905499">
        <w:rPr>
          <w:rFonts w:ascii="Times New Roman" w:hAnsi="Times New Roman"/>
          <w:sz w:val="24"/>
          <w:szCs w:val="24"/>
          <w:lang w:val="en-US"/>
        </w:rPr>
        <w:t>In P., Damon, W., &amp; Lerner, R. M. (</w:t>
      </w:r>
      <w:proofErr w:type="spellStart"/>
      <w:r w:rsidRPr="00905499">
        <w:rPr>
          <w:rFonts w:ascii="Times New Roman" w:hAnsi="Times New Roman"/>
          <w:sz w:val="24"/>
          <w:szCs w:val="24"/>
          <w:lang w:val="en-US"/>
        </w:rPr>
        <w:t>Eds</w:t>
      </w:r>
      <w:proofErr w:type="spellEnd"/>
      <w:r w:rsidRPr="00905499">
        <w:rPr>
          <w:rFonts w:ascii="Times New Roman" w:hAnsi="Times New Roman"/>
          <w:sz w:val="24"/>
          <w:szCs w:val="24"/>
          <w:lang w:val="en-US"/>
        </w:rPr>
        <w:t>) Handbook of child psychology.</w:t>
      </w:r>
      <w:proofErr w:type="gramEnd"/>
      <w:r w:rsidRPr="00905499">
        <w:rPr>
          <w:rFonts w:ascii="Times New Roman" w:hAnsi="Times New Roman"/>
          <w:sz w:val="24"/>
          <w:szCs w:val="24"/>
          <w:lang w:val="en-US"/>
        </w:rPr>
        <w:t> </w:t>
      </w:r>
      <w:r w:rsidRPr="00905499">
        <w:rPr>
          <w:rFonts w:ascii="Times New Roman" w:hAnsi="Times New Roman"/>
          <w:i/>
          <w:iCs/>
          <w:sz w:val="24"/>
          <w:szCs w:val="24"/>
          <w:lang w:val="en-US"/>
        </w:rPr>
        <w:t>Handbook of child psychology</w:t>
      </w:r>
      <w:r w:rsidRPr="00905499">
        <w:rPr>
          <w:rFonts w:ascii="Times New Roman" w:hAnsi="Times New Roman"/>
          <w:sz w:val="24"/>
          <w:szCs w:val="24"/>
          <w:lang w:val="en-US"/>
        </w:rPr>
        <w:t>, </w:t>
      </w:r>
      <w:proofErr w:type="spellStart"/>
      <w:r w:rsidRPr="00905499">
        <w:rPr>
          <w:rFonts w:ascii="Times New Roman" w:hAnsi="Times New Roman"/>
          <w:i/>
          <w:sz w:val="24"/>
          <w:szCs w:val="24"/>
          <w:lang w:val="en-US"/>
        </w:rPr>
        <w:t>Vol</w:t>
      </w:r>
      <w:proofErr w:type="spellEnd"/>
      <w:r w:rsidRPr="00905499">
        <w:rPr>
          <w:rFonts w:ascii="Times New Roman" w:hAnsi="Times New Roman"/>
          <w:i/>
          <w:iCs/>
          <w:sz w:val="24"/>
          <w:szCs w:val="24"/>
          <w:lang w:val="en-US"/>
        </w:rPr>
        <w:t xml:space="preserve"> 1 (5</w:t>
      </w:r>
      <w:r w:rsidRPr="00905499">
        <w:rPr>
          <w:rFonts w:ascii="Times New Roman" w:hAnsi="Times New Roman"/>
          <w:i/>
          <w:iCs/>
          <w:sz w:val="24"/>
          <w:szCs w:val="24"/>
          <w:vertAlign w:val="superscript"/>
          <w:lang w:val="en-US"/>
        </w:rPr>
        <w:t>th</w:t>
      </w:r>
      <w:r w:rsidRPr="00905499">
        <w:rPr>
          <w:rFonts w:ascii="Times New Roman" w:hAnsi="Times New Roman"/>
          <w:i/>
          <w:iCs/>
          <w:sz w:val="24"/>
          <w:szCs w:val="24"/>
          <w:lang w:val="en-US"/>
        </w:rPr>
        <w:t xml:space="preserve"> Edition) (pp. 993-1028)</w:t>
      </w:r>
      <w:r w:rsidRPr="00905499">
        <w:rPr>
          <w:rFonts w:ascii="Times New Roman" w:hAnsi="Times New Roman"/>
          <w:sz w:val="24"/>
          <w:szCs w:val="24"/>
          <w:lang w:val="en-US"/>
        </w:rPr>
        <w:t xml:space="preserve">. Hoboken, NJ: John Wiley &amp; </w:t>
      </w:r>
      <w:proofErr w:type="gramStart"/>
      <w:r w:rsidRPr="00905499">
        <w:rPr>
          <w:rFonts w:ascii="Times New Roman" w:hAnsi="Times New Roman"/>
          <w:sz w:val="24"/>
          <w:szCs w:val="24"/>
          <w:lang w:val="en-US"/>
        </w:rPr>
        <w:t>Sons .</w:t>
      </w:r>
      <w:proofErr w:type="gramEnd"/>
    </w:p>
    <w:p w14:paraId="3690A8F4" w14:textId="77777777" w:rsidR="000439E3" w:rsidRPr="00905499" w:rsidRDefault="000439E3" w:rsidP="000439E3">
      <w:pPr>
        <w:pStyle w:val="NormalWeb"/>
        <w:spacing w:before="0" w:beforeAutospacing="0" w:after="0" w:afterAutospacing="0" w:line="480" w:lineRule="auto"/>
        <w:ind w:left="480" w:hanging="480"/>
        <w:rPr>
          <w:rFonts w:ascii="Times New Roman" w:hAnsi="Times New Roman"/>
          <w:sz w:val="24"/>
          <w:szCs w:val="24"/>
          <w:lang w:val="en-US"/>
        </w:rPr>
      </w:pPr>
      <w:proofErr w:type="gramStart"/>
      <w:r w:rsidRPr="00905499">
        <w:rPr>
          <w:rFonts w:ascii="Times New Roman" w:hAnsi="Times New Roman"/>
          <w:sz w:val="24"/>
          <w:szCs w:val="24"/>
          <w:lang w:val="en-US"/>
        </w:rPr>
        <w:t>Byun, S., Meece, J. L., Irvin, M. J., &amp; Hutchins, B. C. (2012).</w:t>
      </w:r>
      <w:proofErr w:type="gramEnd"/>
      <w:r w:rsidRPr="00905499">
        <w:rPr>
          <w:rFonts w:ascii="Times New Roman" w:hAnsi="Times New Roman"/>
          <w:sz w:val="24"/>
          <w:szCs w:val="24"/>
          <w:lang w:val="en-US"/>
        </w:rPr>
        <w:t xml:space="preserve"> </w:t>
      </w:r>
      <w:proofErr w:type="gramStart"/>
      <w:r w:rsidRPr="00905499">
        <w:rPr>
          <w:rFonts w:ascii="Times New Roman" w:hAnsi="Times New Roman"/>
          <w:sz w:val="24"/>
          <w:szCs w:val="24"/>
          <w:lang w:val="en-US"/>
        </w:rPr>
        <w:t xml:space="preserve">The role of social capital in educational aspirations of rural youth, </w:t>
      </w:r>
      <w:r w:rsidRPr="00905499">
        <w:rPr>
          <w:rFonts w:ascii="Times New Roman" w:hAnsi="Times New Roman"/>
          <w:i/>
          <w:sz w:val="24"/>
          <w:szCs w:val="24"/>
          <w:lang w:val="en-US"/>
        </w:rPr>
        <w:t>Rural Sociology,</w:t>
      </w:r>
      <w:r w:rsidRPr="00905499">
        <w:rPr>
          <w:rFonts w:ascii="Times New Roman" w:hAnsi="Times New Roman"/>
          <w:sz w:val="24"/>
          <w:szCs w:val="24"/>
          <w:lang w:val="en-US"/>
        </w:rPr>
        <w:t xml:space="preserve"> </w:t>
      </w:r>
      <w:r w:rsidRPr="00905499">
        <w:rPr>
          <w:rFonts w:ascii="Times New Roman" w:hAnsi="Times New Roman"/>
          <w:i/>
          <w:iCs/>
          <w:sz w:val="24"/>
          <w:szCs w:val="24"/>
          <w:lang w:val="en-US"/>
        </w:rPr>
        <w:t>77</w:t>
      </w:r>
      <w:r w:rsidRPr="00905499">
        <w:rPr>
          <w:rFonts w:ascii="Times New Roman" w:hAnsi="Times New Roman"/>
          <w:sz w:val="24"/>
          <w:szCs w:val="24"/>
          <w:lang w:val="en-US"/>
        </w:rPr>
        <w:t>, 355–379.</w:t>
      </w:r>
      <w:proofErr w:type="gramEnd"/>
      <w:r w:rsidRPr="00905499">
        <w:rPr>
          <w:rFonts w:ascii="Times New Roman" w:hAnsi="Times New Roman"/>
          <w:sz w:val="24"/>
          <w:szCs w:val="24"/>
          <w:lang w:val="en-US"/>
        </w:rPr>
        <w:t xml:space="preserve"> http://doi.org/10.1111/j.1549-0831.2012.00086.x</w:t>
      </w:r>
    </w:p>
    <w:p w14:paraId="66AE7925" w14:textId="77777777" w:rsidR="000439E3" w:rsidRPr="00905499" w:rsidRDefault="000439E3" w:rsidP="000439E3">
      <w:pPr>
        <w:pStyle w:val="NormalWeb"/>
        <w:spacing w:before="0" w:beforeAutospacing="0" w:after="0" w:afterAutospacing="0" w:line="480" w:lineRule="auto"/>
        <w:ind w:left="480" w:hanging="480"/>
        <w:rPr>
          <w:rFonts w:ascii="Times New Roman" w:hAnsi="Times New Roman"/>
          <w:sz w:val="24"/>
          <w:szCs w:val="24"/>
          <w:lang w:val="en-US"/>
        </w:rPr>
      </w:pPr>
      <w:r w:rsidRPr="00905499">
        <w:rPr>
          <w:rFonts w:ascii="Times New Roman" w:hAnsi="Times New Roman"/>
          <w:sz w:val="24"/>
          <w:szCs w:val="24"/>
          <w:lang w:val="en-US"/>
        </w:rPr>
        <w:lastRenderedPageBreak/>
        <w:t xml:space="preserve">Chenoweth, E., &amp; Galliher, R. V. (2004). </w:t>
      </w:r>
      <w:proofErr w:type="gramStart"/>
      <w:r w:rsidRPr="00905499">
        <w:rPr>
          <w:rFonts w:ascii="Times New Roman" w:hAnsi="Times New Roman"/>
          <w:sz w:val="24"/>
          <w:szCs w:val="24"/>
          <w:lang w:val="en-US"/>
        </w:rPr>
        <w:t>Factors influencing college aspirations of rural West Virginia high school students.</w:t>
      </w:r>
      <w:proofErr w:type="gramEnd"/>
      <w:r w:rsidRPr="00905499">
        <w:rPr>
          <w:rFonts w:ascii="Times New Roman" w:hAnsi="Times New Roman"/>
          <w:sz w:val="24"/>
          <w:szCs w:val="24"/>
          <w:lang w:val="en-US"/>
        </w:rPr>
        <w:t xml:space="preserve"> </w:t>
      </w:r>
      <w:r w:rsidRPr="00905499">
        <w:rPr>
          <w:rFonts w:ascii="Times New Roman" w:hAnsi="Times New Roman"/>
          <w:i/>
          <w:iCs/>
          <w:sz w:val="24"/>
          <w:szCs w:val="24"/>
          <w:lang w:val="en-US"/>
        </w:rPr>
        <w:t>Journal of Research in Rural Education</w:t>
      </w:r>
      <w:r w:rsidRPr="00905499">
        <w:rPr>
          <w:rFonts w:ascii="Times New Roman" w:hAnsi="Times New Roman"/>
          <w:sz w:val="24"/>
          <w:szCs w:val="24"/>
          <w:lang w:val="en-US"/>
        </w:rPr>
        <w:t xml:space="preserve">, </w:t>
      </w:r>
      <w:r w:rsidRPr="00905499">
        <w:rPr>
          <w:rFonts w:ascii="Times New Roman" w:hAnsi="Times New Roman"/>
          <w:i/>
          <w:iCs/>
          <w:sz w:val="24"/>
          <w:szCs w:val="24"/>
          <w:lang w:val="en-US"/>
        </w:rPr>
        <w:t>19</w:t>
      </w:r>
      <w:r w:rsidRPr="00905499">
        <w:rPr>
          <w:rFonts w:ascii="Times New Roman" w:hAnsi="Times New Roman"/>
          <w:sz w:val="24"/>
          <w:szCs w:val="24"/>
          <w:lang w:val="en-US"/>
        </w:rPr>
        <w:t>, 1–14.</w:t>
      </w:r>
    </w:p>
    <w:p w14:paraId="4E6A7ED8" w14:textId="77777777" w:rsidR="000439E3" w:rsidRPr="00905499" w:rsidRDefault="000439E3" w:rsidP="000439E3">
      <w:pPr>
        <w:spacing w:line="480" w:lineRule="auto"/>
        <w:ind w:left="426" w:hanging="426"/>
        <w:rPr>
          <w:rFonts w:ascii="Times New Roman" w:eastAsia="Times New Roman" w:hAnsi="Times New Roman" w:cs="Times New Roman"/>
          <w:lang w:val="en-US"/>
        </w:rPr>
      </w:pPr>
      <w:r w:rsidRPr="00905499">
        <w:rPr>
          <w:rFonts w:ascii="Times New Roman" w:eastAsia="Times New Roman" w:hAnsi="Times New Roman" w:cs="Times New Roman"/>
          <w:lang w:val="en-US"/>
        </w:rPr>
        <w:t xml:space="preserve">Côté, J.E. (2006). Emerging Adulthood as an Institutionalized Moratorium: Risks and Benefits to Identity Formation. </w:t>
      </w:r>
      <w:proofErr w:type="gramStart"/>
      <w:r w:rsidRPr="00905499">
        <w:rPr>
          <w:rFonts w:ascii="Times New Roman" w:eastAsia="Times New Roman" w:hAnsi="Times New Roman" w:cs="Times New Roman"/>
          <w:lang w:val="en-US"/>
        </w:rPr>
        <w:t>In J.J. Arnett &amp; J.L. Tanner (</w:t>
      </w:r>
      <w:proofErr w:type="spellStart"/>
      <w:r w:rsidRPr="00905499">
        <w:rPr>
          <w:rFonts w:ascii="Times New Roman" w:eastAsia="Times New Roman" w:hAnsi="Times New Roman" w:cs="Times New Roman"/>
          <w:lang w:val="en-US"/>
        </w:rPr>
        <w:t>Eds</w:t>
      </w:r>
      <w:proofErr w:type="spellEnd"/>
      <w:r w:rsidRPr="00905499">
        <w:rPr>
          <w:rFonts w:ascii="Times New Roman" w:eastAsia="Times New Roman" w:hAnsi="Times New Roman" w:cs="Times New Roman"/>
          <w:lang w:val="en-US"/>
        </w:rPr>
        <w:t>).</w:t>
      </w:r>
      <w:proofErr w:type="gramEnd"/>
      <w:r w:rsidRPr="00905499">
        <w:rPr>
          <w:rFonts w:ascii="Times New Roman" w:eastAsia="Times New Roman" w:hAnsi="Times New Roman" w:cs="Times New Roman"/>
          <w:lang w:val="en-US"/>
        </w:rPr>
        <w:t xml:space="preserve"> </w:t>
      </w:r>
      <w:r w:rsidRPr="00905499">
        <w:rPr>
          <w:rFonts w:ascii="Times New Roman" w:eastAsia="Times New Roman" w:hAnsi="Times New Roman" w:cs="Times New Roman"/>
          <w:i/>
          <w:lang w:val="en-US"/>
        </w:rPr>
        <w:t>Emerging adults in America: Coming of age in the 21st century</w:t>
      </w:r>
      <w:r w:rsidRPr="00905499">
        <w:rPr>
          <w:rFonts w:ascii="Times New Roman" w:eastAsia="Times New Roman" w:hAnsi="Times New Roman" w:cs="Times New Roman"/>
          <w:lang w:val="en-US"/>
        </w:rPr>
        <w:t xml:space="preserve"> (pp. 85-116). Washington, D.C.: American Psychological Association.</w:t>
      </w:r>
    </w:p>
    <w:p w14:paraId="66910EB7" w14:textId="77777777" w:rsidR="000439E3" w:rsidRPr="00905499" w:rsidRDefault="000439E3" w:rsidP="000439E3">
      <w:pPr>
        <w:spacing w:line="480" w:lineRule="auto"/>
        <w:ind w:left="426" w:hanging="426"/>
        <w:rPr>
          <w:rFonts w:ascii="Times New Roman" w:eastAsia="Times New Roman" w:hAnsi="Times New Roman" w:cs="Times New Roman"/>
          <w:lang w:val="en-US"/>
        </w:rPr>
      </w:pPr>
      <w:r w:rsidRPr="00905499">
        <w:rPr>
          <w:rFonts w:ascii="Times New Roman" w:eastAsia="Times New Roman" w:hAnsi="Times New Roman" w:cs="Times New Roman"/>
          <w:lang w:val="en-US"/>
        </w:rPr>
        <w:t>Crockett, L. J., Shanahan, M. J., &amp; Jackson-Newsom, J. (2000). Rural youth: Ecological and life course perspectives. </w:t>
      </w:r>
      <w:r w:rsidRPr="00905499">
        <w:rPr>
          <w:rFonts w:ascii="Times New Roman" w:eastAsia="Times New Roman" w:hAnsi="Times New Roman" w:cs="Times New Roman"/>
          <w:i/>
          <w:iCs/>
          <w:lang w:val="en-US"/>
        </w:rPr>
        <w:t>Adolescent diversity in ethnic, economic, and cultural contexts</w:t>
      </w:r>
      <w:r w:rsidRPr="00905499">
        <w:rPr>
          <w:rFonts w:ascii="Times New Roman" w:eastAsia="Times New Roman" w:hAnsi="Times New Roman" w:cs="Times New Roman"/>
          <w:lang w:val="en-US"/>
        </w:rPr>
        <w:t>, </w:t>
      </w:r>
      <w:r w:rsidRPr="00905499">
        <w:rPr>
          <w:rFonts w:ascii="Times New Roman" w:eastAsia="Times New Roman" w:hAnsi="Times New Roman" w:cs="Times New Roman"/>
          <w:i/>
          <w:iCs/>
          <w:lang w:val="en-US"/>
        </w:rPr>
        <w:t>10</w:t>
      </w:r>
      <w:r w:rsidRPr="00905499">
        <w:rPr>
          <w:rFonts w:ascii="Times New Roman" w:eastAsia="Times New Roman" w:hAnsi="Times New Roman" w:cs="Times New Roman"/>
          <w:lang w:val="en-US"/>
        </w:rPr>
        <w:t>, 43-74.</w:t>
      </w:r>
    </w:p>
    <w:p w14:paraId="65EE720C" w14:textId="77777777" w:rsidR="000439E3" w:rsidRDefault="000439E3" w:rsidP="000439E3">
      <w:pPr>
        <w:pStyle w:val="NormalWeb"/>
        <w:spacing w:before="0" w:beforeAutospacing="0" w:after="0" w:afterAutospacing="0" w:line="480" w:lineRule="auto"/>
        <w:ind w:left="480" w:hanging="480"/>
        <w:rPr>
          <w:rFonts w:ascii="Times New Roman" w:hAnsi="Times New Roman"/>
          <w:sz w:val="24"/>
          <w:szCs w:val="24"/>
          <w:lang w:val="en-US"/>
        </w:rPr>
      </w:pPr>
      <w:proofErr w:type="gramStart"/>
      <w:r w:rsidRPr="00905499">
        <w:rPr>
          <w:rFonts w:ascii="Times New Roman" w:hAnsi="Times New Roman"/>
          <w:sz w:val="24"/>
          <w:szCs w:val="24"/>
          <w:lang w:val="en-US"/>
        </w:rPr>
        <w:t>Denzler, S. &amp; Wolter, S. (2011), Too far to go?</w:t>
      </w:r>
      <w:proofErr w:type="gramEnd"/>
      <w:r w:rsidRPr="00905499">
        <w:rPr>
          <w:rFonts w:ascii="Times New Roman" w:hAnsi="Times New Roman"/>
          <w:sz w:val="24"/>
          <w:szCs w:val="24"/>
          <w:lang w:val="en-US"/>
        </w:rPr>
        <w:t xml:space="preserve"> Does distance determine study choices</w:t>
      </w:r>
      <w:proofErr w:type="gramStart"/>
      <w:r w:rsidRPr="00905499">
        <w:rPr>
          <w:rFonts w:ascii="Times New Roman" w:hAnsi="Times New Roman"/>
          <w:sz w:val="24"/>
          <w:szCs w:val="24"/>
          <w:lang w:val="en-US"/>
        </w:rPr>
        <w:t>?,</w:t>
      </w:r>
      <w:proofErr w:type="gramEnd"/>
      <w:r w:rsidRPr="00905499">
        <w:rPr>
          <w:rFonts w:ascii="Times New Roman" w:hAnsi="Times New Roman"/>
          <w:sz w:val="24"/>
          <w:szCs w:val="24"/>
          <w:lang w:val="en-US"/>
        </w:rPr>
        <w:t xml:space="preserve"> </w:t>
      </w:r>
      <w:r w:rsidRPr="00905499">
        <w:rPr>
          <w:rFonts w:ascii="Times New Roman" w:hAnsi="Times New Roman"/>
          <w:i/>
          <w:sz w:val="24"/>
          <w:szCs w:val="24"/>
          <w:lang w:val="en-US"/>
        </w:rPr>
        <w:t xml:space="preserve">IZA Discussion Papers </w:t>
      </w:r>
      <w:r w:rsidRPr="00905499">
        <w:rPr>
          <w:rFonts w:ascii="Times New Roman" w:hAnsi="Times New Roman"/>
          <w:sz w:val="24"/>
          <w:szCs w:val="24"/>
          <w:lang w:val="en-US"/>
        </w:rPr>
        <w:t>5712.</w:t>
      </w:r>
    </w:p>
    <w:p w14:paraId="65DEC2DD" w14:textId="2DE69438" w:rsidR="00FD13BB" w:rsidRPr="00905499" w:rsidRDefault="00FD13BB" w:rsidP="000439E3">
      <w:pPr>
        <w:pStyle w:val="NormalWeb"/>
        <w:spacing w:before="0" w:beforeAutospacing="0" w:after="0" w:afterAutospacing="0" w:line="480" w:lineRule="auto"/>
        <w:ind w:left="480" w:hanging="480"/>
        <w:rPr>
          <w:rFonts w:ascii="Times New Roman" w:hAnsi="Times New Roman"/>
          <w:sz w:val="24"/>
          <w:szCs w:val="24"/>
          <w:lang w:val="en-US"/>
        </w:rPr>
      </w:pPr>
      <w:proofErr w:type="gramStart"/>
      <w:r w:rsidRPr="00C67771">
        <w:rPr>
          <w:rFonts w:ascii="Times New Roman" w:hAnsi="Times New Roman"/>
          <w:sz w:val="24"/>
          <w:szCs w:val="24"/>
        </w:rPr>
        <w:t xml:space="preserve">Dietrich, J., </w:t>
      </w:r>
      <w:r w:rsidRPr="00FD13BB">
        <w:rPr>
          <w:rFonts w:ascii="Times New Roman" w:hAnsi="Times New Roman"/>
          <w:sz w:val="24"/>
          <w:szCs w:val="24"/>
        </w:rPr>
        <w:t>Parker</w:t>
      </w:r>
      <w:r w:rsidRPr="00C67771">
        <w:rPr>
          <w:rFonts w:ascii="Times New Roman" w:hAnsi="Times New Roman"/>
          <w:sz w:val="24"/>
          <w:szCs w:val="24"/>
        </w:rPr>
        <w:t>, P.D. &amp; Salmela-Aro, K. (2012).</w:t>
      </w:r>
      <w:proofErr w:type="gramEnd"/>
      <w:r w:rsidRPr="00C67771">
        <w:rPr>
          <w:rFonts w:ascii="Times New Roman" w:hAnsi="Times New Roman"/>
          <w:sz w:val="24"/>
          <w:szCs w:val="24"/>
        </w:rPr>
        <w:t xml:space="preserve"> </w:t>
      </w:r>
      <w:proofErr w:type="gramStart"/>
      <w:r w:rsidRPr="00C67771">
        <w:rPr>
          <w:rFonts w:ascii="Times New Roman" w:hAnsi="Times New Roman"/>
          <w:sz w:val="24"/>
          <w:szCs w:val="24"/>
        </w:rPr>
        <w:t>Phase-adequate engagement at the post-school transition.</w:t>
      </w:r>
      <w:proofErr w:type="gramEnd"/>
      <w:r w:rsidRPr="00C67771">
        <w:rPr>
          <w:rFonts w:ascii="Times New Roman" w:hAnsi="Times New Roman"/>
          <w:sz w:val="24"/>
          <w:szCs w:val="24"/>
        </w:rPr>
        <w:t xml:space="preserve"> </w:t>
      </w:r>
      <w:proofErr w:type="gramStart"/>
      <w:r w:rsidRPr="00C67771">
        <w:rPr>
          <w:rFonts w:ascii="Times New Roman" w:hAnsi="Times New Roman"/>
          <w:i/>
          <w:sz w:val="24"/>
          <w:szCs w:val="24"/>
        </w:rPr>
        <w:t xml:space="preserve">Developmental Psychology, 48, </w:t>
      </w:r>
      <w:r w:rsidRPr="00C67771">
        <w:rPr>
          <w:rFonts w:ascii="Times New Roman" w:hAnsi="Times New Roman"/>
          <w:sz w:val="24"/>
          <w:szCs w:val="24"/>
        </w:rPr>
        <w:t>1575-1593.</w:t>
      </w:r>
      <w:proofErr w:type="gramEnd"/>
    </w:p>
    <w:p w14:paraId="079A21F6" w14:textId="77777777" w:rsidR="000439E3" w:rsidRPr="00905499" w:rsidRDefault="000439E3" w:rsidP="000439E3">
      <w:pPr>
        <w:pStyle w:val="NormalWeb"/>
        <w:spacing w:before="0" w:beforeAutospacing="0" w:after="0" w:afterAutospacing="0" w:line="480" w:lineRule="auto"/>
        <w:ind w:left="567" w:hanging="567"/>
        <w:rPr>
          <w:rFonts w:ascii="Times New Roman" w:hAnsi="Times New Roman"/>
          <w:sz w:val="24"/>
          <w:szCs w:val="24"/>
          <w:lang w:val="en-US"/>
        </w:rPr>
      </w:pPr>
      <w:proofErr w:type="gramStart"/>
      <w:r w:rsidRPr="00905499">
        <w:rPr>
          <w:rFonts w:ascii="Times New Roman" w:hAnsi="Times New Roman"/>
          <w:sz w:val="24"/>
          <w:szCs w:val="24"/>
          <w:lang w:val="en-US"/>
        </w:rPr>
        <w:t>Elder, G.H. (1996).</w:t>
      </w:r>
      <w:proofErr w:type="gramEnd"/>
      <w:r w:rsidRPr="00905499">
        <w:rPr>
          <w:rFonts w:ascii="Times New Roman" w:hAnsi="Times New Roman"/>
          <w:sz w:val="24"/>
          <w:szCs w:val="24"/>
          <w:lang w:val="en-US"/>
        </w:rPr>
        <w:t xml:space="preserve"> Human lives in changing societies: Life course and developmental insights. R.B. Cairns, G.H., Elder, &amp; E.J. Costello, E. J. (</w:t>
      </w:r>
      <w:proofErr w:type="spellStart"/>
      <w:r w:rsidRPr="00905499">
        <w:rPr>
          <w:rFonts w:ascii="Times New Roman" w:hAnsi="Times New Roman"/>
          <w:sz w:val="24"/>
          <w:szCs w:val="24"/>
          <w:lang w:val="en-US"/>
        </w:rPr>
        <w:t>Eds</w:t>
      </w:r>
      <w:proofErr w:type="spellEnd"/>
      <w:r w:rsidRPr="00905499">
        <w:rPr>
          <w:rFonts w:ascii="Times New Roman" w:hAnsi="Times New Roman"/>
          <w:sz w:val="24"/>
          <w:szCs w:val="24"/>
          <w:lang w:val="en-US"/>
        </w:rPr>
        <w:t xml:space="preserve">). </w:t>
      </w:r>
      <w:proofErr w:type="gramStart"/>
      <w:r w:rsidRPr="00905499">
        <w:rPr>
          <w:rFonts w:ascii="Times New Roman" w:hAnsi="Times New Roman"/>
          <w:i/>
          <w:sz w:val="24"/>
          <w:szCs w:val="24"/>
          <w:lang w:val="en-US"/>
        </w:rPr>
        <w:t xml:space="preserve">Developmental science </w:t>
      </w:r>
      <w:r w:rsidRPr="00905499">
        <w:rPr>
          <w:rFonts w:ascii="Times New Roman" w:hAnsi="Times New Roman"/>
          <w:sz w:val="24"/>
          <w:szCs w:val="24"/>
          <w:lang w:val="en-US"/>
        </w:rPr>
        <w:t>(pp. 31-62).</w:t>
      </w:r>
      <w:proofErr w:type="gramEnd"/>
      <w:r w:rsidRPr="00905499">
        <w:rPr>
          <w:rFonts w:ascii="Times New Roman" w:hAnsi="Times New Roman"/>
          <w:sz w:val="24"/>
          <w:szCs w:val="24"/>
          <w:lang w:val="en-US"/>
        </w:rPr>
        <w:t xml:space="preserve"> New York: Cambridge University Press.</w:t>
      </w:r>
    </w:p>
    <w:p w14:paraId="3F15878D" w14:textId="77777777" w:rsidR="000439E3" w:rsidRPr="00905499" w:rsidRDefault="000439E3" w:rsidP="000439E3">
      <w:pPr>
        <w:pStyle w:val="NormalWeb"/>
        <w:spacing w:before="0" w:beforeAutospacing="0" w:after="0" w:afterAutospacing="0" w:line="480" w:lineRule="auto"/>
        <w:ind w:left="567" w:hanging="567"/>
        <w:rPr>
          <w:rFonts w:ascii="Times New Roman" w:hAnsi="Times New Roman"/>
          <w:sz w:val="24"/>
          <w:szCs w:val="24"/>
          <w:lang w:val="en-US"/>
        </w:rPr>
      </w:pPr>
      <w:proofErr w:type="gramStart"/>
      <w:r w:rsidRPr="00905499">
        <w:rPr>
          <w:rFonts w:ascii="Times New Roman" w:hAnsi="Times New Roman"/>
          <w:sz w:val="24"/>
          <w:szCs w:val="24"/>
          <w:lang w:val="en-US"/>
        </w:rPr>
        <w:t>Elder, G. H., &amp; Conger, R. D. (2000).</w:t>
      </w:r>
      <w:proofErr w:type="gramEnd"/>
      <w:r w:rsidRPr="00905499">
        <w:rPr>
          <w:rFonts w:ascii="Times New Roman" w:hAnsi="Times New Roman"/>
          <w:sz w:val="24"/>
          <w:szCs w:val="24"/>
          <w:lang w:val="en-US"/>
        </w:rPr>
        <w:t xml:space="preserve"> </w:t>
      </w:r>
      <w:r w:rsidRPr="00905499">
        <w:rPr>
          <w:rFonts w:ascii="Times New Roman" w:hAnsi="Times New Roman"/>
          <w:i/>
          <w:sz w:val="24"/>
          <w:szCs w:val="24"/>
          <w:lang w:val="en-US"/>
        </w:rPr>
        <w:t>Children of the land: Adversity and success in rural America</w:t>
      </w:r>
      <w:r w:rsidRPr="00905499">
        <w:rPr>
          <w:rFonts w:ascii="Times New Roman" w:hAnsi="Times New Roman"/>
          <w:sz w:val="24"/>
          <w:szCs w:val="24"/>
          <w:lang w:val="en-US"/>
        </w:rPr>
        <w:t>. Chicago: University of Chicago Press.</w:t>
      </w:r>
    </w:p>
    <w:p w14:paraId="37FDF401" w14:textId="77777777" w:rsidR="000439E3" w:rsidRPr="00905499" w:rsidRDefault="000439E3" w:rsidP="000439E3">
      <w:pPr>
        <w:pStyle w:val="NormalWeb"/>
        <w:spacing w:before="0" w:beforeAutospacing="0" w:after="0" w:afterAutospacing="0" w:line="480" w:lineRule="auto"/>
        <w:ind w:left="567" w:hanging="567"/>
        <w:rPr>
          <w:rFonts w:ascii="Times New Roman" w:hAnsi="Times New Roman"/>
          <w:sz w:val="24"/>
          <w:szCs w:val="24"/>
          <w:lang w:val="en-US"/>
        </w:rPr>
      </w:pPr>
      <w:proofErr w:type="gramStart"/>
      <w:r w:rsidRPr="00905499">
        <w:rPr>
          <w:rFonts w:ascii="Times New Roman" w:hAnsi="Times New Roman"/>
          <w:sz w:val="24"/>
          <w:szCs w:val="24"/>
          <w:lang w:val="en-US"/>
        </w:rPr>
        <w:t>Elder, G. H., King, V., &amp; Conger, R.D. (1996).</w:t>
      </w:r>
      <w:proofErr w:type="gramEnd"/>
      <w:r w:rsidRPr="00905499">
        <w:rPr>
          <w:rFonts w:ascii="Times New Roman" w:hAnsi="Times New Roman"/>
          <w:sz w:val="24"/>
          <w:szCs w:val="24"/>
          <w:lang w:val="en-US"/>
        </w:rPr>
        <w:t xml:space="preserve"> Attachment to place and migration prospects: a developmental perspective. </w:t>
      </w:r>
      <w:proofErr w:type="gramStart"/>
      <w:r w:rsidRPr="00905499">
        <w:rPr>
          <w:rFonts w:ascii="Times New Roman" w:hAnsi="Times New Roman"/>
          <w:i/>
          <w:iCs/>
          <w:sz w:val="24"/>
          <w:szCs w:val="24"/>
          <w:lang w:val="en-US"/>
        </w:rPr>
        <w:t>Journal of Research on Adolescence</w:t>
      </w:r>
      <w:r w:rsidRPr="00905499">
        <w:rPr>
          <w:rFonts w:ascii="Times New Roman" w:hAnsi="Times New Roman"/>
          <w:sz w:val="24"/>
          <w:szCs w:val="24"/>
          <w:lang w:val="en-US"/>
        </w:rPr>
        <w:t>, </w:t>
      </w:r>
      <w:r w:rsidRPr="00905499">
        <w:rPr>
          <w:rFonts w:ascii="Times New Roman" w:hAnsi="Times New Roman"/>
          <w:i/>
          <w:iCs/>
          <w:sz w:val="24"/>
          <w:szCs w:val="24"/>
          <w:lang w:val="en-US"/>
        </w:rPr>
        <w:t>6</w:t>
      </w:r>
      <w:r w:rsidRPr="00905499">
        <w:rPr>
          <w:rFonts w:ascii="Times New Roman" w:hAnsi="Times New Roman"/>
          <w:sz w:val="24"/>
          <w:szCs w:val="24"/>
          <w:lang w:val="en-US"/>
        </w:rPr>
        <w:t>, 397-425.</w:t>
      </w:r>
      <w:proofErr w:type="gramEnd"/>
    </w:p>
    <w:p w14:paraId="2486A4A7" w14:textId="77777777" w:rsidR="000439E3" w:rsidRPr="00905499" w:rsidRDefault="000439E3" w:rsidP="000439E3">
      <w:pPr>
        <w:pStyle w:val="NormalWeb"/>
        <w:spacing w:before="0" w:beforeAutospacing="0" w:after="0" w:afterAutospacing="0" w:line="480" w:lineRule="auto"/>
        <w:ind w:left="482" w:hanging="482"/>
        <w:rPr>
          <w:rFonts w:ascii="Times New Roman" w:hAnsi="Times New Roman"/>
          <w:sz w:val="24"/>
          <w:szCs w:val="24"/>
          <w:lang w:val="en-US"/>
        </w:rPr>
      </w:pPr>
      <w:r w:rsidRPr="00905499">
        <w:rPr>
          <w:rFonts w:ascii="Times New Roman" w:hAnsi="Times New Roman"/>
          <w:sz w:val="24"/>
          <w:szCs w:val="24"/>
          <w:lang w:val="en-US"/>
        </w:rPr>
        <w:t>Fouad, N. A., &amp; Bynner, J. (2008). Work transitions. </w:t>
      </w:r>
      <w:proofErr w:type="gramStart"/>
      <w:r w:rsidRPr="00905499">
        <w:rPr>
          <w:rFonts w:ascii="Times New Roman" w:hAnsi="Times New Roman"/>
          <w:i/>
          <w:iCs/>
          <w:sz w:val="24"/>
          <w:szCs w:val="24"/>
          <w:lang w:val="en-US"/>
        </w:rPr>
        <w:t>American Psychologist</w:t>
      </w:r>
      <w:r w:rsidRPr="00905499">
        <w:rPr>
          <w:rFonts w:ascii="Times New Roman" w:hAnsi="Times New Roman"/>
          <w:sz w:val="24"/>
          <w:szCs w:val="24"/>
          <w:lang w:val="en-US"/>
        </w:rPr>
        <w:t xml:space="preserve">, </w:t>
      </w:r>
      <w:r w:rsidRPr="00905499">
        <w:rPr>
          <w:rFonts w:ascii="Times New Roman" w:hAnsi="Times New Roman"/>
          <w:i/>
          <w:iCs/>
          <w:sz w:val="24"/>
          <w:szCs w:val="24"/>
          <w:lang w:val="en-US"/>
        </w:rPr>
        <w:t>63</w:t>
      </w:r>
      <w:r w:rsidRPr="00905499">
        <w:rPr>
          <w:rFonts w:ascii="Times New Roman" w:hAnsi="Times New Roman"/>
          <w:sz w:val="24"/>
          <w:szCs w:val="24"/>
          <w:lang w:val="en-US"/>
        </w:rPr>
        <w:t>, 241-251.</w:t>
      </w:r>
      <w:proofErr w:type="gramEnd"/>
      <w:r w:rsidRPr="00905499">
        <w:rPr>
          <w:rFonts w:ascii="Times New Roman" w:hAnsi="Times New Roman"/>
          <w:sz w:val="24"/>
          <w:szCs w:val="24"/>
          <w:lang w:val="en-US"/>
        </w:rPr>
        <w:t xml:space="preserve"> </w:t>
      </w:r>
      <w:r w:rsidRPr="00905499">
        <w:rPr>
          <w:rFonts w:ascii="Times New Roman" w:hAnsi="Times New Roman"/>
          <w:sz w:val="24"/>
          <w:szCs w:val="24"/>
          <w:lang w:val="en-US"/>
        </w:rPr>
        <w:fldChar w:fldCharType="begin"/>
      </w:r>
      <w:r w:rsidRPr="00905499">
        <w:rPr>
          <w:rFonts w:ascii="Times New Roman" w:hAnsi="Times New Roman"/>
          <w:sz w:val="24"/>
          <w:szCs w:val="24"/>
          <w:lang w:val="en-US"/>
        </w:rPr>
        <w:instrText xml:space="preserve"> HYPERLINK "http://psycnet.apa.org/doi/10.1037/0003-066X.63.4.241" \t "_blank" </w:instrText>
      </w:r>
      <w:r w:rsidRPr="00905499">
        <w:rPr>
          <w:rFonts w:ascii="Times New Roman" w:hAnsi="Times New Roman"/>
          <w:sz w:val="24"/>
          <w:szCs w:val="24"/>
          <w:lang w:val="en-US"/>
        </w:rPr>
        <w:fldChar w:fldCharType="separate"/>
      </w:r>
      <w:r w:rsidRPr="00905499">
        <w:rPr>
          <w:rStyle w:val="Hyperlink"/>
          <w:rFonts w:ascii="Times New Roman" w:hAnsi="Times New Roman"/>
          <w:sz w:val="24"/>
          <w:szCs w:val="24"/>
          <w:lang w:val="en-US"/>
        </w:rPr>
        <w:t>http://dx.doi.org/10.1037/0003-066X.63.4.241</w:t>
      </w:r>
      <w:r w:rsidRPr="00905499">
        <w:rPr>
          <w:rFonts w:ascii="Times New Roman" w:hAnsi="Times New Roman"/>
          <w:sz w:val="24"/>
          <w:szCs w:val="24"/>
          <w:lang w:val="en-US"/>
        </w:rPr>
        <w:fldChar w:fldCharType="end"/>
      </w:r>
    </w:p>
    <w:p w14:paraId="5C676FC9" w14:textId="77777777" w:rsidR="000439E3" w:rsidRPr="00905499" w:rsidRDefault="000439E3" w:rsidP="000439E3">
      <w:pPr>
        <w:pStyle w:val="NormalWeb"/>
        <w:spacing w:before="0" w:beforeAutospacing="0" w:after="0" w:afterAutospacing="0" w:line="480" w:lineRule="auto"/>
        <w:ind w:left="482" w:hanging="482"/>
        <w:rPr>
          <w:rFonts w:ascii="Times New Roman" w:hAnsi="Times New Roman"/>
          <w:sz w:val="24"/>
          <w:szCs w:val="24"/>
          <w:lang w:val="en-US"/>
        </w:rPr>
      </w:pPr>
      <w:r w:rsidRPr="00905499">
        <w:rPr>
          <w:rFonts w:ascii="Times New Roman" w:hAnsi="Times New Roman"/>
          <w:sz w:val="24"/>
          <w:szCs w:val="24"/>
          <w:lang w:val="en-US"/>
        </w:rPr>
        <w:lastRenderedPageBreak/>
        <w:t xml:space="preserve">Gati, I. &amp; Asher, I. (2001). Prescreening, in-depth exploration, and choice: From decision theory to career counseling practice. </w:t>
      </w:r>
      <w:proofErr w:type="gramStart"/>
      <w:r w:rsidRPr="00905499">
        <w:rPr>
          <w:rFonts w:ascii="Times New Roman" w:hAnsi="Times New Roman"/>
          <w:i/>
          <w:sz w:val="24"/>
          <w:szCs w:val="24"/>
          <w:lang w:val="en-US"/>
        </w:rPr>
        <w:t xml:space="preserve">Career Development Quarterly, 50, </w:t>
      </w:r>
      <w:r w:rsidRPr="00905499">
        <w:rPr>
          <w:rFonts w:ascii="Times New Roman" w:hAnsi="Times New Roman"/>
          <w:sz w:val="24"/>
          <w:szCs w:val="24"/>
          <w:lang w:val="en-US"/>
        </w:rPr>
        <w:t>140-157.</w:t>
      </w:r>
      <w:proofErr w:type="gramEnd"/>
    </w:p>
    <w:p w14:paraId="0738590D" w14:textId="77777777" w:rsidR="000439E3" w:rsidRPr="00905499" w:rsidRDefault="000439E3" w:rsidP="000439E3">
      <w:pPr>
        <w:spacing w:line="480" w:lineRule="auto"/>
        <w:ind w:left="567" w:hanging="567"/>
        <w:rPr>
          <w:rFonts w:ascii="Times New Roman" w:eastAsia="Times New Roman" w:hAnsi="Times New Roman" w:cs="Times New Roman"/>
          <w:lang w:val="en-US"/>
        </w:rPr>
      </w:pPr>
      <w:r w:rsidRPr="00905499">
        <w:rPr>
          <w:rFonts w:ascii="Times New Roman" w:eastAsia="Times New Roman" w:hAnsi="Times New Roman" w:cs="Times New Roman"/>
          <w:lang w:val="en-US"/>
        </w:rPr>
        <w:t xml:space="preserve">Gambetta, D. (1987). </w:t>
      </w:r>
      <w:r w:rsidRPr="00905499">
        <w:rPr>
          <w:rFonts w:ascii="Times New Roman" w:eastAsia="Times New Roman" w:hAnsi="Times New Roman" w:cs="Times New Roman"/>
          <w:i/>
          <w:iCs/>
          <w:lang w:val="en-US"/>
        </w:rPr>
        <w:t>Were they pushed or did they jump</w:t>
      </w:r>
      <w:proofErr w:type="gramStart"/>
      <w:r w:rsidRPr="00905499">
        <w:rPr>
          <w:rFonts w:ascii="Times New Roman" w:eastAsia="Times New Roman" w:hAnsi="Times New Roman" w:cs="Times New Roman"/>
          <w:i/>
          <w:iCs/>
          <w:lang w:val="en-US"/>
        </w:rPr>
        <w:t>?:</w:t>
      </w:r>
      <w:proofErr w:type="gramEnd"/>
      <w:r w:rsidRPr="00905499">
        <w:rPr>
          <w:rFonts w:ascii="Times New Roman" w:eastAsia="Times New Roman" w:hAnsi="Times New Roman" w:cs="Times New Roman"/>
          <w:i/>
          <w:iCs/>
          <w:lang w:val="en-US"/>
        </w:rPr>
        <w:t xml:space="preserve"> Individual decision mechanisms in education</w:t>
      </w:r>
      <w:r w:rsidRPr="00905499">
        <w:rPr>
          <w:rFonts w:ascii="Times New Roman" w:eastAsia="Times New Roman" w:hAnsi="Times New Roman" w:cs="Times New Roman"/>
          <w:lang w:val="en-US"/>
        </w:rPr>
        <w:t>. Cambridge: Cambridge University Press.</w:t>
      </w:r>
    </w:p>
    <w:p w14:paraId="17BCF1D6" w14:textId="77777777" w:rsidR="000439E3" w:rsidRPr="00905499" w:rsidRDefault="000439E3" w:rsidP="000439E3">
      <w:pPr>
        <w:pStyle w:val="NormalWeb"/>
        <w:spacing w:before="0" w:beforeAutospacing="0" w:after="0" w:afterAutospacing="0" w:line="480" w:lineRule="auto"/>
        <w:ind w:left="480" w:hanging="480"/>
        <w:rPr>
          <w:rFonts w:ascii="Times New Roman" w:hAnsi="Times New Roman"/>
          <w:sz w:val="24"/>
          <w:szCs w:val="24"/>
          <w:lang w:val="en-US"/>
        </w:rPr>
      </w:pPr>
      <w:r w:rsidRPr="00905499">
        <w:rPr>
          <w:rFonts w:ascii="Times New Roman" w:hAnsi="Times New Roman"/>
          <w:sz w:val="24"/>
          <w:szCs w:val="24"/>
          <w:lang w:val="en-US"/>
        </w:rPr>
        <w:t xml:space="preserve">Ganzeboom, H. B. G., De Graaf, P. M., &amp; Treiman, D. J. (1992). </w:t>
      </w:r>
      <w:proofErr w:type="gramStart"/>
      <w:r w:rsidRPr="00905499">
        <w:rPr>
          <w:rFonts w:ascii="Times New Roman" w:hAnsi="Times New Roman"/>
          <w:sz w:val="24"/>
          <w:szCs w:val="24"/>
          <w:lang w:val="en-US"/>
        </w:rPr>
        <w:t>A standard international socio-economic index of occupational status.</w:t>
      </w:r>
      <w:proofErr w:type="gramEnd"/>
      <w:r w:rsidRPr="00905499">
        <w:rPr>
          <w:rFonts w:ascii="Times New Roman" w:hAnsi="Times New Roman"/>
          <w:sz w:val="24"/>
          <w:szCs w:val="24"/>
          <w:lang w:val="en-US"/>
        </w:rPr>
        <w:t xml:space="preserve"> </w:t>
      </w:r>
      <w:r w:rsidRPr="00905499">
        <w:rPr>
          <w:rFonts w:ascii="Times New Roman" w:hAnsi="Times New Roman"/>
          <w:i/>
          <w:iCs/>
          <w:sz w:val="24"/>
          <w:szCs w:val="24"/>
          <w:lang w:val="en-US"/>
        </w:rPr>
        <w:t>Social Science Research</w:t>
      </w:r>
      <w:r w:rsidRPr="00905499">
        <w:rPr>
          <w:rFonts w:ascii="Times New Roman" w:hAnsi="Times New Roman"/>
          <w:sz w:val="24"/>
          <w:szCs w:val="24"/>
          <w:lang w:val="en-US"/>
        </w:rPr>
        <w:t xml:space="preserve">, </w:t>
      </w:r>
      <w:r w:rsidRPr="00905499">
        <w:rPr>
          <w:rFonts w:ascii="Times New Roman" w:hAnsi="Times New Roman"/>
          <w:i/>
          <w:iCs/>
          <w:sz w:val="24"/>
          <w:szCs w:val="24"/>
          <w:lang w:val="en-US"/>
        </w:rPr>
        <w:t>21</w:t>
      </w:r>
      <w:r w:rsidRPr="00905499">
        <w:rPr>
          <w:rFonts w:ascii="Times New Roman" w:hAnsi="Times New Roman"/>
          <w:sz w:val="24"/>
          <w:szCs w:val="24"/>
          <w:lang w:val="en-US"/>
        </w:rPr>
        <w:t xml:space="preserve">(1), 1–56. </w:t>
      </w:r>
      <w:hyperlink r:id="rId17" w:history="1">
        <w:r w:rsidRPr="00905499">
          <w:rPr>
            <w:rStyle w:val="Hyperlink"/>
            <w:rFonts w:ascii="Times New Roman" w:hAnsi="Times New Roman"/>
            <w:sz w:val="24"/>
            <w:szCs w:val="24"/>
            <w:lang w:val="en-US"/>
          </w:rPr>
          <w:t>http://doi.org/10.1016/0049-089X(92)90017-B</w:t>
        </w:r>
      </w:hyperlink>
    </w:p>
    <w:p w14:paraId="4696555D" w14:textId="77777777" w:rsidR="000439E3" w:rsidRPr="00905499" w:rsidRDefault="000439E3" w:rsidP="000439E3">
      <w:pPr>
        <w:spacing w:line="480" w:lineRule="auto"/>
        <w:ind w:left="480" w:hanging="480"/>
        <w:rPr>
          <w:rFonts w:ascii="Times New Roman" w:hAnsi="Times New Roman" w:cs="Times New Roman"/>
          <w:lang w:val="en-US"/>
        </w:rPr>
      </w:pPr>
      <w:r w:rsidRPr="00905499">
        <w:rPr>
          <w:rFonts w:ascii="Times New Roman" w:hAnsi="Times New Roman" w:cs="Times New Roman"/>
          <w:lang w:val="en-US"/>
        </w:rPr>
        <w:t xml:space="preserve">Geske, A. &amp; Grinfelds, A. (2012). </w:t>
      </w:r>
      <w:proofErr w:type="gramStart"/>
      <w:r w:rsidRPr="00905499">
        <w:rPr>
          <w:rFonts w:ascii="Times New Roman" w:hAnsi="Times New Roman" w:cs="Times New Roman"/>
          <w:lang w:val="en-US"/>
        </w:rPr>
        <w:t>Family background and effects on learning.</w:t>
      </w:r>
      <w:proofErr w:type="gramEnd"/>
      <w:r w:rsidRPr="00905499">
        <w:rPr>
          <w:rFonts w:ascii="Times New Roman" w:hAnsi="Times New Roman" w:cs="Times New Roman"/>
          <w:lang w:val="en-US"/>
        </w:rPr>
        <w:t xml:space="preserve"> </w:t>
      </w:r>
      <w:proofErr w:type="gramStart"/>
      <w:r w:rsidRPr="00905499">
        <w:rPr>
          <w:rFonts w:ascii="Times New Roman" w:hAnsi="Times New Roman" w:cs="Times New Roman"/>
          <w:lang w:val="en-US"/>
        </w:rPr>
        <w:t xml:space="preserve">In N.M. </w:t>
      </w:r>
      <w:proofErr w:type="spellStart"/>
      <w:r w:rsidRPr="00905499">
        <w:rPr>
          <w:rFonts w:ascii="Times New Roman" w:hAnsi="Times New Roman" w:cs="Times New Roman"/>
          <w:lang w:val="en-US"/>
        </w:rPr>
        <w:t>Seel</w:t>
      </w:r>
      <w:proofErr w:type="spellEnd"/>
      <w:r w:rsidRPr="00905499">
        <w:rPr>
          <w:rFonts w:ascii="Times New Roman" w:hAnsi="Times New Roman" w:cs="Times New Roman"/>
          <w:lang w:val="en-US"/>
        </w:rPr>
        <w:t xml:space="preserve"> (Ed.) </w:t>
      </w:r>
      <w:r w:rsidRPr="00905499">
        <w:rPr>
          <w:rFonts w:ascii="Times New Roman" w:hAnsi="Times New Roman" w:cs="Times New Roman"/>
          <w:i/>
          <w:iCs/>
          <w:lang w:val="en-US"/>
        </w:rPr>
        <w:t>Encyclopedia of the Sciences of Learning (pp. 1267-1270)</w:t>
      </w:r>
      <w:r w:rsidRPr="00905499">
        <w:rPr>
          <w:rFonts w:ascii="Times New Roman" w:hAnsi="Times New Roman" w:cs="Times New Roman"/>
          <w:lang w:val="en-US"/>
        </w:rPr>
        <w:t>.</w:t>
      </w:r>
      <w:proofErr w:type="gramEnd"/>
      <w:r w:rsidRPr="00905499">
        <w:rPr>
          <w:rFonts w:ascii="Times New Roman" w:hAnsi="Times New Roman" w:cs="Times New Roman"/>
          <w:lang w:val="en-US"/>
        </w:rPr>
        <w:t xml:space="preserve"> http://doi.org/10.1007/978-1-4419-1428-6.</w:t>
      </w:r>
    </w:p>
    <w:p w14:paraId="1055BA96" w14:textId="6093B236" w:rsidR="000439E3" w:rsidRDefault="000439E3" w:rsidP="000439E3">
      <w:pPr>
        <w:pStyle w:val="NormalWeb"/>
        <w:spacing w:before="0" w:beforeAutospacing="0" w:after="0" w:afterAutospacing="0" w:line="480" w:lineRule="auto"/>
        <w:ind w:left="480" w:hanging="480"/>
        <w:rPr>
          <w:rFonts w:ascii="Times New Roman" w:hAnsi="Times New Roman"/>
          <w:sz w:val="24"/>
          <w:szCs w:val="24"/>
          <w:lang w:val="en-US"/>
        </w:rPr>
      </w:pPr>
      <w:proofErr w:type="gramStart"/>
      <w:r w:rsidRPr="00905499">
        <w:rPr>
          <w:rFonts w:ascii="Times New Roman" w:hAnsi="Times New Roman"/>
          <w:sz w:val="24"/>
          <w:szCs w:val="24"/>
          <w:lang w:val="en-US"/>
        </w:rPr>
        <w:t>Gibbons, S., &amp; Vignoles, A. (2009).</w:t>
      </w:r>
      <w:proofErr w:type="gramEnd"/>
      <w:r w:rsidRPr="00905499">
        <w:rPr>
          <w:rFonts w:ascii="Times New Roman" w:hAnsi="Times New Roman"/>
          <w:sz w:val="24"/>
          <w:szCs w:val="24"/>
          <w:lang w:val="en-US"/>
        </w:rPr>
        <w:t xml:space="preserve"> </w:t>
      </w:r>
      <w:proofErr w:type="gramStart"/>
      <w:r w:rsidRPr="00905499">
        <w:rPr>
          <w:rFonts w:ascii="Times New Roman" w:hAnsi="Times New Roman"/>
          <w:sz w:val="24"/>
          <w:szCs w:val="24"/>
          <w:lang w:val="en-US"/>
        </w:rPr>
        <w:t>Access, choice and participation in higher education, (January).</w:t>
      </w:r>
      <w:proofErr w:type="gramEnd"/>
      <w:r w:rsidRPr="00905499">
        <w:rPr>
          <w:rFonts w:ascii="Times New Roman" w:hAnsi="Times New Roman"/>
          <w:sz w:val="24"/>
          <w:szCs w:val="24"/>
          <w:lang w:val="en-US"/>
        </w:rPr>
        <w:t xml:space="preserve"> Retrieved from </w:t>
      </w:r>
      <w:hyperlink r:id="rId18" w:history="1">
        <w:r w:rsidR="00CE5CCB" w:rsidRPr="005C6E42">
          <w:rPr>
            <w:rStyle w:val="Hyperlink"/>
            <w:rFonts w:ascii="Times New Roman" w:hAnsi="Times New Roman"/>
            <w:sz w:val="24"/>
            <w:szCs w:val="24"/>
            <w:lang w:val="en-US"/>
          </w:rPr>
          <w:t>http://cee.lse.ac.uk/pubs/default.asp</w:t>
        </w:r>
      </w:hyperlink>
    </w:p>
    <w:p w14:paraId="0CE56E32" w14:textId="1D28B443" w:rsidR="00CE5CCB" w:rsidRDefault="00CE5CCB" w:rsidP="000439E3">
      <w:pPr>
        <w:pStyle w:val="NormalWeb"/>
        <w:spacing w:before="0" w:beforeAutospacing="0" w:after="0" w:afterAutospacing="0" w:line="480" w:lineRule="auto"/>
        <w:ind w:left="480" w:hanging="480"/>
        <w:rPr>
          <w:rFonts w:ascii="Times New Roman" w:hAnsi="Times New Roman"/>
          <w:i/>
          <w:iCs/>
          <w:sz w:val="24"/>
          <w:szCs w:val="24"/>
          <w:lang w:val="en-US"/>
        </w:rPr>
      </w:pPr>
      <w:proofErr w:type="spellStart"/>
      <w:r w:rsidRPr="00C67771">
        <w:rPr>
          <w:rFonts w:ascii="Times New Roman" w:hAnsi="Times New Roman"/>
          <w:sz w:val="24"/>
          <w:szCs w:val="24"/>
          <w:lang w:val="en-US"/>
        </w:rPr>
        <w:t>Guo</w:t>
      </w:r>
      <w:proofErr w:type="spellEnd"/>
      <w:r w:rsidRPr="00C67771">
        <w:rPr>
          <w:rFonts w:ascii="Times New Roman" w:hAnsi="Times New Roman"/>
          <w:sz w:val="24"/>
          <w:szCs w:val="24"/>
          <w:lang w:val="en-US"/>
        </w:rPr>
        <w:t xml:space="preserve">, J., Marsh, H. W., </w:t>
      </w:r>
      <w:r w:rsidRPr="00CE5CCB">
        <w:rPr>
          <w:rFonts w:ascii="Times New Roman" w:hAnsi="Times New Roman"/>
          <w:sz w:val="24"/>
          <w:szCs w:val="24"/>
          <w:lang w:val="en-US"/>
        </w:rPr>
        <w:t>Parker</w:t>
      </w:r>
      <w:r w:rsidRPr="00C67771">
        <w:rPr>
          <w:rFonts w:ascii="Times New Roman" w:hAnsi="Times New Roman"/>
          <w:sz w:val="24"/>
          <w:szCs w:val="24"/>
          <w:lang w:val="en-US"/>
        </w:rPr>
        <w:t>, P. D., Morin, A. J. S., &amp; Yeung, A. S. (</w:t>
      </w:r>
      <w:r>
        <w:rPr>
          <w:rFonts w:ascii="Times New Roman" w:hAnsi="Times New Roman"/>
          <w:sz w:val="24"/>
          <w:szCs w:val="24"/>
          <w:lang w:val="en-US"/>
        </w:rPr>
        <w:t>2015</w:t>
      </w:r>
      <w:r w:rsidRPr="00C67771">
        <w:rPr>
          <w:rFonts w:ascii="Times New Roman" w:hAnsi="Times New Roman"/>
          <w:sz w:val="24"/>
          <w:szCs w:val="24"/>
          <w:lang w:val="en-US"/>
        </w:rPr>
        <w:t>). Expectancy-Value in Mathematics, Gender and Socioeconomic Background as Predictors of Achievement and Aspirations: A Multi-cohort Study. </w:t>
      </w:r>
      <w:proofErr w:type="gramStart"/>
      <w:r w:rsidRPr="00C67771">
        <w:rPr>
          <w:rFonts w:ascii="Times New Roman" w:hAnsi="Times New Roman"/>
          <w:i/>
          <w:iCs/>
          <w:sz w:val="24"/>
          <w:szCs w:val="24"/>
          <w:lang w:val="en-US"/>
        </w:rPr>
        <w:t>Learning and individual differences</w:t>
      </w:r>
      <w:r>
        <w:rPr>
          <w:rFonts w:ascii="Times New Roman" w:hAnsi="Times New Roman"/>
          <w:i/>
          <w:iCs/>
          <w:sz w:val="24"/>
          <w:szCs w:val="24"/>
          <w:lang w:val="en-US"/>
        </w:rPr>
        <w:t xml:space="preserve">, 37, </w:t>
      </w:r>
      <w:r>
        <w:rPr>
          <w:rFonts w:ascii="Times New Roman" w:hAnsi="Times New Roman"/>
          <w:iCs/>
          <w:sz w:val="24"/>
          <w:szCs w:val="24"/>
          <w:lang w:val="en-US"/>
        </w:rPr>
        <w:t>161-168</w:t>
      </w:r>
      <w:r w:rsidRPr="00C67771">
        <w:rPr>
          <w:rFonts w:ascii="Times New Roman" w:hAnsi="Times New Roman"/>
          <w:i/>
          <w:iCs/>
          <w:sz w:val="24"/>
          <w:szCs w:val="24"/>
          <w:lang w:val="en-US"/>
        </w:rPr>
        <w:t>.</w:t>
      </w:r>
      <w:proofErr w:type="gramEnd"/>
      <w:r w:rsidRPr="00C67771">
        <w:rPr>
          <w:rFonts w:ascii="Times New Roman" w:hAnsi="Times New Roman"/>
          <w:i/>
          <w:iCs/>
          <w:sz w:val="24"/>
          <w:szCs w:val="24"/>
          <w:lang w:val="en-US"/>
        </w:rPr>
        <w:t> </w:t>
      </w:r>
    </w:p>
    <w:p w14:paraId="3D981E5F" w14:textId="781DC35A" w:rsidR="00CE5CCB" w:rsidRPr="00905499" w:rsidRDefault="00CE5CCB" w:rsidP="000439E3">
      <w:pPr>
        <w:pStyle w:val="NormalWeb"/>
        <w:spacing w:before="0" w:beforeAutospacing="0" w:after="0" w:afterAutospacing="0" w:line="480" w:lineRule="auto"/>
        <w:ind w:left="480" w:hanging="480"/>
        <w:rPr>
          <w:rFonts w:ascii="Times New Roman" w:hAnsi="Times New Roman"/>
          <w:sz w:val="24"/>
          <w:szCs w:val="24"/>
          <w:lang w:val="en-US"/>
        </w:rPr>
      </w:pPr>
      <w:proofErr w:type="spellStart"/>
      <w:r>
        <w:rPr>
          <w:rFonts w:ascii="Times New Roman" w:hAnsi="Times New Roman"/>
          <w:iCs/>
          <w:sz w:val="24"/>
          <w:szCs w:val="24"/>
          <w:lang w:val="en-US"/>
        </w:rPr>
        <w:t>Guo</w:t>
      </w:r>
      <w:proofErr w:type="spellEnd"/>
      <w:r>
        <w:rPr>
          <w:rFonts w:ascii="Times New Roman" w:hAnsi="Times New Roman"/>
          <w:iCs/>
          <w:sz w:val="24"/>
          <w:szCs w:val="24"/>
          <w:lang w:val="en-US"/>
        </w:rPr>
        <w:t xml:space="preserve">, J., </w:t>
      </w:r>
      <w:r w:rsidRPr="00CE5CCB">
        <w:rPr>
          <w:rFonts w:ascii="Times New Roman" w:hAnsi="Times New Roman"/>
          <w:iCs/>
          <w:sz w:val="24"/>
          <w:szCs w:val="24"/>
          <w:lang w:val="en-US"/>
        </w:rPr>
        <w:t>Parker</w:t>
      </w:r>
      <w:r>
        <w:rPr>
          <w:rFonts w:ascii="Times New Roman" w:hAnsi="Times New Roman"/>
          <w:iCs/>
          <w:sz w:val="24"/>
          <w:szCs w:val="24"/>
          <w:lang w:val="en-US"/>
        </w:rPr>
        <w:t xml:space="preserve">, P.D., Marsh, H.W., Morin, A.J.S. (2015). </w:t>
      </w:r>
      <w:r w:rsidRPr="00F24F5B">
        <w:rPr>
          <w:rFonts w:ascii="Times New Roman" w:hAnsi="Times New Roman"/>
          <w:iCs/>
          <w:sz w:val="24"/>
          <w:szCs w:val="24"/>
        </w:rPr>
        <w:t>Achievement, motivation, and educational choices: A longitudinal study of expectancy and value using a multiplicative perspective</w:t>
      </w:r>
      <w:r>
        <w:rPr>
          <w:rFonts w:ascii="Times New Roman" w:hAnsi="Times New Roman"/>
          <w:iCs/>
          <w:sz w:val="24"/>
          <w:szCs w:val="24"/>
        </w:rPr>
        <w:t xml:space="preserve">. </w:t>
      </w:r>
      <w:proofErr w:type="gramStart"/>
      <w:r>
        <w:rPr>
          <w:rFonts w:ascii="Times New Roman" w:hAnsi="Times New Roman"/>
          <w:i/>
          <w:iCs/>
          <w:sz w:val="24"/>
          <w:szCs w:val="24"/>
        </w:rPr>
        <w:t xml:space="preserve">Developmental Psychology, 51, </w:t>
      </w:r>
      <w:r>
        <w:rPr>
          <w:rFonts w:ascii="Times New Roman" w:hAnsi="Times New Roman"/>
          <w:iCs/>
          <w:sz w:val="24"/>
          <w:szCs w:val="24"/>
        </w:rPr>
        <w:t>1163-1176.</w:t>
      </w:r>
      <w:proofErr w:type="gramEnd"/>
    </w:p>
    <w:p w14:paraId="43E3D240" w14:textId="77777777" w:rsidR="000439E3" w:rsidRPr="00905499" w:rsidRDefault="000439E3" w:rsidP="000439E3">
      <w:pPr>
        <w:pStyle w:val="NormalWeb"/>
        <w:spacing w:before="0" w:beforeAutospacing="0" w:after="0" w:afterAutospacing="0" w:line="480" w:lineRule="auto"/>
        <w:ind w:left="480" w:hanging="480"/>
        <w:rPr>
          <w:rFonts w:ascii="Times New Roman" w:hAnsi="Times New Roman"/>
          <w:sz w:val="24"/>
          <w:szCs w:val="24"/>
          <w:lang w:val="en-US"/>
        </w:rPr>
      </w:pPr>
      <w:r w:rsidRPr="00905499">
        <w:rPr>
          <w:rFonts w:ascii="Times New Roman" w:hAnsi="Times New Roman"/>
          <w:sz w:val="24"/>
          <w:szCs w:val="24"/>
          <w:lang w:val="en-US"/>
        </w:rPr>
        <w:t xml:space="preserve">Griffith, A. L., &amp; Rothstein, D. S. (2009). Can’t get there from here: The decision to apply to a selective college. </w:t>
      </w:r>
      <w:proofErr w:type="gramStart"/>
      <w:r w:rsidRPr="00905499">
        <w:rPr>
          <w:rFonts w:ascii="Times New Roman" w:hAnsi="Times New Roman"/>
          <w:i/>
          <w:iCs/>
          <w:sz w:val="24"/>
          <w:szCs w:val="24"/>
          <w:lang w:val="en-US"/>
        </w:rPr>
        <w:t>Economics of Education Review</w:t>
      </w:r>
      <w:r w:rsidRPr="00905499">
        <w:rPr>
          <w:rFonts w:ascii="Times New Roman" w:hAnsi="Times New Roman"/>
          <w:sz w:val="24"/>
          <w:szCs w:val="24"/>
          <w:lang w:val="en-US"/>
        </w:rPr>
        <w:t xml:space="preserve">, </w:t>
      </w:r>
      <w:r w:rsidRPr="00905499">
        <w:rPr>
          <w:rFonts w:ascii="Times New Roman" w:hAnsi="Times New Roman"/>
          <w:i/>
          <w:iCs/>
          <w:sz w:val="24"/>
          <w:szCs w:val="24"/>
          <w:lang w:val="en-US"/>
        </w:rPr>
        <w:t>28</w:t>
      </w:r>
      <w:r w:rsidRPr="00905499">
        <w:rPr>
          <w:rFonts w:ascii="Times New Roman" w:hAnsi="Times New Roman"/>
          <w:sz w:val="24"/>
          <w:szCs w:val="24"/>
          <w:lang w:val="en-US"/>
        </w:rPr>
        <w:t>, 620–628.</w:t>
      </w:r>
      <w:proofErr w:type="gramEnd"/>
      <w:r w:rsidRPr="00905499">
        <w:rPr>
          <w:rFonts w:ascii="Times New Roman" w:hAnsi="Times New Roman"/>
          <w:sz w:val="24"/>
          <w:szCs w:val="24"/>
          <w:lang w:val="en-US"/>
        </w:rPr>
        <w:t xml:space="preserve"> </w:t>
      </w:r>
      <w:hyperlink r:id="rId19" w:history="1">
        <w:r w:rsidRPr="00905499">
          <w:rPr>
            <w:rStyle w:val="Hyperlink"/>
            <w:rFonts w:ascii="Times New Roman" w:hAnsi="Times New Roman"/>
            <w:sz w:val="24"/>
            <w:szCs w:val="24"/>
            <w:lang w:val="en-US"/>
          </w:rPr>
          <w:t>http://doi.org/10.1016/j.econedurev.2009.01.004</w:t>
        </w:r>
      </w:hyperlink>
    </w:p>
    <w:p w14:paraId="1605BF37" w14:textId="77777777" w:rsidR="000439E3" w:rsidRPr="00905499" w:rsidRDefault="000439E3" w:rsidP="000439E3">
      <w:pPr>
        <w:pStyle w:val="NormalWeb"/>
        <w:spacing w:before="0" w:beforeAutospacing="0" w:after="0" w:afterAutospacing="0" w:line="480" w:lineRule="auto"/>
        <w:ind w:left="480" w:hanging="480"/>
        <w:rPr>
          <w:rFonts w:ascii="Times New Roman" w:hAnsi="Times New Roman"/>
          <w:sz w:val="24"/>
          <w:szCs w:val="24"/>
          <w:lang w:val="en-US"/>
        </w:rPr>
      </w:pPr>
      <w:r w:rsidRPr="00905499">
        <w:rPr>
          <w:rFonts w:ascii="Times New Roman" w:hAnsi="Times New Roman"/>
          <w:sz w:val="24"/>
          <w:szCs w:val="24"/>
          <w:lang w:val="en-US"/>
        </w:rPr>
        <w:lastRenderedPageBreak/>
        <w:t xml:space="preserve">Grodsky, E., &amp; Riegle-Crumb, C. (2010). Those who choose and those who don’t: Social background and college orientation. </w:t>
      </w:r>
      <w:proofErr w:type="gramStart"/>
      <w:r w:rsidRPr="00905499">
        <w:rPr>
          <w:rFonts w:ascii="Times New Roman" w:hAnsi="Times New Roman"/>
          <w:i/>
          <w:iCs/>
          <w:sz w:val="24"/>
          <w:szCs w:val="24"/>
          <w:lang w:val="en-US"/>
        </w:rPr>
        <w:t>The ANNALS of the American Academy of Political and Social Science</w:t>
      </w:r>
      <w:r w:rsidRPr="00905499">
        <w:rPr>
          <w:rFonts w:ascii="Times New Roman" w:hAnsi="Times New Roman"/>
          <w:sz w:val="24"/>
          <w:szCs w:val="24"/>
          <w:lang w:val="en-US"/>
        </w:rPr>
        <w:t xml:space="preserve">, </w:t>
      </w:r>
      <w:r w:rsidRPr="00905499">
        <w:rPr>
          <w:rFonts w:ascii="Times New Roman" w:hAnsi="Times New Roman"/>
          <w:i/>
          <w:iCs/>
          <w:sz w:val="24"/>
          <w:szCs w:val="24"/>
          <w:lang w:val="en-US"/>
        </w:rPr>
        <w:t>627</w:t>
      </w:r>
      <w:r w:rsidRPr="00905499">
        <w:rPr>
          <w:rFonts w:ascii="Times New Roman" w:hAnsi="Times New Roman"/>
          <w:sz w:val="24"/>
          <w:szCs w:val="24"/>
          <w:lang w:val="en-US"/>
        </w:rPr>
        <w:t>, 14-35.</w:t>
      </w:r>
      <w:proofErr w:type="gramEnd"/>
    </w:p>
    <w:p w14:paraId="75854BE9" w14:textId="77777777" w:rsidR="000439E3" w:rsidRPr="00905499" w:rsidRDefault="000439E3" w:rsidP="000439E3">
      <w:pPr>
        <w:pStyle w:val="NormalWeb"/>
        <w:spacing w:before="0" w:beforeAutospacing="0" w:after="0" w:afterAutospacing="0" w:line="480" w:lineRule="auto"/>
        <w:ind w:left="480" w:hanging="480"/>
        <w:rPr>
          <w:rFonts w:ascii="Times New Roman" w:hAnsi="Times New Roman"/>
          <w:sz w:val="24"/>
          <w:szCs w:val="24"/>
          <w:lang w:val="en-US"/>
        </w:rPr>
      </w:pPr>
      <w:proofErr w:type="gramStart"/>
      <w:r w:rsidRPr="00905499">
        <w:rPr>
          <w:rFonts w:ascii="Times New Roman" w:hAnsi="Times New Roman"/>
          <w:sz w:val="24"/>
          <w:szCs w:val="24"/>
          <w:lang w:val="en-US"/>
        </w:rPr>
        <w:t>Hall, D. T. (2004).</w:t>
      </w:r>
      <w:proofErr w:type="gramEnd"/>
      <w:r w:rsidRPr="00905499">
        <w:rPr>
          <w:rFonts w:ascii="Times New Roman" w:hAnsi="Times New Roman"/>
          <w:sz w:val="24"/>
          <w:szCs w:val="24"/>
          <w:lang w:val="en-US"/>
        </w:rPr>
        <w:t xml:space="preserve"> The protean career: A quarter-century journey. </w:t>
      </w:r>
      <w:r w:rsidRPr="00905499">
        <w:rPr>
          <w:rFonts w:ascii="Times New Roman" w:hAnsi="Times New Roman"/>
          <w:i/>
          <w:sz w:val="24"/>
          <w:szCs w:val="24"/>
          <w:lang w:val="en-US"/>
        </w:rPr>
        <w:t xml:space="preserve">Journal of Vocational </w:t>
      </w:r>
      <w:proofErr w:type="spellStart"/>
      <w:r w:rsidRPr="00905499">
        <w:rPr>
          <w:rFonts w:ascii="Times New Roman" w:hAnsi="Times New Roman"/>
          <w:i/>
          <w:sz w:val="24"/>
          <w:szCs w:val="24"/>
          <w:lang w:val="en-US"/>
        </w:rPr>
        <w:t>Behaviour</w:t>
      </w:r>
      <w:proofErr w:type="spellEnd"/>
      <w:r w:rsidRPr="00905499">
        <w:rPr>
          <w:rFonts w:ascii="Times New Roman" w:hAnsi="Times New Roman"/>
          <w:i/>
          <w:sz w:val="24"/>
          <w:szCs w:val="24"/>
          <w:lang w:val="en-US"/>
        </w:rPr>
        <w:t>, 65</w:t>
      </w:r>
      <w:r w:rsidRPr="00905499">
        <w:rPr>
          <w:rFonts w:ascii="Times New Roman" w:hAnsi="Times New Roman"/>
          <w:sz w:val="24"/>
          <w:szCs w:val="24"/>
          <w:lang w:val="en-US"/>
        </w:rPr>
        <w:t xml:space="preserve">, 1–13. </w:t>
      </w:r>
      <w:proofErr w:type="spellStart"/>
      <w:proofErr w:type="gramStart"/>
      <w:r w:rsidRPr="00905499">
        <w:rPr>
          <w:rFonts w:ascii="Times New Roman" w:hAnsi="Times New Roman"/>
          <w:sz w:val="24"/>
          <w:szCs w:val="24"/>
          <w:lang w:val="en-US"/>
        </w:rPr>
        <w:t>doi</w:t>
      </w:r>
      <w:proofErr w:type="spellEnd"/>
      <w:proofErr w:type="gramEnd"/>
      <w:r w:rsidRPr="00905499">
        <w:rPr>
          <w:rFonts w:ascii="Times New Roman" w:hAnsi="Times New Roman"/>
          <w:sz w:val="24"/>
          <w:szCs w:val="24"/>
          <w:lang w:val="en-US"/>
        </w:rPr>
        <w:t>: 10.1016/j.jvb.2003.10.006</w:t>
      </w:r>
    </w:p>
    <w:p w14:paraId="15BE2CEC" w14:textId="77777777" w:rsidR="000439E3" w:rsidRPr="00905499" w:rsidRDefault="000439E3" w:rsidP="000439E3">
      <w:pPr>
        <w:pStyle w:val="NormalWeb"/>
        <w:spacing w:before="0" w:beforeAutospacing="0" w:after="0" w:afterAutospacing="0" w:line="480" w:lineRule="auto"/>
        <w:ind w:left="480" w:hanging="480"/>
        <w:rPr>
          <w:rFonts w:ascii="Times New Roman" w:hAnsi="Times New Roman"/>
          <w:sz w:val="24"/>
          <w:szCs w:val="24"/>
          <w:lang w:val="en-US"/>
        </w:rPr>
      </w:pPr>
      <w:r w:rsidRPr="00905499">
        <w:rPr>
          <w:rFonts w:ascii="Times New Roman" w:hAnsi="Times New Roman"/>
          <w:sz w:val="24"/>
          <w:szCs w:val="24"/>
          <w:lang w:val="en-US"/>
        </w:rPr>
        <w:t xml:space="preserve">Honaker, J., King, G., &amp; Blackwell, M.  (2011). Amelia II: A program for missing data.  </w:t>
      </w:r>
      <w:proofErr w:type="gramStart"/>
      <w:r w:rsidRPr="00905499">
        <w:rPr>
          <w:rFonts w:ascii="Times New Roman" w:hAnsi="Times New Roman"/>
          <w:i/>
          <w:sz w:val="24"/>
          <w:szCs w:val="24"/>
          <w:lang w:val="en-US"/>
        </w:rPr>
        <w:t>Journal of Statistical Software, 45</w:t>
      </w:r>
      <w:r w:rsidRPr="00905499">
        <w:rPr>
          <w:rFonts w:ascii="Times New Roman" w:hAnsi="Times New Roman"/>
          <w:sz w:val="24"/>
          <w:szCs w:val="24"/>
          <w:lang w:val="en-US"/>
        </w:rPr>
        <w:t>, 1-47.</w:t>
      </w:r>
      <w:proofErr w:type="gramEnd"/>
      <w:r w:rsidRPr="00905499">
        <w:rPr>
          <w:rFonts w:ascii="Times New Roman" w:hAnsi="Times New Roman"/>
          <w:sz w:val="24"/>
          <w:szCs w:val="24"/>
          <w:lang w:val="en-US"/>
        </w:rPr>
        <w:t xml:space="preserve">  URL http://www.jstatsoft.org/v45/i07/.</w:t>
      </w:r>
    </w:p>
    <w:p w14:paraId="3BCE1634" w14:textId="77777777" w:rsidR="000439E3" w:rsidRPr="00905499" w:rsidRDefault="000439E3" w:rsidP="000439E3">
      <w:pPr>
        <w:pStyle w:val="NormalWeb"/>
        <w:spacing w:before="0" w:beforeAutospacing="0" w:after="0" w:afterAutospacing="0" w:line="480" w:lineRule="auto"/>
        <w:ind w:left="480" w:hanging="480"/>
        <w:rPr>
          <w:rFonts w:ascii="Times New Roman" w:hAnsi="Times New Roman"/>
          <w:sz w:val="24"/>
          <w:szCs w:val="24"/>
          <w:lang w:val="en-US"/>
        </w:rPr>
      </w:pPr>
      <w:r w:rsidRPr="00905499">
        <w:rPr>
          <w:rFonts w:ascii="Times New Roman" w:hAnsi="Times New Roman"/>
          <w:color w:val="000000" w:themeColor="text1"/>
          <w:sz w:val="24"/>
          <w:szCs w:val="24"/>
          <w:lang w:val="en-US"/>
        </w:rPr>
        <w:t xml:space="preserve">Hoekstra, M. (2009). The effect of attending the flagship state university on earnings: A discontinuity-based approach. </w:t>
      </w:r>
      <w:proofErr w:type="gramStart"/>
      <w:r w:rsidRPr="00905499">
        <w:rPr>
          <w:rFonts w:ascii="Times New Roman" w:hAnsi="Times New Roman"/>
          <w:i/>
          <w:iCs/>
          <w:color w:val="000000" w:themeColor="text1"/>
          <w:sz w:val="24"/>
          <w:szCs w:val="24"/>
          <w:lang w:val="en-US"/>
        </w:rPr>
        <w:t>Review of Economics and Statistics</w:t>
      </w:r>
      <w:r w:rsidRPr="00905499">
        <w:rPr>
          <w:rFonts w:ascii="Times New Roman" w:hAnsi="Times New Roman"/>
          <w:color w:val="000000" w:themeColor="text1"/>
          <w:sz w:val="24"/>
          <w:szCs w:val="24"/>
          <w:lang w:val="en-US"/>
        </w:rPr>
        <w:t xml:space="preserve"> 91, 717-24.</w:t>
      </w:r>
      <w:proofErr w:type="gramEnd"/>
    </w:p>
    <w:p w14:paraId="6C3692C4" w14:textId="77777777" w:rsidR="000439E3" w:rsidRPr="00905499" w:rsidRDefault="000439E3" w:rsidP="000439E3">
      <w:pPr>
        <w:pStyle w:val="NormalWeb"/>
        <w:spacing w:before="0" w:beforeAutospacing="0" w:after="0" w:afterAutospacing="0" w:line="480" w:lineRule="auto"/>
        <w:ind w:left="480" w:hanging="480"/>
        <w:rPr>
          <w:rFonts w:ascii="Times New Roman" w:hAnsi="Times New Roman"/>
          <w:sz w:val="24"/>
          <w:szCs w:val="24"/>
          <w:lang w:val="en-US"/>
        </w:rPr>
      </w:pPr>
      <w:r w:rsidRPr="00905499">
        <w:rPr>
          <w:rFonts w:ascii="Times New Roman" w:hAnsi="Times New Roman"/>
          <w:sz w:val="24"/>
          <w:szCs w:val="24"/>
          <w:lang w:val="en-US"/>
        </w:rPr>
        <w:t xml:space="preserve">Irvin, M. J., Meece, J. L., Byun, S. </w:t>
      </w:r>
      <w:proofErr w:type="spellStart"/>
      <w:r w:rsidRPr="00905499">
        <w:rPr>
          <w:rFonts w:ascii="Times New Roman" w:hAnsi="Times New Roman"/>
          <w:sz w:val="24"/>
          <w:szCs w:val="24"/>
          <w:lang w:val="en-US"/>
        </w:rPr>
        <w:t>yong</w:t>
      </w:r>
      <w:proofErr w:type="spellEnd"/>
      <w:r w:rsidRPr="00905499">
        <w:rPr>
          <w:rFonts w:ascii="Times New Roman" w:hAnsi="Times New Roman"/>
          <w:sz w:val="24"/>
          <w:szCs w:val="24"/>
          <w:lang w:val="en-US"/>
        </w:rPr>
        <w:t xml:space="preserve">, Farmer, T. W., &amp; Hutchins, B. C. (2011). </w:t>
      </w:r>
      <w:proofErr w:type="gramStart"/>
      <w:r w:rsidRPr="00905499">
        <w:rPr>
          <w:rFonts w:ascii="Times New Roman" w:hAnsi="Times New Roman"/>
          <w:sz w:val="24"/>
          <w:szCs w:val="24"/>
          <w:lang w:val="en-US"/>
        </w:rPr>
        <w:t>Relationship of school context to rural youth’s educational achievement and aspirations.</w:t>
      </w:r>
      <w:proofErr w:type="gramEnd"/>
      <w:r w:rsidRPr="00905499">
        <w:rPr>
          <w:rFonts w:ascii="Times New Roman" w:hAnsi="Times New Roman"/>
          <w:sz w:val="24"/>
          <w:szCs w:val="24"/>
          <w:lang w:val="en-US"/>
        </w:rPr>
        <w:t xml:space="preserve"> </w:t>
      </w:r>
      <w:r w:rsidRPr="00905499">
        <w:rPr>
          <w:rFonts w:ascii="Times New Roman" w:hAnsi="Times New Roman"/>
          <w:i/>
          <w:iCs/>
          <w:sz w:val="24"/>
          <w:szCs w:val="24"/>
          <w:lang w:val="en-US"/>
        </w:rPr>
        <w:t>Journal of Youth and Adolescence</w:t>
      </w:r>
      <w:r w:rsidRPr="00905499">
        <w:rPr>
          <w:rFonts w:ascii="Times New Roman" w:hAnsi="Times New Roman"/>
          <w:sz w:val="24"/>
          <w:szCs w:val="24"/>
          <w:lang w:val="en-US"/>
        </w:rPr>
        <w:t xml:space="preserve">, </w:t>
      </w:r>
      <w:r w:rsidRPr="00905499">
        <w:rPr>
          <w:rFonts w:ascii="Times New Roman" w:hAnsi="Times New Roman"/>
          <w:i/>
          <w:iCs/>
          <w:sz w:val="24"/>
          <w:szCs w:val="24"/>
          <w:lang w:val="en-US"/>
        </w:rPr>
        <w:t>40</w:t>
      </w:r>
      <w:r w:rsidRPr="00905499">
        <w:rPr>
          <w:rFonts w:ascii="Times New Roman" w:hAnsi="Times New Roman"/>
          <w:sz w:val="24"/>
          <w:szCs w:val="24"/>
          <w:lang w:val="en-US"/>
        </w:rPr>
        <w:t xml:space="preserve">, 1225–1242. </w:t>
      </w:r>
      <w:hyperlink r:id="rId20" w:history="1">
        <w:r w:rsidRPr="00905499">
          <w:rPr>
            <w:rStyle w:val="Hyperlink"/>
            <w:rFonts w:ascii="Times New Roman" w:hAnsi="Times New Roman"/>
            <w:sz w:val="24"/>
            <w:szCs w:val="24"/>
            <w:lang w:val="en-US"/>
          </w:rPr>
          <w:t>http://doi.org/10.1007/s10964-011-9628-8</w:t>
        </w:r>
      </w:hyperlink>
    </w:p>
    <w:p w14:paraId="04A96D28" w14:textId="77777777" w:rsidR="000439E3" w:rsidRPr="00905499" w:rsidRDefault="000439E3" w:rsidP="000439E3">
      <w:pPr>
        <w:pStyle w:val="NormalWeb"/>
        <w:spacing w:before="0" w:beforeAutospacing="0" w:after="0" w:afterAutospacing="0" w:line="480" w:lineRule="auto"/>
        <w:ind w:left="480" w:hanging="480"/>
        <w:rPr>
          <w:rFonts w:ascii="Times New Roman" w:hAnsi="Times New Roman"/>
          <w:sz w:val="24"/>
          <w:szCs w:val="24"/>
          <w:lang w:val="en-US"/>
        </w:rPr>
      </w:pPr>
      <w:proofErr w:type="gramStart"/>
      <w:r w:rsidRPr="00905499">
        <w:rPr>
          <w:rFonts w:ascii="Times New Roman" w:hAnsi="Times New Roman"/>
          <w:sz w:val="24"/>
          <w:szCs w:val="24"/>
          <w:lang w:val="en-US"/>
        </w:rPr>
        <w:t xml:space="preserve">Jackson, M., Erikson, R., Goldthorpe, J. H., &amp; </w:t>
      </w:r>
      <w:proofErr w:type="spellStart"/>
      <w:r w:rsidRPr="00905499">
        <w:rPr>
          <w:rFonts w:ascii="Times New Roman" w:hAnsi="Times New Roman"/>
          <w:sz w:val="24"/>
          <w:szCs w:val="24"/>
          <w:lang w:val="en-US"/>
        </w:rPr>
        <w:t>Yaish</w:t>
      </w:r>
      <w:proofErr w:type="spellEnd"/>
      <w:r w:rsidRPr="00905499">
        <w:rPr>
          <w:rFonts w:ascii="Times New Roman" w:hAnsi="Times New Roman"/>
          <w:sz w:val="24"/>
          <w:szCs w:val="24"/>
          <w:lang w:val="en-US"/>
        </w:rPr>
        <w:t>, M. (2007).</w:t>
      </w:r>
      <w:proofErr w:type="gramEnd"/>
      <w:r w:rsidRPr="00905499">
        <w:rPr>
          <w:rFonts w:ascii="Times New Roman" w:hAnsi="Times New Roman"/>
          <w:sz w:val="24"/>
          <w:szCs w:val="24"/>
          <w:lang w:val="en-US"/>
        </w:rPr>
        <w:t xml:space="preserve"> Primary and secondary effects in class differentials in educational attainment the transition to A-level courses in England and Wales. </w:t>
      </w:r>
      <w:proofErr w:type="spellStart"/>
      <w:proofErr w:type="gramStart"/>
      <w:r w:rsidRPr="00905499">
        <w:rPr>
          <w:rFonts w:ascii="Times New Roman" w:hAnsi="Times New Roman"/>
          <w:i/>
          <w:iCs/>
          <w:sz w:val="24"/>
          <w:szCs w:val="24"/>
          <w:lang w:val="en-US"/>
        </w:rPr>
        <w:t>Acta</w:t>
      </w:r>
      <w:proofErr w:type="spellEnd"/>
      <w:r w:rsidRPr="00905499">
        <w:rPr>
          <w:rFonts w:ascii="Times New Roman" w:hAnsi="Times New Roman"/>
          <w:i/>
          <w:iCs/>
          <w:sz w:val="24"/>
          <w:szCs w:val="24"/>
          <w:lang w:val="en-US"/>
        </w:rPr>
        <w:t xml:space="preserve"> </w:t>
      </w:r>
      <w:proofErr w:type="spellStart"/>
      <w:r w:rsidRPr="00905499">
        <w:rPr>
          <w:rFonts w:ascii="Times New Roman" w:hAnsi="Times New Roman"/>
          <w:i/>
          <w:iCs/>
          <w:sz w:val="24"/>
          <w:szCs w:val="24"/>
          <w:lang w:val="en-US"/>
        </w:rPr>
        <w:t>Sociologica</w:t>
      </w:r>
      <w:proofErr w:type="spellEnd"/>
      <w:r w:rsidRPr="00905499">
        <w:rPr>
          <w:rFonts w:ascii="Times New Roman" w:hAnsi="Times New Roman"/>
          <w:sz w:val="24"/>
          <w:szCs w:val="24"/>
          <w:lang w:val="en-US"/>
        </w:rPr>
        <w:t xml:space="preserve">, </w:t>
      </w:r>
      <w:r w:rsidRPr="00905499">
        <w:rPr>
          <w:rFonts w:ascii="Times New Roman" w:hAnsi="Times New Roman"/>
          <w:i/>
          <w:iCs/>
          <w:sz w:val="24"/>
          <w:szCs w:val="24"/>
          <w:lang w:val="en-US"/>
        </w:rPr>
        <w:t>50</w:t>
      </w:r>
      <w:r w:rsidRPr="00905499">
        <w:rPr>
          <w:rFonts w:ascii="Times New Roman" w:hAnsi="Times New Roman"/>
          <w:sz w:val="24"/>
          <w:szCs w:val="24"/>
          <w:lang w:val="en-US"/>
        </w:rPr>
        <w:t>, 211-229.</w:t>
      </w:r>
      <w:proofErr w:type="gramEnd"/>
    </w:p>
    <w:p w14:paraId="72CD460F" w14:textId="3B1D478C" w:rsidR="000439E3" w:rsidRDefault="000439E3" w:rsidP="000439E3">
      <w:pPr>
        <w:pStyle w:val="NormalWeb"/>
        <w:spacing w:before="0" w:beforeAutospacing="0" w:after="0" w:afterAutospacing="0" w:line="480" w:lineRule="auto"/>
        <w:ind w:left="480" w:hanging="480"/>
        <w:rPr>
          <w:rFonts w:ascii="Times New Roman" w:hAnsi="Times New Roman"/>
          <w:sz w:val="24"/>
          <w:szCs w:val="24"/>
          <w:lang w:val="en-US"/>
        </w:rPr>
      </w:pPr>
      <w:r w:rsidRPr="00905499">
        <w:rPr>
          <w:rFonts w:ascii="Times New Roman" w:hAnsi="Times New Roman"/>
          <w:sz w:val="24"/>
          <w:szCs w:val="24"/>
          <w:lang w:val="en-US"/>
        </w:rPr>
        <w:t xml:space="preserve">James, R. (2001). Participation disadvantage in Australian higher education: An analysis of some effects of geographical location and socioeconomic status. </w:t>
      </w:r>
      <w:r w:rsidRPr="00905499">
        <w:rPr>
          <w:rFonts w:ascii="Times New Roman" w:hAnsi="Times New Roman"/>
          <w:i/>
          <w:iCs/>
          <w:sz w:val="24"/>
          <w:szCs w:val="24"/>
          <w:lang w:val="en-US"/>
        </w:rPr>
        <w:t>Higher Education</w:t>
      </w:r>
      <w:r w:rsidRPr="00905499">
        <w:rPr>
          <w:rFonts w:ascii="Times New Roman" w:hAnsi="Times New Roman"/>
          <w:sz w:val="24"/>
          <w:szCs w:val="24"/>
          <w:lang w:val="en-US"/>
        </w:rPr>
        <w:t xml:space="preserve">, </w:t>
      </w:r>
      <w:r w:rsidRPr="00905499">
        <w:rPr>
          <w:rFonts w:ascii="Times New Roman" w:hAnsi="Times New Roman"/>
          <w:i/>
          <w:iCs/>
          <w:sz w:val="24"/>
          <w:szCs w:val="24"/>
          <w:lang w:val="en-US"/>
        </w:rPr>
        <w:t>42</w:t>
      </w:r>
      <w:r w:rsidRPr="00905499">
        <w:rPr>
          <w:rFonts w:ascii="Times New Roman" w:hAnsi="Times New Roman"/>
          <w:sz w:val="24"/>
          <w:szCs w:val="24"/>
          <w:lang w:val="en-US"/>
        </w:rPr>
        <w:t xml:space="preserve"> 455–472. </w:t>
      </w:r>
      <w:hyperlink r:id="rId21" w:history="1">
        <w:r w:rsidR="00D86D40" w:rsidRPr="005C6E42">
          <w:rPr>
            <w:rStyle w:val="Hyperlink"/>
            <w:rFonts w:ascii="Times New Roman" w:hAnsi="Times New Roman"/>
            <w:sz w:val="24"/>
            <w:szCs w:val="24"/>
            <w:lang w:val="en-US"/>
          </w:rPr>
          <w:t>http://doi.org/10.1023/a:1012264010667</w:t>
        </w:r>
      </w:hyperlink>
    </w:p>
    <w:p w14:paraId="5B906477" w14:textId="14E58604" w:rsidR="00D86D40" w:rsidRPr="00905499" w:rsidRDefault="00D86D40" w:rsidP="000439E3">
      <w:pPr>
        <w:pStyle w:val="NormalWeb"/>
        <w:spacing w:before="0" w:beforeAutospacing="0" w:after="0" w:afterAutospacing="0" w:line="480" w:lineRule="auto"/>
        <w:ind w:left="480" w:hanging="480"/>
        <w:rPr>
          <w:rFonts w:ascii="Times New Roman" w:hAnsi="Times New Roman"/>
          <w:sz w:val="24"/>
          <w:szCs w:val="24"/>
          <w:lang w:val="en-US"/>
        </w:rPr>
      </w:pPr>
      <w:r>
        <w:rPr>
          <w:rFonts w:ascii="Times New Roman" w:hAnsi="Times New Roman"/>
          <w:sz w:val="24"/>
          <w:szCs w:val="24"/>
        </w:rPr>
        <w:t xml:space="preserve">Jerrim, J., Chmielewski, A.K., &amp; Parker, P.D. (in press). </w:t>
      </w:r>
      <w:r w:rsidRPr="00002ECA">
        <w:rPr>
          <w:rFonts w:ascii="Times New Roman" w:hAnsi="Times New Roman"/>
          <w:sz w:val="24"/>
          <w:szCs w:val="24"/>
          <w:lang w:val="en-US"/>
        </w:rPr>
        <w:t>Socioeconomic inequality in access to high-status colleges: a cross-country comparison</w:t>
      </w:r>
      <w:r>
        <w:rPr>
          <w:rFonts w:ascii="Times New Roman" w:hAnsi="Times New Roman"/>
          <w:sz w:val="24"/>
          <w:szCs w:val="24"/>
          <w:lang w:val="en-US"/>
        </w:rPr>
        <w:t xml:space="preserve">. </w:t>
      </w:r>
      <w:proofErr w:type="gramStart"/>
      <w:r>
        <w:rPr>
          <w:rFonts w:ascii="Times New Roman" w:hAnsi="Times New Roman"/>
          <w:i/>
          <w:sz w:val="24"/>
          <w:szCs w:val="24"/>
          <w:lang w:val="en-US"/>
        </w:rPr>
        <w:t>Research in Social Stratification and Mobility.</w:t>
      </w:r>
      <w:proofErr w:type="gramEnd"/>
    </w:p>
    <w:p w14:paraId="4805A5EF" w14:textId="77777777" w:rsidR="000439E3" w:rsidRPr="00905499" w:rsidRDefault="000439E3" w:rsidP="000439E3">
      <w:pPr>
        <w:pStyle w:val="NormalWeb"/>
        <w:spacing w:before="0" w:beforeAutospacing="0" w:after="0" w:afterAutospacing="0" w:line="480" w:lineRule="auto"/>
        <w:ind w:left="480" w:hanging="480"/>
        <w:rPr>
          <w:rFonts w:ascii="Times New Roman" w:hAnsi="Times New Roman"/>
          <w:sz w:val="24"/>
          <w:szCs w:val="24"/>
          <w:lang w:val="en-US"/>
        </w:rPr>
      </w:pPr>
      <w:r w:rsidRPr="00905499">
        <w:rPr>
          <w:rFonts w:ascii="Times New Roman" w:hAnsi="Times New Roman"/>
          <w:sz w:val="24"/>
          <w:szCs w:val="24"/>
          <w:lang w:val="en-US"/>
        </w:rPr>
        <w:lastRenderedPageBreak/>
        <w:t xml:space="preserve">Kannapel, P. J., &amp; DeYoung, A. J. (1999). The rural school problem in 1999: A review and critique of the literature. </w:t>
      </w:r>
      <w:r w:rsidRPr="00905499">
        <w:rPr>
          <w:rFonts w:ascii="Times New Roman" w:hAnsi="Times New Roman"/>
          <w:i/>
          <w:iCs/>
          <w:sz w:val="24"/>
          <w:szCs w:val="24"/>
          <w:lang w:val="en-US"/>
        </w:rPr>
        <w:t>Journal of Research in Rural Education</w:t>
      </w:r>
      <w:r w:rsidRPr="00905499">
        <w:rPr>
          <w:rFonts w:ascii="Times New Roman" w:hAnsi="Times New Roman"/>
          <w:sz w:val="24"/>
          <w:szCs w:val="24"/>
          <w:lang w:val="en-US"/>
        </w:rPr>
        <w:t xml:space="preserve">, </w:t>
      </w:r>
      <w:r w:rsidRPr="00905499">
        <w:rPr>
          <w:rFonts w:ascii="Times New Roman" w:hAnsi="Times New Roman"/>
          <w:i/>
          <w:iCs/>
          <w:sz w:val="24"/>
          <w:szCs w:val="24"/>
          <w:lang w:val="en-US"/>
        </w:rPr>
        <w:t>15</w:t>
      </w:r>
      <w:r w:rsidRPr="00905499">
        <w:rPr>
          <w:rFonts w:ascii="Times New Roman" w:hAnsi="Times New Roman"/>
          <w:sz w:val="24"/>
          <w:szCs w:val="24"/>
          <w:lang w:val="en-US"/>
        </w:rPr>
        <w:t xml:space="preserve">, 67–79. </w:t>
      </w:r>
    </w:p>
    <w:p w14:paraId="1BBB9EAA" w14:textId="77777777" w:rsidR="000439E3" w:rsidRPr="00905499" w:rsidRDefault="000439E3" w:rsidP="000439E3">
      <w:pPr>
        <w:pStyle w:val="NormalWeb"/>
        <w:spacing w:before="0" w:beforeAutospacing="0" w:after="0" w:afterAutospacing="0" w:line="480" w:lineRule="auto"/>
        <w:ind w:left="480" w:hanging="480"/>
        <w:rPr>
          <w:rFonts w:ascii="Times New Roman" w:hAnsi="Times New Roman"/>
          <w:sz w:val="24"/>
          <w:szCs w:val="24"/>
          <w:lang w:val="en-US"/>
        </w:rPr>
      </w:pPr>
      <w:r w:rsidRPr="00905499">
        <w:rPr>
          <w:rFonts w:ascii="Times New Roman" w:hAnsi="Times New Roman"/>
          <w:sz w:val="24"/>
          <w:szCs w:val="24"/>
          <w:lang w:val="en-US"/>
        </w:rPr>
        <w:t xml:space="preserve">Long, M. (2007). </w:t>
      </w:r>
      <w:proofErr w:type="gramStart"/>
      <w:r w:rsidRPr="00905499">
        <w:rPr>
          <w:rFonts w:ascii="Times New Roman" w:hAnsi="Times New Roman"/>
          <w:sz w:val="24"/>
          <w:szCs w:val="24"/>
          <w:lang w:val="en-US"/>
        </w:rPr>
        <w:t>College quality and early adult outcomes.</w:t>
      </w:r>
      <w:proofErr w:type="gramEnd"/>
      <w:r w:rsidRPr="00905499">
        <w:rPr>
          <w:rFonts w:ascii="Times New Roman" w:hAnsi="Times New Roman"/>
          <w:sz w:val="24"/>
          <w:szCs w:val="24"/>
          <w:lang w:val="en-US"/>
        </w:rPr>
        <w:t xml:space="preserve"> </w:t>
      </w:r>
      <w:proofErr w:type="gramStart"/>
      <w:r w:rsidRPr="00905499">
        <w:rPr>
          <w:rFonts w:ascii="Times New Roman" w:hAnsi="Times New Roman"/>
          <w:i/>
          <w:sz w:val="24"/>
          <w:szCs w:val="24"/>
          <w:lang w:val="en-US"/>
        </w:rPr>
        <w:t>Economics of Education Review,</w:t>
      </w:r>
      <w:r w:rsidRPr="00905499">
        <w:rPr>
          <w:rFonts w:ascii="Times New Roman" w:hAnsi="Times New Roman"/>
          <w:sz w:val="24"/>
          <w:szCs w:val="24"/>
          <w:lang w:val="en-US"/>
        </w:rPr>
        <w:t xml:space="preserve"> 27, 588-602.</w:t>
      </w:r>
      <w:proofErr w:type="gramEnd"/>
    </w:p>
    <w:p w14:paraId="07C29543" w14:textId="77777777" w:rsidR="000439E3" w:rsidRPr="00905499" w:rsidRDefault="000439E3" w:rsidP="000439E3">
      <w:pPr>
        <w:pStyle w:val="NormalWeb"/>
        <w:spacing w:before="0" w:beforeAutospacing="0" w:after="0" w:afterAutospacing="0" w:line="480" w:lineRule="auto"/>
        <w:ind w:left="482" w:hanging="482"/>
        <w:rPr>
          <w:rFonts w:ascii="Times New Roman" w:hAnsi="Times New Roman"/>
          <w:sz w:val="24"/>
          <w:szCs w:val="24"/>
          <w:lang w:val="en-US"/>
        </w:rPr>
      </w:pPr>
      <w:proofErr w:type="gramStart"/>
      <w:r w:rsidRPr="00905499">
        <w:rPr>
          <w:rFonts w:ascii="Times New Roman" w:hAnsi="Times New Roman"/>
          <w:sz w:val="24"/>
          <w:szCs w:val="24"/>
          <w:lang w:val="en-US"/>
        </w:rPr>
        <w:t>Lucas, S. R. (2001).</w:t>
      </w:r>
      <w:proofErr w:type="gramEnd"/>
      <w:r w:rsidRPr="00905499">
        <w:rPr>
          <w:rFonts w:ascii="Times New Roman" w:hAnsi="Times New Roman"/>
          <w:sz w:val="24"/>
          <w:szCs w:val="24"/>
          <w:lang w:val="en-US"/>
        </w:rPr>
        <w:t xml:space="preserve"> Effectively Maintained Inequality: Education Transitions, Track Mobility, and Social Background Effects1. </w:t>
      </w:r>
      <w:r w:rsidRPr="00905499">
        <w:rPr>
          <w:rFonts w:ascii="Times New Roman" w:hAnsi="Times New Roman"/>
          <w:i/>
          <w:iCs/>
          <w:sz w:val="24"/>
          <w:szCs w:val="24"/>
          <w:lang w:val="en-US"/>
        </w:rPr>
        <w:t>American journal of sociology</w:t>
      </w:r>
      <w:proofErr w:type="gramStart"/>
      <w:r w:rsidRPr="00905499">
        <w:rPr>
          <w:rFonts w:ascii="Times New Roman" w:hAnsi="Times New Roman"/>
          <w:sz w:val="24"/>
          <w:szCs w:val="24"/>
          <w:lang w:val="en-US"/>
        </w:rPr>
        <w:t>,</w:t>
      </w:r>
      <w:r w:rsidRPr="00905499">
        <w:rPr>
          <w:rFonts w:ascii="Times New Roman" w:hAnsi="Times New Roman"/>
          <w:i/>
          <w:iCs/>
          <w:sz w:val="24"/>
          <w:szCs w:val="24"/>
          <w:lang w:val="en-US"/>
        </w:rPr>
        <w:t>106</w:t>
      </w:r>
      <w:proofErr w:type="gramEnd"/>
      <w:r w:rsidRPr="00905499">
        <w:rPr>
          <w:rFonts w:ascii="Times New Roman" w:hAnsi="Times New Roman"/>
          <w:sz w:val="24"/>
          <w:szCs w:val="24"/>
          <w:lang w:val="en-US"/>
        </w:rPr>
        <w:t>, 1642-1690.</w:t>
      </w:r>
    </w:p>
    <w:p w14:paraId="4EE4D2FA" w14:textId="77777777" w:rsidR="000439E3" w:rsidRPr="00905499" w:rsidRDefault="000439E3" w:rsidP="000439E3">
      <w:pPr>
        <w:pStyle w:val="NormalWeb"/>
        <w:spacing w:before="0" w:beforeAutospacing="0" w:after="0" w:afterAutospacing="0" w:line="480" w:lineRule="auto"/>
        <w:ind w:left="480" w:hanging="480"/>
        <w:rPr>
          <w:rFonts w:ascii="Times New Roman" w:hAnsi="Times New Roman"/>
          <w:sz w:val="24"/>
          <w:szCs w:val="24"/>
          <w:lang w:val="en-US"/>
        </w:rPr>
      </w:pPr>
      <w:r w:rsidRPr="00905499">
        <w:rPr>
          <w:rFonts w:ascii="Times New Roman" w:hAnsi="Times New Roman"/>
          <w:sz w:val="24"/>
          <w:szCs w:val="24"/>
          <w:lang w:val="en-US"/>
        </w:rPr>
        <w:t xml:space="preserve">Ludwig J, Liebman JB, Kling JR, et al. (2008). What Can We Learn about Neighborhood Effects from the Moving to Opportunity Experiment? </w:t>
      </w:r>
      <w:r w:rsidRPr="00905499">
        <w:rPr>
          <w:rFonts w:ascii="Times New Roman" w:hAnsi="Times New Roman"/>
          <w:i/>
          <w:iCs/>
          <w:sz w:val="24"/>
          <w:szCs w:val="24"/>
          <w:lang w:val="en-US"/>
        </w:rPr>
        <w:t xml:space="preserve">American Journal of Sociology, </w:t>
      </w:r>
      <w:r w:rsidRPr="00905499">
        <w:rPr>
          <w:rFonts w:ascii="Times New Roman" w:hAnsi="Times New Roman"/>
          <w:i/>
          <w:sz w:val="24"/>
          <w:szCs w:val="24"/>
          <w:lang w:val="en-US"/>
        </w:rPr>
        <w:t>114</w:t>
      </w:r>
      <w:r w:rsidRPr="00905499">
        <w:rPr>
          <w:rFonts w:ascii="Times New Roman" w:hAnsi="Times New Roman"/>
          <w:sz w:val="24"/>
          <w:szCs w:val="24"/>
          <w:lang w:val="en-US"/>
        </w:rPr>
        <w:t>, 144-188</w:t>
      </w:r>
    </w:p>
    <w:p w14:paraId="3B7E9E08" w14:textId="77777777" w:rsidR="000439E3" w:rsidRPr="00905499" w:rsidRDefault="000439E3" w:rsidP="000439E3">
      <w:pPr>
        <w:pStyle w:val="NormalWeb"/>
        <w:spacing w:before="0" w:beforeAutospacing="0" w:after="0" w:afterAutospacing="0" w:line="480" w:lineRule="auto"/>
        <w:ind w:left="567" w:hanging="567"/>
        <w:rPr>
          <w:rFonts w:ascii="Times New Roman" w:hAnsi="Times New Roman"/>
          <w:sz w:val="24"/>
          <w:szCs w:val="24"/>
          <w:lang w:val="en-US"/>
        </w:rPr>
      </w:pPr>
      <w:r w:rsidRPr="00905499">
        <w:rPr>
          <w:rFonts w:ascii="Times New Roman" w:hAnsi="Times New Roman"/>
          <w:sz w:val="24"/>
          <w:szCs w:val="24"/>
          <w:lang w:val="en-US"/>
        </w:rPr>
        <w:t>Magnusson, D. &amp; Cairns, R.B.  (1996). Developmental Science: Toward a Unified Framework. R.B. Cairns, G.H., Elder, &amp; E.J. Costello, E. J. (</w:t>
      </w:r>
      <w:proofErr w:type="spellStart"/>
      <w:r w:rsidRPr="00905499">
        <w:rPr>
          <w:rFonts w:ascii="Times New Roman" w:hAnsi="Times New Roman"/>
          <w:sz w:val="24"/>
          <w:szCs w:val="24"/>
          <w:lang w:val="en-US"/>
        </w:rPr>
        <w:t>Eds</w:t>
      </w:r>
      <w:proofErr w:type="spellEnd"/>
      <w:r w:rsidRPr="00905499">
        <w:rPr>
          <w:rFonts w:ascii="Times New Roman" w:hAnsi="Times New Roman"/>
          <w:sz w:val="24"/>
          <w:szCs w:val="24"/>
          <w:lang w:val="en-US"/>
        </w:rPr>
        <w:t xml:space="preserve">). </w:t>
      </w:r>
      <w:proofErr w:type="gramStart"/>
      <w:r w:rsidRPr="00905499">
        <w:rPr>
          <w:rFonts w:ascii="Times New Roman" w:hAnsi="Times New Roman"/>
          <w:i/>
          <w:sz w:val="24"/>
          <w:szCs w:val="24"/>
          <w:lang w:val="en-US"/>
        </w:rPr>
        <w:t xml:space="preserve">Developmental science </w:t>
      </w:r>
      <w:r w:rsidRPr="00905499">
        <w:rPr>
          <w:rFonts w:ascii="Times New Roman" w:hAnsi="Times New Roman"/>
          <w:sz w:val="24"/>
          <w:szCs w:val="24"/>
          <w:lang w:val="en-US"/>
        </w:rPr>
        <w:t>(pp. 7-30).</w:t>
      </w:r>
      <w:proofErr w:type="gramEnd"/>
      <w:r w:rsidRPr="00905499">
        <w:rPr>
          <w:rFonts w:ascii="Times New Roman" w:hAnsi="Times New Roman"/>
          <w:sz w:val="24"/>
          <w:szCs w:val="24"/>
          <w:lang w:val="en-US"/>
        </w:rPr>
        <w:t xml:space="preserve"> New York: Cambridge University Press.</w:t>
      </w:r>
    </w:p>
    <w:p w14:paraId="03817140" w14:textId="77777777" w:rsidR="000439E3" w:rsidRPr="00905499" w:rsidRDefault="000439E3" w:rsidP="000439E3">
      <w:pPr>
        <w:pStyle w:val="NormalWeb"/>
        <w:spacing w:before="0" w:beforeAutospacing="0" w:after="0" w:afterAutospacing="0" w:line="480" w:lineRule="auto"/>
        <w:ind w:left="480" w:hanging="480"/>
        <w:rPr>
          <w:rFonts w:ascii="Times New Roman" w:hAnsi="Times New Roman"/>
          <w:sz w:val="24"/>
          <w:szCs w:val="24"/>
          <w:lang w:val="en-US"/>
        </w:rPr>
      </w:pPr>
      <w:r w:rsidRPr="00905499">
        <w:rPr>
          <w:rFonts w:ascii="Times New Roman" w:hAnsi="Times New Roman"/>
          <w:sz w:val="24"/>
          <w:szCs w:val="24"/>
          <w:lang w:val="en-US"/>
        </w:rPr>
        <w:t xml:space="preserve">Mangan, J., Hughes, A., Davies, P., &amp; Slack, K. (2010). Fair access, achievement and geography: explaining the association between social class and students’ choice of university. </w:t>
      </w:r>
      <w:proofErr w:type="gramStart"/>
      <w:r w:rsidRPr="00905499">
        <w:rPr>
          <w:rFonts w:ascii="Times New Roman" w:hAnsi="Times New Roman"/>
          <w:i/>
          <w:iCs/>
          <w:sz w:val="24"/>
          <w:szCs w:val="24"/>
          <w:lang w:val="en-US"/>
        </w:rPr>
        <w:t>Studies in Higher Education</w:t>
      </w:r>
      <w:r w:rsidRPr="00905499">
        <w:rPr>
          <w:rFonts w:ascii="Times New Roman" w:hAnsi="Times New Roman"/>
          <w:sz w:val="24"/>
          <w:szCs w:val="24"/>
          <w:lang w:val="en-US"/>
        </w:rPr>
        <w:t xml:space="preserve">, </w:t>
      </w:r>
      <w:r w:rsidRPr="00905499">
        <w:rPr>
          <w:rFonts w:ascii="Times New Roman" w:hAnsi="Times New Roman"/>
          <w:i/>
          <w:iCs/>
          <w:sz w:val="24"/>
          <w:szCs w:val="24"/>
          <w:lang w:val="en-US"/>
        </w:rPr>
        <w:t>35</w:t>
      </w:r>
      <w:r w:rsidRPr="00905499">
        <w:rPr>
          <w:rFonts w:ascii="Times New Roman" w:hAnsi="Times New Roman"/>
          <w:sz w:val="24"/>
          <w:szCs w:val="24"/>
          <w:lang w:val="en-US"/>
        </w:rPr>
        <w:t>, 335–350.</w:t>
      </w:r>
      <w:proofErr w:type="gramEnd"/>
      <w:r w:rsidRPr="00905499">
        <w:rPr>
          <w:rFonts w:ascii="Times New Roman" w:hAnsi="Times New Roman"/>
          <w:sz w:val="24"/>
          <w:szCs w:val="24"/>
          <w:lang w:val="en-US"/>
        </w:rPr>
        <w:t xml:space="preserve"> </w:t>
      </w:r>
      <w:hyperlink r:id="rId22" w:history="1">
        <w:r w:rsidRPr="00905499">
          <w:rPr>
            <w:rStyle w:val="Hyperlink"/>
            <w:rFonts w:ascii="Times New Roman" w:hAnsi="Times New Roman"/>
            <w:sz w:val="24"/>
            <w:szCs w:val="24"/>
            <w:lang w:val="en-US"/>
          </w:rPr>
          <w:t>http://doi.org/10.1080/03075070903131610</w:t>
        </w:r>
      </w:hyperlink>
    </w:p>
    <w:p w14:paraId="17E25DA6" w14:textId="77777777" w:rsidR="000439E3" w:rsidRPr="00905499" w:rsidRDefault="000439E3" w:rsidP="000439E3">
      <w:pPr>
        <w:pStyle w:val="NormalWeb"/>
        <w:spacing w:before="0" w:beforeAutospacing="0" w:after="0" w:afterAutospacing="0" w:line="480" w:lineRule="auto"/>
        <w:ind w:left="426" w:hanging="426"/>
        <w:rPr>
          <w:rFonts w:ascii="Times New Roman" w:hAnsi="Times New Roman"/>
          <w:sz w:val="24"/>
          <w:szCs w:val="24"/>
          <w:lang w:val="en-US"/>
        </w:rPr>
      </w:pPr>
      <w:proofErr w:type="gramStart"/>
      <w:r w:rsidRPr="00905499">
        <w:rPr>
          <w:rFonts w:ascii="Times New Roman" w:hAnsi="Times New Roman"/>
          <w:sz w:val="24"/>
          <w:szCs w:val="24"/>
          <w:lang w:val="en-US"/>
        </w:rPr>
        <w:t>Marks, G., &amp; Long, M. (2000).</w:t>
      </w:r>
      <w:proofErr w:type="gramEnd"/>
      <w:r w:rsidRPr="00905499">
        <w:rPr>
          <w:rFonts w:ascii="Times New Roman" w:hAnsi="Times New Roman"/>
          <w:sz w:val="24"/>
          <w:szCs w:val="24"/>
          <w:lang w:val="en-US"/>
        </w:rPr>
        <w:t xml:space="preserve"> </w:t>
      </w:r>
      <w:r w:rsidRPr="00905499">
        <w:rPr>
          <w:rFonts w:ascii="Times New Roman" w:hAnsi="Times New Roman"/>
          <w:i/>
          <w:iCs/>
          <w:sz w:val="24"/>
          <w:szCs w:val="24"/>
          <w:lang w:val="en-US"/>
        </w:rPr>
        <w:t>Weighting the 1995 Year 9 Cohort sample for differential response rates and sample attrition: Technical paper No. 15</w:t>
      </w:r>
      <w:r w:rsidRPr="00905499">
        <w:rPr>
          <w:rFonts w:ascii="Times New Roman" w:hAnsi="Times New Roman"/>
          <w:sz w:val="24"/>
          <w:szCs w:val="24"/>
          <w:lang w:val="en-US"/>
        </w:rPr>
        <w:t xml:space="preserve">. </w:t>
      </w:r>
      <w:proofErr w:type="gramStart"/>
      <w:r w:rsidRPr="00905499">
        <w:rPr>
          <w:rFonts w:ascii="Times New Roman" w:hAnsi="Times New Roman"/>
          <w:i/>
          <w:iCs/>
          <w:sz w:val="24"/>
          <w:szCs w:val="24"/>
          <w:lang w:val="en-US"/>
        </w:rPr>
        <w:t>LSAY Technical Reports</w:t>
      </w:r>
      <w:r w:rsidRPr="00905499">
        <w:rPr>
          <w:rFonts w:ascii="Times New Roman" w:hAnsi="Times New Roman"/>
          <w:sz w:val="24"/>
          <w:szCs w:val="24"/>
          <w:lang w:val="en-US"/>
        </w:rPr>
        <w:t>.</w:t>
      </w:r>
      <w:proofErr w:type="gramEnd"/>
      <w:r w:rsidRPr="00905499">
        <w:rPr>
          <w:rFonts w:ascii="Times New Roman" w:hAnsi="Times New Roman"/>
          <w:sz w:val="24"/>
          <w:szCs w:val="24"/>
          <w:lang w:val="en-US"/>
        </w:rPr>
        <w:t xml:space="preserve"> Melbourne. Retrieved from </w:t>
      </w:r>
      <w:hyperlink r:id="rId23" w:history="1">
        <w:r w:rsidRPr="00905499">
          <w:rPr>
            <w:rStyle w:val="Hyperlink"/>
            <w:rFonts w:ascii="Times New Roman" w:hAnsi="Times New Roman"/>
            <w:sz w:val="24"/>
            <w:szCs w:val="24"/>
            <w:lang w:val="en-US"/>
          </w:rPr>
          <w:t>http://research.acer.edu.au/cgi/viewcontent.cgi?article=1028&amp;context=lsay_technical</w:t>
        </w:r>
      </w:hyperlink>
    </w:p>
    <w:p w14:paraId="622F6206" w14:textId="77777777" w:rsidR="000439E3" w:rsidRPr="00905499" w:rsidRDefault="000439E3" w:rsidP="000439E3">
      <w:pPr>
        <w:spacing w:line="480" w:lineRule="auto"/>
        <w:ind w:left="426" w:hanging="426"/>
        <w:rPr>
          <w:rFonts w:ascii="Times New Roman" w:eastAsia="Times New Roman" w:hAnsi="Times New Roman" w:cs="Times New Roman"/>
          <w:lang w:val="en-US"/>
        </w:rPr>
      </w:pPr>
      <w:r w:rsidRPr="00905499">
        <w:rPr>
          <w:rFonts w:ascii="Times New Roman" w:eastAsia="Times New Roman" w:hAnsi="Times New Roman" w:cs="Times New Roman"/>
          <w:lang w:val="en-US"/>
        </w:rPr>
        <w:t xml:space="preserve">Morgan, S. L., &amp; Winship, C. (2014). </w:t>
      </w:r>
      <w:proofErr w:type="gramStart"/>
      <w:r w:rsidRPr="00905499">
        <w:rPr>
          <w:rFonts w:ascii="Times New Roman" w:eastAsia="Times New Roman" w:hAnsi="Times New Roman" w:cs="Times New Roman"/>
          <w:i/>
          <w:iCs/>
          <w:lang w:val="en-US"/>
        </w:rPr>
        <w:t>Counterfactuals and causal inference</w:t>
      </w:r>
      <w:r w:rsidRPr="00905499">
        <w:rPr>
          <w:rFonts w:ascii="Times New Roman" w:eastAsia="Times New Roman" w:hAnsi="Times New Roman" w:cs="Times New Roman"/>
          <w:lang w:val="en-US"/>
        </w:rPr>
        <w:t>.</w:t>
      </w:r>
      <w:proofErr w:type="gramEnd"/>
      <w:r w:rsidRPr="00905499">
        <w:rPr>
          <w:rFonts w:ascii="Times New Roman" w:eastAsia="Times New Roman" w:hAnsi="Times New Roman" w:cs="Times New Roman"/>
          <w:lang w:val="en-US"/>
        </w:rPr>
        <w:t xml:space="preserve"> Cambridge: Cambridge University Press.</w:t>
      </w:r>
    </w:p>
    <w:p w14:paraId="4ED06D46" w14:textId="77777777" w:rsidR="000439E3" w:rsidRDefault="000439E3" w:rsidP="000439E3">
      <w:pPr>
        <w:spacing w:line="480" w:lineRule="auto"/>
        <w:ind w:left="426" w:hanging="426"/>
        <w:rPr>
          <w:rFonts w:ascii="Times New Roman" w:eastAsia="Times New Roman" w:hAnsi="Times New Roman" w:cs="Times New Roman"/>
          <w:lang w:val="en-US"/>
        </w:rPr>
      </w:pPr>
      <w:proofErr w:type="spellStart"/>
      <w:proofErr w:type="gramStart"/>
      <w:r w:rsidRPr="00905499">
        <w:rPr>
          <w:rFonts w:ascii="Times New Roman" w:eastAsia="Times New Roman" w:hAnsi="Times New Roman" w:cs="Times New Roman"/>
          <w:lang w:val="en-US"/>
        </w:rPr>
        <w:lastRenderedPageBreak/>
        <w:t>Organisation</w:t>
      </w:r>
      <w:proofErr w:type="spellEnd"/>
      <w:r w:rsidRPr="00905499">
        <w:rPr>
          <w:rFonts w:ascii="Times New Roman" w:eastAsia="Times New Roman" w:hAnsi="Times New Roman" w:cs="Times New Roman"/>
          <w:lang w:val="en-US"/>
        </w:rPr>
        <w:t xml:space="preserve"> for Economic Co-operation and Development [OECD] (2004).</w:t>
      </w:r>
      <w:proofErr w:type="gramEnd"/>
      <w:r w:rsidRPr="00905499">
        <w:rPr>
          <w:rFonts w:ascii="Times New Roman" w:eastAsia="Times New Roman" w:hAnsi="Times New Roman" w:cs="Times New Roman"/>
          <w:lang w:val="en-US"/>
        </w:rPr>
        <w:t xml:space="preserve"> </w:t>
      </w:r>
      <w:proofErr w:type="gramStart"/>
      <w:r w:rsidRPr="00905499">
        <w:rPr>
          <w:rFonts w:ascii="Times New Roman" w:eastAsia="Times New Roman" w:hAnsi="Times New Roman" w:cs="Times New Roman"/>
          <w:i/>
          <w:lang w:val="en-US"/>
        </w:rPr>
        <w:t>PISA 2003 technical report.</w:t>
      </w:r>
      <w:proofErr w:type="gramEnd"/>
      <w:r w:rsidRPr="00905499">
        <w:rPr>
          <w:rFonts w:ascii="Times New Roman" w:eastAsia="Times New Roman" w:hAnsi="Times New Roman" w:cs="Times New Roman"/>
          <w:i/>
          <w:lang w:val="en-US"/>
        </w:rPr>
        <w:t xml:space="preserve"> </w:t>
      </w:r>
      <w:r w:rsidRPr="00905499">
        <w:rPr>
          <w:rFonts w:ascii="Times New Roman" w:eastAsia="Times New Roman" w:hAnsi="Times New Roman" w:cs="Times New Roman"/>
          <w:lang w:val="en-US"/>
        </w:rPr>
        <w:t xml:space="preserve">Paris: </w:t>
      </w:r>
      <w:proofErr w:type="spellStart"/>
      <w:r w:rsidRPr="00905499">
        <w:rPr>
          <w:rFonts w:ascii="Times New Roman" w:eastAsia="Times New Roman" w:hAnsi="Times New Roman" w:cs="Times New Roman"/>
          <w:lang w:val="en-US"/>
        </w:rPr>
        <w:t>Organisation</w:t>
      </w:r>
      <w:proofErr w:type="spellEnd"/>
      <w:r w:rsidRPr="00905499">
        <w:rPr>
          <w:rFonts w:ascii="Times New Roman" w:eastAsia="Times New Roman" w:hAnsi="Times New Roman" w:cs="Times New Roman"/>
          <w:lang w:val="en-US"/>
        </w:rPr>
        <w:t xml:space="preserve"> for Economic Co-operation and Development.</w:t>
      </w:r>
    </w:p>
    <w:p w14:paraId="28AC5DC7" w14:textId="3D9EB7E8" w:rsidR="00B031A0" w:rsidRDefault="00B031A0" w:rsidP="000439E3">
      <w:pPr>
        <w:spacing w:line="480" w:lineRule="auto"/>
        <w:ind w:left="426" w:hanging="426"/>
        <w:rPr>
          <w:rFonts w:ascii="Times New Roman" w:eastAsia="Times New Roman" w:hAnsi="Times New Roman" w:cs="Times New Roman"/>
          <w:i/>
        </w:rPr>
      </w:pPr>
      <w:proofErr w:type="gramStart"/>
      <w:r w:rsidRPr="00B031A0">
        <w:rPr>
          <w:rFonts w:ascii="Times New Roman" w:eastAsia="Times New Roman" w:hAnsi="Times New Roman" w:cs="Times New Roman"/>
        </w:rPr>
        <w:t>Parker, P.D., Bodkin-Andrew, G., Marsh, H.W., Jerrim, J., &amp; Schoon, I. (in press).</w:t>
      </w:r>
      <w:proofErr w:type="gramEnd"/>
      <w:r w:rsidRPr="00B031A0">
        <w:rPr>
          <w:rFonts w:ascii="Times New Roman" w:eastAsia="Times New Roman" w:hAnsi="Times New Roman" w:cs="Times New Roman"/>
        </w:rPr>
        <w:t xml:space="preserve"> Will Closing the Achievement Gap Solve the Problem? </w:t>
      </w:r>
      <w:proofErr w:type="gramStart"/>
      <w:r w:rsidRPr="00B031A0">
        <w:rPr>
          <w:rFonts w:ascii="Times New Roman" w:eastAsia="Times New Roman" w:hAnsi="Times New Roman" w:cs="Times New Roman"/>
        </w:rPr>
        <w:t>An Analysis of Primary and Secondary Effects for Indigenous University Entry.</w:t>
      </w:r>
      <w:proofErr w:type="gramEnd"/>
      <w:r w:rsidRPr="00B031A0">
        <w:rPr>
          <w:rFonts w:ascii="Times New Roman" w:eastAsia="Times New Roman" w:hAnsi="Times New Roman" w:cs="Times New Roman"/>
        </w:rPr>
        <w:t xml:space="preserve"> </w:t>
      </w:r>
      <w:proofErr w:type="gramStart"/>
      <w:r w:rsidRPr="00B031A0">
        <w:rPr>
          <w:rFonts w:ascii="Times New Roman" w:eastAsia="Times New Roman" w:hAnsi="Times New Roman" w:cs="Times New Roman"/>
          <w:i/>
        </w:rPr>
        <w:t>Journal of Sociology.</w:t>
      </w:r>
      <w:proofErr w:type="gramEnd"/>
    </w:p>
    <w:p w14:paraId="22A7AE73" w14:textId="277680E5" w:rsidR="00F92BBB" w:rsidRPr="00905499" w:rsidRDefault="00F92BBB" w:rsidP="000439E3">
      <w:pPr>
        <w:spacing w:line="480" w:lineRule="auto"/>
        <w:ind w:left="426" w:hanging="426"/>
        <w:rPr>
          <w:rFonts w:ascii="Times New Roman" w:eastAsia="Times New Roman" w:hAnsi="Times New Roman" w:cs="Times New Roman"/>
          <w:lang w:val="en-US"/>
        </w:rPr>
      </w:pPr>
      <w:proofErr w:type="gramStart"/>
      <w:r w:rsidRPr="00F92BBB">
        <w:rPr>
          <w:rFonts w:ascii="Times New Roman" w:eastAsia="Times New Roman" w:hAnsi="Times New Roman" w:cs="Times New Roman"/>
          <w:lang w:val="en-US"/>
        </w:rPr>
        <w:t>Parker</w:t>
      </w:r>
      <w:r w:rsidRPr="00F92BBB">
        <w:rPr>
          <w:rFonts w:ascii="Times New Roman" w:eastAsia="Times New Roman" w:hAnsi="Times New Roman" w:cs="Times New Roman"/>
          <w:b/>
          <w:lang w:val="en-US"/>
        </w:rPr>
        <w:t xml:space="preserve">, </w:t>
      </w:r>
      <w:r w:rsidRPr="00F92BBB">
        <w:rPr>
          <w:rFonts w:ascii="Times New Roman" w:eastAsia="Times New Roman" w:hAnsi="Times New Roman" w:cs="Times New Roman"/>
          <w:lang w:val="en-US"/>
        </w:rPr>
        <w:t xml:space="preserve">P.D., Thoemmes, F., Duinveld, J., &amp; </w:t>
      </w:r>
      <w:proofErr w:type="spellStart"/>
      <w:r w:rsidRPr="00F92BBB">
        <w:rPr>
          <w:rFonts w:ascii="Times New Roman" w:eastAsia="Times New Roman" w:hAnsi="Times New Roman" w:cs="Times New Roman"/>
          <w:lang w:val="en-US"/>
        </w:rPr>
        <w:t>Salmela-aro</w:t>
      </w:r>
      <w:proofErr w:type="spellEnd"/>
      <w:r w:rsidRPr="00F92BBB">
        <w:rPr>
          <w:rFonts w:ascii="Times New Roman" w:eastAsia="Times New Roman" w:hAnsi="Times New Roman" w:cs="Times New Roman"/>
          <w:lang w:val="en-US"/>
        </w:rPr>
        <w:t>, K. (2015).</w:t>
      </w:r>
      <w:proofErr w:type="gramEnd"/>
      <w:r w:rsidRPr="00F92BBB">
        <w:rPr>
          <w:rFonts w:ascii="Times New Roman" w:eastAsia="Times New Roman" w:hAnsi="Times New Roman" w:cs="Times New Roman"/>
          <w:lang w:val="en-US"/>
        </w:rPr>
        <w:t xml:space="preserve"> </w:t>
      </w:r>
      <w:r w:rsidRPr="00F92BBB">
        <w:rPr>
          <w:rFonts w:ascii="Times New Roman" w:eastAsia="Times New Roman" w:hAnsi="Times New Roman" w:cs="Times New Roman"/>
        </w:rPr>
        <w:t xml:space="preserve">I Wish I Had (Not) Taken a Gap-Year? The Psychological and Attainment Outcomes of Different Post-School Pathways. </w:t>
      </w:r>
      <w:proofErr w:type="gramStart"/>
      <w:r w:rsidRPr="00F92BBB">
        <w:rPr>
          <w:rFonts w:ascii="Times New Roman" w:eastAsia="Times New Roman" w:hAnsi="Times New Roman" w:cs="Times New Roman"/>
          <w:i/>
        </w:rPr>
        <w:t xml:space="preserve">Developmental Psychology, 51, </w:t>
      </w:r>
      <w:r w:rsidRPr="00F92BBB">
        <w:rPr>
          <w:rFonts w:ascii="Times New Roman" w:eastAsia="Times New Roman" w:hAnsi="Times New Roman" w:cs="Times New Roman"/>
        </w:rPr>
        <w:t>323-333</w:t>
      </w:r>
      <w:r w:rsidRPr="00F92BBB">
        <w:rPr>
          <w:rFonts w:ascii="Times New Roman" w:eastAsia="Times New Roman" w:hAnsi="Times New Roman" w:cs="Times New Roman"/>
          <w:i/>
        </w:rPr>
        <w:t>.</w:t>
      </w:r>
      <w:proofErr w:type="gramEnd"/>
    </w:p>
    <w:p w14:paraId="2CFD0241" w14:textId="77777777" w:rsidR="000439E3" w:rsidRPr="00905499" w:rsidRDefault="000439E3" w:rsidP="000439E3">
      <w:pPr>
        <w:pStyle w:val="NormalWeb"/>
        <w:spacing w:before="0" w:beforeAutospacing="0" w:after="0" w:afterAutospacing="0" w:line="480" w:lineRule="auto"/>
        <w:ind w:left="480" w:hanging="480"/>
        <w:rPr>
          <w:rFonts w:ascii="Times New Roman" w:hAnsi="Times New Roman"/>
          <w:sz w:val="24"/>
          <w:szCs w:val="24"/>
          <w:lang w:val="en-US"/>
        </w:rPr>
      </w:pPr>
      <w:r w:rsidRPr="00905499">
        <w:rPr>
          <w:rFonts w:ascii="Times New Roman" w:hAnsi="Times New Roman"/>
          <w:sz w:val="24"/>
          <w:szCs w:val="24"/>
          <w:lang w:val="en-US"/>
        </w:rPr>
        <w:t xml:space="preserve">Pegg, J., &amp; Panizzon, D. (2007). Schooling in rural and regional areas: Inequities in student achievement for literacy. </w:t>
      </w:r>
      <w:proofErr w:type="gramStart"/>
      <w:r w:rsidRPr="00905499">
        <w:rPr>
          <w:rFonts w:ascii="Times New Roman" w:hAnsi="Times New Roman"/>
          <w:i/>
          <w:iCs/>
          <w:sz w:val="24"/>
          <w:szCs w:val="24"/>
          <w:lang w:val="en-US"/>
        </w:rPr>
        <w:t>Australian Journal of Language and Literacy</w:t>
      </w:r>
      <w:r w:rsidRPr="00905499">
        <w:rPr>
          <w:rFonts w:ascii="Times New Roman" w:hAnsi="Times New Roman"/>
          <w:sz w:val="24"/>
          <w:szCs w:val="24"/>
          <w:lang w:val="en-US"/>
        </w:rPr>
        <w:t xml:space="preserve">, </w:t>
      </w:r>
      <w:r w:rsidRPr="00905499">
        <w:rPr>
          <w:rFonts w:ascii="Times New Roman" w:hAnsi="Times New Roman"/>
          <w:i/>
          <w:iCs/>
          <w:sz w:val="24"/>
          <w:szCs w:val="24"/>
          <w:lang w:val="en-US"/>
        </w:rPr>
        <w:t>30</w:t>
      </w:r>
      <w:r w:rsidRPr="00905499">
        <w:rPr>
          <w:rFonts w:ascii="Times New Roman" w:hAnsi="Times New Roman"/>
          <w:sz w:val="24"/>
          <w:szCs w:val="24"/>
          <w:lang w:val="en-US"/>
        </w:rPr>
        <w:t>, 177–190.</w:t>
      </w:r>
      <w:proofErr w:type="gramEnd"/>
      <w:r w:rsidRPr="00905499">
        <w:rPr>
          <w:rFonts w:ascii="Times New Roman" w:hAnsi="Times New Roman"/>
          <w:sz w:val="24"/>
          <w:szCs w:val="24"/>
          <w:lang w:val="en-US"/>
        </w:rPr>
        <w:t xml:space="preserve"> </w:t>
      </w:r>
    </w:p>
    <w:p w14:paraId="014C39B4" w14:textId="77777777" w:rsidR="000439E3" w:rsidRPr="00905499" w:rsidRDefault="000439E3" w:rsidP="000439E3">
      <w:pPr>
        <w:pStyle w:val="NormalWeb"/>
        <w:spacing w:before="0" w:beforeAutospacing="0" w:after="0" w:afterAutospacing="0" w:line="480" w:lineRule="auto"/>
        <w:ind w:left="480" w:hanging="480"/>
        <w:rPr>
          <w:rFonts w:ascii="Times New Roman" w:hAnsi="Times New Roman"/>
          <w:sz w:val="24"/>
          <w:szCs w:val="24"/>
          <w:lang w:val="en-US"/>
        </w:rPr>
      </w:pPr>
      <w:r w:rsidRPr="00905499">
        <w:rPr>
          <w:rFonts w:ascii="Times New Roman" w:hAnsi="Times New Roman"/>
          <w:sz w:val="24"/>
          <w:szCs w:val="24"/>
          <w:lang w:val="en-US"/>
        </w:rPr>
        <w:t xml:space="preserve">Petrin, R. A., Farmer, T. W., Meece, J. L., &amp; Byun, S. Y. (2011). </w:t>
      </w:r>
      <w:proofErr w:type="gramStart"/>
      <w:r w:rsidRPr="00905499">
        <w:rPr>
          <w:rFonts w:ascii="Times New Roman" w:hAnsi="Times New Roman"/>
          <w:sz w:val="24"/>
          <w:szCs w:val="24"/>
          <w:lang w:val="en-US"/>
        </w:rPr>
        <w:t>Interpersonal competence configurations, attachment to community, and residential aspirations of rural adolescents.</w:t>
      </w:r>
      <w:proofErr w:type="gramEnd"/>
      <w:r w:rsidRPr="00905499">
        <w:rPr>
          <w:rFonts w:ascii="Times New Roman" w:hAnsi="Times New Roman"/>
          <w:sz w:val="24"/>
          <w:szCs w:val="24"/>
          <w:lang w:val="en-US"/>
        </w:rPr>
        <w:t> </w:t>
      </w:r>
      <w:r w:rsidRPr="00905499">
        <w:rPr>
          <w:rFonts w:ascii="Times New Roman" w:hAnsi="Times New Roman"/>
          <w:i/>
          <w:iCs/>
          <w:sz w:val="24"/>
          <w:szCs w:val="24"/>
          <w:lang w:val="en-US"/>
        </w:rPr>
        <w:t>Journal of youth and adolescence</w:t>
      </w:r>
      <w:r w:rsidRPr="00905499">
        <w:rPr>
          <w:rFonts w:ascii="Times New Roman" w:hAnsi="Times New Roman"/>
          <w:sz w:val="24"/>
          <w:szCs w:val="24"/>
          <w:lang w:val="en-US"/>
        </w:rPr>
        <w:t>, </w:t>
      </w:r>
      <w:r w:rsidRPr="00905499">
        <w:rPr>
          <w:rFonts w:ascii="Times New Roman" w:hAnsi="Times New Roman"/>
          <w:i/>
          <w:iCs/>
          <w:sz w:val="24"/>
          <w:szCs w:val="24"/>
          <w:lang w:val="en-US"/>
        </w:rPr>
        <w:t>40</w:t>
      </w:r>
      <w:r w:rsidRPr="00905499">
        <w:rPr>
          <w:rFonts w:ascii="Times New Roman" w:hAnsi="Times New Roman"/>
          <w:sz w:val="24"/>
          <w:szCs w:val="24"/>
          <w:lang w:val="en-US"/>
        </w:rPr>
        <w:t>, 1091-1105.</w:t>
      </w:r>
    </w:p>
    <w:p w14:paraId="644E69CF" w14:textId="77777777" w:rsidR="000439E3" w:rsidRPr="00905499" w:rsidRDefault="000439E3" w:rsidP="000439E3">
      <w:pPr>
        <w:pStyle w:val="NormalWeb"/>
        <w:spacing w:before="0" w:beforeAutospacing="0" w:after="0" w:afterAutospacing="0" w:line="480" w:lineRule="auto"/>
        <w:ind w:left="480" w:hanging="480"/>
        <w:rPr>
          <w:rFonts w:ascii="Times New Roman" w:hAnsi="Times New Roman"/>
          <w:bCs/>
          <w:sz w:val="24"/>
          <w:szCs w:val="24"/>
          <w:lang w:val="en-US"/>
        </w:rPr>
      </w:pPr>
      <w:r w:rsidRPr="00905499">
        <w:rPr>
          <w:rFonts w:ascii="Times New Roman" w:hAnsi="Times New Roman"/>
          <w:sz w:val="24"/>
          <w:szCs w:val="24"/>
          <w:lang w:val="en-US"/>
        </w:rPr>
        <w:t xml:space="preserve">Rivera, L. (2011). </w:t>
      </w:r>
      <w:r w:rsidRPr="00905499">
        <w:rPr>
          <w:rFonts w:ascii="Times New Roman" w:hAnsi="Times New Roman"/>
          <w:bCs/>
          <w:sz w:val="24"/>
          <w:szCs w:val="24"/>
          <w:lang w:val="en-US"/>
        </w:rPr>
        <w:t xml:space="preserve">Ivies, </w:t>
      </w:r>
      <w:proofErr w:type="spellStart"/>
      <w:r w:rsidRPr="00905499">
        <w:rPr>
          <w:rFonts w:ascii="Times New Roman" w:hAnsi="Times New Roman"/>
          <w:bCs/>
          <w:sz w:val="24"/>
          <w:szCs w:val="24"/>
          <w:lang w:val="en-US"/>
        </w:rPr>
        <w:t>extracurriculars</w:t>
      </w:r>
      <w:proofErr w:type="spellEnd"/>
      <w:r w:rsidRPr="00905499">
        <w:rPr>
          <w:rFonts w:ascii="Times New Roman" w:hAnsi="Times New Roman"/>
          <w:bCs/>
          <w:sz w:val="24"/>
          <w:szCs w:val="24"/>
          <w:lang w:val="en-US"/>
        </w:rPr>
        <w:t xml:space="preserve">, and exclusion: Elite employers’ use of educational credentials. </w:t>
      </w:r>
      <w:proofErr w:type="gramStart"/>
      <w:r w:rsidRPr="00905499">
        <w:rPr>
          <w:rFonts w:ascii="Times New Roman" w:hAnsi="Times New Roman"/>
          <w:bCs/>
          <w:i/>
          <w:sz w:val="24"/>
          <w:szCs w:val="24"/>
          <w:lang w:val="en-US"/>
        </w:rPr>
        <w:t>Research in Social Stratification and Mobility</w:t>
      </w:r>
      <w:r w:rsidRPr="00905499">
        <w:rPr>
          <w:rFonts w:ascii="Times New Roman" w:hAnsi="Times New Roman"/>
          <w:bCs/>
          <w:sz w:val="24"/>
          <w:szCs w:val="24"/>
          <w:lang w:val="en-US"/>
        </w:rPr>
        <w:t xml:space="preserve"> 29, 71-90.</w:t>
      </w:r>
      <w:proofErr w:type="gramEnd"/>
    </w:p>
    <w:p w14:paraId="2F3E059D" w14:textId="77777777" w:rsidR="000439E3" w:rsidRPr="00905499" w:rsidRDefault="000439E3" w:rsidP="000439E3">
      <w:pPr>
        <w:pStyle w:val="NormalWeb"/>
        <w:spacing w:before="0" w:beforeAutospacing="0" w:after="0" w:afterAutospacing="0" w:line="480" w:lineRule="auto"/>
        <w:ind w:left="480" w:hanging="480"/>
        <w:rPr>
          <w:rFonts w:ascii="Times New Roman" w:hAnsi="Times New Roman"/>
          <w:sz w:val="24"/>
          <w:szCs w:val="24"/>
          <w:lang w:val="en-US"/>
        </w:rPr>
      </w:pPr>
      <w:r w:rsidRPr="00905499">
        <w:rPr>
          <w:rFonts w:ascii="Times New Roman" w:hAnsi="Times New Roman"/>
          <w:sz w:val="24"/>
          <w:szCs w:val="24"/>
          <w:lang w:val="en-US"/>
        </w:rPr>
        <w:t xml:space="preserve">Sampson R. (2008) Moving to Inequality: Neighborhood Effects and Experiments Meet Social Structure. </w:t>
      </w:r>
      <w:proofErr w:type="gramStart"/>
      <w:r w:rsidRPr="00905499">
        <w:rPr>
          <w:rFonts w:ascii="Times New Roman" w:hAnsi="Times New Roman"/>
          <w:i/>
          <w:iCs/>
          <w:sz w:val="24"/>
          <w:szCs w:val="24"/>
          <w:lang w:val="en-US"/>
        </w:rPr>
        <w:t>American Journal of Sociology</w:t>
      </w:r>
      <w:r w:rsidRPr="00905499">
        <w:rPr>
          <w:rFonts w:ascii="Times New Roman" w:hAnsi="Times New Roman"/>
          <w:sz w:val="24"/>
          <w:szCs w:val="24"/>
          <w:lang w:val="en-US"/>
        </w:rPr>
        <w:t xml:space="preserve">, </w:t>
      </w:r>
      <w:r w:rsidRPr="00905499">
        <w:rPr>
          <w:rFonts w:ascii="Times New Roman" w:hAnsi="Times New Roman"/>
          <w:i/>
          <w:sz w:val="24"/>
          <w:szCs w:val="24"/>
          <w:lang w:val="en-US"/>
        </w:rPr>
        <w:t>114</w:t>
      </w:r>
      <w:r w:rsidRPr="00905499">
        <w:rPr>
          <w:rFonts w:ascii="Times New Roman" w:hAnsi="Times New Roman"/>
          <w:sz w:val="24"/>
          <w:szCs w:val="24"/>
          <w:lang w:val="en-US"/>
        </w:rPr>
        <w:t>, 189-231.</w:t>
      </w:r>
      <w:proofErr w:type="gramEnd"/>
    </w:p>
    <w:p w14:paraId="796A2E0D" w14:textId="77777777" w:rsidR="000439E3" w:rsidRPr="00905499" w:rsidRDefault="000439E3" w:rsidP="000439E3">
      <w:pPr>
        <w:pStyle w:val="NormalWeb"/>
        <w:spacing w:before="0" w:beforeAutospacing="0" w:after="0" w:afterAutospacing="0" w:line="480" w:lineRule="auto"/>
        <w:ind w:left="480" w:hanging="480"/>
        <w:rPr>
          <w:rFonts w:ascii="Times New Roman" w:hAnsi="Times New Roman"/>
          <w:sz w:val="24"/>
          <w:szCs w:val="24"/>
          <w:lang w:val="en-US"/>
        </w:rPr>
      </w:pPr>
      <w:proofErr w:type="gramStart"/>
      <w:r w:rsidRPr="00905499">
        <w:rPr>
          <w:rFonts w:ascii="Times New Roman" w:hAnsi="Times New Roman"/>
          <w:sz w:val="24"/>
          <w:szCs w:val="24"/>
          <w:lang w:val="en-US"/>
        </w:rPr>
        <w:t>Savickas, M. L. (2005).</w:t>
      </w:r>
      <w:proofErr w:type="gramEnd"/>
      <w:r w:rsidRPr="00905499">
        <w:rPr>
          <w:rFonts w:ascii="Times New Roman" w:hAnsi="Times New Roman"/>
          <w:sz w:val="24"/>
          <w:szCs w:val="24"/>
          <w:lang w:val="en-US"/>
        </w:rPr>
        <w:t xml:space="preserve"> </w:t>
      </w:r>
      <w:proofErr w:type="gramStart"/>
      <w:r w:rsidRPr="00905499">
        <w:rPr>
          <w:rFonts w:ascii="Times New Roman" w:hAnsi="Times New Roman"/>
          <w:sz w:val="24"/>
          <w:szCs w:val="24"/>
          <w:lang w:val="en-US"/>
        </w:rPr>
        <w:t>The theory and practice of career construction.</w:t>
      </w:r>
      <w:proofErr w:type="gramEnd"/>
      <w:r w:rsidRPr="00905499">
        <w:rPr>
          <w:rFonts w:ascii="Times New Roman" w:hAnsi="Times New Roman"/>
          <w:sz w:val="24"/>
          <w:szCs w:val="24"/>
          <w:lang w:val="en-US"/>
        </w:rPr>
        <w:t xml:space="preserve"> In R. W. Lent &amp; S. D. Brown (Eds.), </w:t>
      </w:r>
      <w:r w:rsidRPr="00905499">
        <w:rPr>
          <w:rFonts w:ascii="Times New Roman" w:hAnsi="Times New Roman"/>
          <w:i/>
          <w:sz w:val="24"/>
          <w:szCs w:val="24"/>
          <w:lang w:val="en-US"/>
        </w:rPr>
        <w:t>Career development and counseling: Putting theory and research to work</w:t>
      </w:r>
      <w:r w:rsidRPr="00905499">
        <w:rPr>
          <w:rFonts w:ascii="Times New Roman" w:hAnsi="Times New Roman"/>
          <w:sz w:val="24"/>
          <w:szCs w:val="24"/>
          <w:lang w:val="en-US"/>
        </w:rPr>
        <w:t xml:space="preserve"> (pp. 42–70). Hoboken, NJ: Wiley.</w:t>
      </w:r>
    </w:p>
    <w:p w14:paraId="797596A4" w14:textId="77777777" w:rsidR="000439E3" w:rsidRPr="00905499" w:rsidRDefault="000439E3" w:rsidP="000439E3">
      <w:pPr>
        <w:pStyle w:val="NormalWeb"/>
        <w:spacing w:before="0" w:beforeAutospacing="0" w:after="0" w:afterAutospacing="0" w:line="480" w:lineRule="auto"/>
        <w:ind w:left="480" w:hanging="480"/>
        <w:rPr>
          <w:rFonts w:ascii="Times New Roman" w:hAnsi="Times New Roman"/>
          <w:sz w:val="24"/>
          <w:szCs w:val="24"/>
          <w:lang w:val="en-US"/>
        </w:rPr>
      </w:pPr>
      <w:bookmarkStart w:id="1" w:name="_ENREF_22"/>
      <w:r w:rsidRPr="00905499">
        <w:rPr>
          <w:rFonts w:ascii="Times New Roman" w:hAnsi="Times New Roman"/>
          <w:sz w:val="24"/>
          <w:szCs w:val="24"/>
          <w:lang w:val="en-US"/>
        </w:rPr>
        <w:t xml:space="preserve">Savickas, M. L., &amp; Porfeli, E. J. (2011). Revision of the Career Maturity Inventory: The Adaptability Form. </w:t>
      </w:r>
      <w:proofErr w:type="gramStart"/>
      <w:r w:rsidRPr="00905499">
        <w:rPr>
          <w:rFonts w:ascii="Times New Roman" w:hAnsi="Times New Roman"/>
          <w:i/>
          <w:sz w:val="24"/>
          <w:szCs w:val="24"/>
          <w:lang w:val="en-US"/>
        </w:rPr>
        <w:t>Journal of Career Assessment, 19</w:t>
      </w:r>
      <w:r w:rsidRPr="00905499">
        <w:rPr>
          <w:rFonts w:ascii="Times New Roman" w:hAnsi="Times New Roman"/>
          <w:sz w:val="24"/>
          <w:szCs w:val="24"/>
          <w:lang w:val="en-US"/>
        </w:rPr>
        <w:t>, 355-374.</w:t>
      </w:r>
      <w:proofErr w:type="gramEnd"/>
      <w:r w:rsidRPr="00905499">
        <w:rPr>
          <w:rFonts w:ascii="Times New Roman" w:hAnsi="Times New Roman"/>
          <w:sz w:val="24"/>
          <w:szCs w:val="24"/>
          <w:lang w:val="en-US"/>
        </w:rPr>
        <w:t xml:space="preserve"> </w:t>
      </w:r>
      <w:proofErr w:type="spellStart"/>
      <w:proofErr w:type="gramStart"/>
      <w:r w:rsidRPr="00905499">
        <w:rPr>
          <w:rFonts w:ascii="Times New Roman" w:hAnsi="Times New Roman"/>
          <w:sz w:val="24"/>
          <w:szCs w:val="24"/>
          <w:lang w:val="en-US"/>
        </w:rPr>
        <w:t>doi</w:t>
      </w:r>
      <w:proofErr w:type="spellEnd"/>
      <w:proofErr w:type="gramEnd"/>
      <w:r w:rsidRPr="00905499">
        <w:rPr>
          <w:rFonts w:ascii="Times New Roman" w:hAnsi="Times New Roman"/>
          <w:sz w:val="24"/>
          <w:szCs w:val="24"/>
          <w:lang w:val="en-US"/>
        </w:rPr>
        <w:t>: 10.1177/1069072711409342</w:t>
      </w:r>
      <w:bookmarkEnd w:id="1"/>
    </w:p>
    <w:p w14:paraId="2F20FD67" w14:textId="77777777" w:rsidR="000439E3" w:rsidRPr="00905499" w:rsidRDefault="000439E3" w:rsidP="000439E3">
      <w:pPr>
        <w:pStyle w:val="NormalWeb"/>
        <w:spacing w:before="0" w:beforeAutospacing="0" w:after="0" w:afterAutospacing="0" w:line="480" w:lineRule="auto"/>
        <w:ind w:left="480" w:hanging="480"/>
        <w:rPr>
          <w:rFonts w:ascii="Times New Roman" w:hAnsi="Times New Roman"/>
          <w:sz w:val="24"/>
          <w:szCs w:val="24"/>
          <w:lang w:val="en-US"/>
        </w:rPr>
      </w:pPr>
      <w:r w:rsidRPr="00905499">
        <w:rPr>
          <w:rFonts w:ascii="Times New Roman" w:hAnsi="Times New Roman"/>
          <w:sz w:val="24"/>
          <w:szCs w:val="24"/>
          <w:lang w:val="en-US"/>
        </w:rPr>
        <w:lastRenderedPageBreak/>
        <w:t xml:space="preserve">Sameroff, A. (2010). A unified theory of development: A dialectic integration of nature and nurture. </w:t>
      </w:r>
      <w:proofErr w:type="gramStart"/>
      <w:r w:rsidRPr="00905499">
        <w:rPr>
          <w:rFonts w:ascii="Times New Roman" w:hAnsi="Times New Roman"/>
          <w:i/>
          <w:sz w:val="24"/>
          <w:szCs w:val="24"/>
          <w:lang w:val="en-US"/>
        </w:rPr>
        <w:t>Child Development, 81,</w:t>
      </w:r>
      <w:r w:rsidRPr="00905499">
        <w:rPr>
          <w:rFonts w:ascii="Times New Roman" w:hAnsi="Times New Roman"/>
          <w:sz w:val="24"/>
          <w:szCs w:val="24"/>
          <w:lang w:val="en-US"/>
        </w:rPr>
        <w:t xml:space="preserve"> 6-22.</w:t>
      </w:r>
      <w:proofErr w:type="gramEnd"/>
      <w:r w:rsidRPr="00905499">
        <w:rPr>
          <w:rFonts w:ascii="Times New Roman" w:hAnsi="Times New Roman"/>
          <w:sz w:val="24"/>
          <w:szCs w:val="24"/>
          <w:lang w:val="en-US"/>
        </w:rPr>
        <w:t xml:space="preserve"> </w:t>
      </w:r>
      <w:proofErr w:type="gramStart"/>
      <w:r w:rsidRPr="00905499">
        <w:rPr>
          <w:rFonts w:ascii="Times New Roman" w:hAnsi="Times New Roman"/>
          <w:sz w:val="24"/>
          <w:szCs w:val="24"/>
          <w:lang w:val="en-US"/>
        </w:rPr>
        <w:t>doi:10.1111</w:t>
      </w:r>
      <w:proofErr w:type="gramEnd"/>
      <w:r w:rsidRPr="00905499">
        <w:rPr>
          <w:rFonts w:ascii="Times New Roman" w:hAnsi="Times New Roman"/>
          <w:sz w:val="24"/>
          <w:szCs w:val="24"/>
          <w:lang w:val="en-US"/>
        </w:rPr>
        <w:t>/j.1467-8624.2009.01378.x</w:t>
      </w:r>
    </w:p>
    <w:p w14:paraId="1FA61A95" w14:textId="77777777" w:rsidR="000439E3" w:rsidRPr="00905499" w:rsidRDefault="000439E3" w:rsidP="000439E3">
      <w:pPr>
        <w:pStyle w:val="NormalWeb"/>
        <w:spacing w:before="0" w:beforeAutospacing="0" w:after="0" w:afterAutospacing="0" w:line="480" w:lineRule="auto"/>
        <w:ind w:left="482" w:hanging="482"/>
        <w:rPr>
          <w:rFonts w:ascii="Times New Roman" w:hAnsi="Times New Roman"/>
          <w:sz w:val="24"/>
          <w:szCs w:val="24"/>
          <w:lang w:val="en-US"/>
        </w:rPr>
      </w:pPr>
      <w:r w:rsidRPr="00905499">
        <w:rPr>
          <w:rFonts w:ascii="Times New Roman" w:hAnsi="Times New Roman"/>
          <w:sz w:val="24"/>
          <w:szCs w:val="24"/>
          <w:lang w:val="en-US"/>
        </w:rPr>
        <w:t>Schneider, B. L., &amp; Stevenson, D. (1999). </w:t>
      </w:r>
      <w:r w:rsidRPr="00905499">
        <w:rPr>
          <w:rFonts w:ascii="Times New Roman" w:hAnsi="Times New Roman"/>
          <w:i/>
          <w:iCs/>
          <w:sz w:val="24"/>
          <w:szCs w:val="24"/>
          <w:lang w:val="en-US"/>
        </w:rPr>
        <w:t>The ambitious generation: America's teenagers, motivated but directionless</w:t>
      </w:r>
      <w:r w:rsidRPr="00905499">
        <w:rPr>
          <w:rFonts w:ascii="Times New Roman" w:hAnsi="Times New Roman"/>
          <w:sz w:val="24"/>
          <w:szCs w:val="24"/>
          <w:lang w:val="en-US"/>
        </w:rPr>
        <w:t>. New Haven: Yale University Press.</w:t>
      </w:r>
    </w:p>
    <w:p w14:paraId="42568884" w14:textId="77777777" w:rsidR="000439E3" w:rsidRPr="00905499" w:rsidRDefault="000439E3" w:rsidP="000439E3">
      <w:pPr>
        <w:pStyle w:val="NormalWeb"/>
        <w:spacing w:before="0" w:beforeAutospacing="0" w:after="0" w:afterAutospacing="0" w:line="480" w:lineRule="auto"/>
        <w:ind w:left="482" w:hanging="482"/>
        <w:rPr>
          <w:rFonts w:ascii="Times New Roman" w:hAnsi="Times New Roman"/>
          <w:sz w:val="24"/>
          <w:szCs w:val="24"/>
          <w:lang w:val="en-US"/>
        </w:rPr>
      </w:pPr>
      <w:proofErr w:type="gramStart"/>
      <w:r w:rsidRPr="00905499">
        <w:rPr>
          <w:rFonts w:ascii="Times New Roman" w:hAnsi="Times New Roman"/>
          <w:sz w:val="24"/>
          <w:szCs w:val="24"/>
          <w:lang w:val="en-US"/>
        </w:rPr>
        <w:t>Sewell, W. H., Haller, A. O., &amp; Ohlendorf, G. W. (1970).</w:t>
      </w:r>
      <w:proofErr w:type="gramEnd"/>
      <w:r w:rsidRPr="00905499">
        <w:rPr>
          <w:rFonts w:ascii="Times New Roman" w:hAnsi="Times New Roman"/>
          <w:sz w:val="24"/>
          <w:szCs w:val="24"/>
          <w:lang w:val="en-US"/>
        </w:rPr>
        <w:t xml:space="preserve"> The educational and early occupational status attainment process: Replication and revision. </w:t>
      </w:r>
      <w:proofErr w:type="gramStart"/>
      <w:r w:rsidRPr="00905499">
        <w:rPr>
          <w:rFonts w:ascii="Times New Roman" w:hAnsi="Times New Roman"/>
          <w:i/>
          <w:iCs/>
          <w:sz w:val="24"/>
          <w:szCs w:val="24"/>
          <w:lang w:val="en-US"/>
        </w:rPr>
        <w:t>American Sociological Review</w:t>
      </w:r>
      <w:r w:rsidRPr="00905499">
        <w:rPr>
          <w:rFonts w:ascii="Times New Roman" w:hAnsi="Times New Roman"/>
          <w:sz w:val="24"/>
          <w:szCs w:val="24"/>
          <w:lang w:val="en-US"/>
        </w:rPr>
        <w:t>, 1014-1027.</w:t>
      </w:r>
      <w:proofErr w:type="gramEnd"/>
    </w:p>
    <w:p w14:paraId="0CC0073F" w14:textId="77777777" w:rsidR="000439E3" w:rsidRPr="00905499" w:rsidRDefault="000439E3" w:rsidP="000439E3">
      <w:pPr>
        <w:pStyle w:val="NormalWeb"/>
        <w:spacing w:before="0" w:beforeAutospacing="0" w:after="0" w:afterAutospacing="0" w:line="480" w:lineRule="auto"/>
        <w:ind w:left="480" w:hanging="480"/>
        <w:rPr>
          <w:rFonts w:ascii="Times New Roman" w:hAnsi="Times New Roman"/>
          <w:i/>
          <w:iCs/>
          <w:sz w:val="24"/>
          <w:szCs w:val="24"/>
          <w:lang w:val="en-US"/>
        </w:rPr>
      </w:pPr>
      <w:proofErr w:type="gramStart"/>
      <w:r w:rsidRPr="00905499">
        <w:rPr>
          <w:rFonts w:ascii="Times New Roman" w:hAnsi="Times New Roman"/>
          <w:sz w:val="24"/>
          <w:szCs w:val="24"/>
          <w:lang w:val="en-US"/>
        </w:rPr>
        <w:t>Tinto, V. (1973).</w:t>
      </w:r>
      <w:proofErr w:type="gramEnd"/>
      <w:r w:rsidRPr="00905499">
        <w:rPr>
          <w:rFonts w:ascii="Times New Roman" w:hAnsi="Times New Roman"/>
          <w:sz w:val="24"/>
          <w:szCs w:val="24"/>
          <w:lang w:val="en-US"/>
        </w:rPr>
        <w:t xml:space="preserve"> </w:t>
      </w:r>
      <w:proofErr w:type="gramStart"/>
      <w:r w:rsidRPr="00905499">
        <w:rPr>
          <w:rFonts w:ascii="Times New Roman" w:hAnsi="Times New Roman"/>
          <w:sz w:val="24"/>
          <w:szCs w:val="24"/>
          <w:lang w:val="en-US"/>
        </w:rPr>
        <w:t>College proximity and rates of college attendance.</w:t>
      </w:r>
      <w:proofErr w:type="gramEnd"/>
      <w:r w:rsidRPr="00905499">
        <w:rPr>
          <w:rFonts w:ascii="Times New Roman" w:hAnsi="Times New Roman"/>
          <w:sz w:val="24"/>
          <w:szCs w:val="24"/>
          <w:lang w:val="en-US"/>
        </w:rPr>
        <w:t xml:space="preserve"> </w:t>
      </w:r>
      <w:proofErr w:type="gramStart"/>
      <w:r w:rsidRPr="00905499">
        <w:rPr>
          <w:rFonts w:ascii="Times New Roman" w:hAnsi="Times New Roman"/>
          <w:i/>
          <w:iCs/>
          <w:sz w:val="24"/>
          <w:szCs w:val="24"/>
          <w:lang w:val="en-US"/>
        </w:rPr>
        <w:t>American Educational Research Journal</w:t>
      </w:r>
      <w:r w:rsidRPr="00905499">
        <w:rPr>
          <w:rFonts w:ascii="Times New Roman" w:hAnsi="Times New Roman"/>
          <w:sz w:val="24"/>
          <w:szCs w:val="24"/>
          <w:lang w:val="en-US"/>
        </w:rPr>
        <w:t xml:space="preserve">, </w:t>
      </w:r>
      <w:r w:rsidRPr="00905499">
        <w:rPr>
          <w:rFonts w:ascii="Times New Roman" w:hAnsi="Times New Roman"/>
          <w:i/>
          <w:iCs/>
          <w:sz w:val="24"/>
          <w:szCs w:val="24"/>
          <w:lang w:val="en-US"/>
        </w:rPr>
        <w:t>10</w:t>
      </w:r>
      <w:r w:rsidRPr="00905499">
        <w:rPr>
          <w:rFonts w:ascii="Times New Roman" w:hAnsi="Times New Roman"/>
          <w:sz w:val="24"/>
          <w:szCs w:val="24"/>
          <w:lang w:val="en-US"/>
        </w:rPr>
        <w:t>, 277–293.</w:t>
      </w:r>
      <w:proofErr w:type="gramEnd"/>
      <w:r w:rsidRPr="00905499">
        <w:rPr>
          <w:rFonts w:ascii="Times New Roman" w:hAnsi="Times New Roman"/>
          <w:sz w:val="24"/>
          <w:szCs w:val="24"/>
          <w:lang w:val="en-US"/>
        </w:rPr>
        <w:t xml:space="preserve"> http://doi.org/10.3102/00028312010004277</w:t>
      </w:r>
    </w:p>
    <w:p w14:paraId="3DE2C6D1" w14:textId="77777777" w:rsidR="000439E3" w:rsidRPr="00905499" w:rsidRDefault="000439E3" w:rsidP="000439E3">
      <w:pPr>
        <w:pStyle w:val="NormalWeb"/>
        <w:spacing w:before="0" w:beforeAutospacing="0" w:after="0" w:afterAutospacing="0" w:line="480" w:lineRule="auto"/>
        <w:ind w:left="480" w:hanging="480"/>
        <w:rPr>
          <w:rFonts w:ascii="Times New Roman" w:hAnsi="Times New Roman"/>
          <w:sz w:val="24"/>
          <w:szCs w:val="24"/>
          <w:lang w:val="en-US"/>
        </w:rPr>
      </w:pPr>
      <w:r w:rsidRPr="00905499">
        <w:rPr>
          <w:rFonts w:ascii="Times New Roman" w:hAnsi="Times New Roman"/>
          <w:sz w:val="24"/>
          <w:szCs w:val="24"/>
          <w:lang w:val="en-US"/>
        </w:rPr>
        <w:t xml:space="preserve">Turley, R. N. L. (2009). College Proximity: Mapping access to opportunity. </w:t>
      </w:r>
      <w:proofErr w:type="gramStart"/>
      <w:r w:rsidRPr="00905499">
        <w:rPr>
          <w:rFonts w:ascii="Times New Roman" w:hAnsi="Times New Roman"/>
          <w:i/>
          <w:iCs/>
          <w:sz w:val="24"/>
          <w:szCs w:val="24"/>
          <w:lang w:val="en-US"/>
        </w:rPr>
        <w:t>Sociology of Education</w:t>
      </w:r>
      <w:r w:rsidRPr="00905499">
        <w:rPr>
          <w:rFonts w:ascii="Times New Roman" w:hAnsi="Times New Roman"/>
          <w:sz w:val="24"/>
          <w:szCs w:val="24"/>
          <w:lang w:val="en-US"/>
        </w:rPr>
        <w:t xml:space="preserve">, </w:t>
      </w:r>
      <w:r w:rsidRPr="00905499">
        <w:rPr>
          <w:rFonts w:ascii="Times New Roman" w:hAnsi="Times New Roman"/>
          <w:i/>
          <w:iCs/>
          <w:sz w:val="24"/>
          <w:szCs w:val="24"/>
          <w:lang w:val="en-US"/>
        </w:rPr>
        <w:t>82</w:t>
      </w:r>
      <w:r w:rsidRPr="00905499">
        <w:rPr>
          <w:rFonts w:ascii="Times New Roman" w:hAnsi="Times New Roman"/>
          <w:sz w:val="24"/>
          <w:szCs w:val="24"/>
          <w:lang w:val="en-US"/>
        </w:rPr>
        <w:t>, 126–146.</w:t>
      </w:r>
      <w:proofErr w:type="gramEnd"/>
      <w:r w:rsidRPr="00905499">
        <w:rPr>
          <w:rFonts w:ascii="Times New Roman" w:hAnsi="Times New Roman"/>
          <w:sz w:val="24"/>
          <w:szCs w:val="24"/>
          <w:lang w:val="en-US"/>
        </w:rPr>
        <w:t xml:space="preserve"> </w:t>
      </w:r>
      <w:hyperlink r:id="rId24" w:history="1">
        <w:r w:rsidRPr="00905499">
          <w:rPr>
            <w:rStyle w:val="Hyperlink"/>
            <w:rFonts w:ascii="Times New Roman" w:hAnsi="Times New Roman"/>
            <w:sz w:val="24"/>
            <w:szCs w:val="24"/>
            <w:lang w:val="en-US"/>
          </w:rPr>
          <w:t>http://doi.org/10.1177/003804070908200202</w:t>
        </w:r>
      </w:hyperlink>
    </w:p>
    <w:p w14:paraId="3FF20BFA" w14:textId="77777777" w:rsidR="000439E3" w:rsidRPr="00905499" w:rsidRDefault="000439E3" w:rsidP="000439E3">
      <w:pPr>
        <w:pStyle w:val="NormalWeb"/>
        <w:spacing w:before="0" w:beforeAutospacing="0" w:after="0" w:afterAutospacing="0" w:line="480" w:lineRule="auto"/>
        <w:ind w:left="480" w:hanging="480"/>
        <w:rPr>
          <w:rFonts w:ascii="Times New Roman" w:hAnsi="Times New Roman"/>
          <w:sz w:val="24"/>
          <w:szCs w:val="24"/>
          <w:lang w:val="en-US"/>
        </w:rPr>
      </w:pPr>
      <w:r w:rsidRPr="00905499">
        <w:rPr>
          <w:rFonts w:ascii="Times New Roman" w:hAnsi="Times New Roman"/>
          <w:sz w:val="24"/>
          <w:szCs w:val="24"/>
          <w:lang w:val="en-US"/>
        </w:rPr>
        <w:t xml:space="preserve">Vondracek, F. W., &amp; Porfeli, E. J. (2008). Social contexts for career guidance throughout the world: Developmental-contextual perspectives on career cross the lifespan. In J. A. </w:t>
      </w:r>
      <w:proofErr w:type="spellStart"/>
      <w:r w:rsidRPr="00905499">
        <w:rPr>
          <w:rFonts w:ascii="Times New Roman" w:hAnsi="Times New Roman"/>
          <w:sz w:val="24"/>
          <w:szCs w:val="24"/>
          <w:lang w:val="en-US"/>
        </w:rPr>
        <w:t>Athanasou</w:t>
      </w:r>
      <w:proofErr w:type="spellEnd"/>
      <w:r w:rsidRPr="00905499">
        <w:rPr>
          <w:rFonts w:ascii="Times New Roman" w:hAnsi="Times New Roman"/>
          <w:sz w:val="24"/>
          <w:szCs w:val="24"/>
          <w:lang w:val="en-US"/>
        </w:rPr>
        <w:t xml:space="preserve"> &amp; R. van </w:t>
      </w:r>
      <w:proofErr w:type="spellStart"/>
      <w:r w:rsidRPr="00905499">
        <w:rPr>
          <w:rFonts w:ascii="Times New Roman" w:hAnsi="Times New Roman"/>
          <w:sz w:val="24"/>
          <w:szCs w:val="24"/>
          <w:lang w:val="en-US"/>
        </w:rPr>
        <w:t>Esbroeck</w:t>
      </w:r>
      <w:proofErr w:type="spellEnd"/>
      <w:r w:rsidRPr="00905499">
        <w:rPr>
          <w:rFonts w:ascii="Times New Roman" w:hAnsi="Times New Roman"/>
          <w:sz w:val="24"/>
          <w:szCs w:val="24"/>
          <w:lang w:val="en-US"/>
        </w:rPr>
        <w:t xml:space="preserve"> (Eds.), </w:t>
      </w:r>
      <w:r w:rsidRPr="00905499">
        <w:rPr>
          <w:rFonts w:ascii="Times New Roman" w:hAnsi="Times New Roman"/>
          <w:i/>
          <w:sz w:val="24"/>
          <w:szCs w:val="24"/>
          <w:lang w:val="en-US"/>
        </w:rPr>
        <w:t xml:space="preserve">International handbook of career guidance </w:t>
      </w:r>
      <w:r w:rsidRPr="00905499">
        <w:rPr>
          <w:rFonts w:ascii="Times New Roman" w:hAnsi="Times New Roman"/>
          <w:sz w:val="24"/>
          <w:szCs w:val="24"/>
          <w:lang w:val="en-US"/>
        </w:rPr>
        <w:t>(pp. 209–225). New York: Springer.</w:t>
      </w:r>
    </w:p>
    <w:p w14:paraId="43C25DAC" w14:textId="77777777" w:rsidR="000439E3" w:rsidRPr="00905499" w:rsidRDefault="000439E3" w:rsidP="000439E3">
      <w:pPr>
        <w:pStyle w:val="NormalWeb"/>
        <w:spacing w:before="0" w:beforeAutospacing="0" w:after="0" w:afterAutospacing="0" w:line="480" w:lineRule="auto"/>
        <w:ind w:left="480" w:hanging="480"/>
        <w:rPr>
          <w:rFonts w:ascii="Times New Roman" w:hAnsi="Times New Roman"/>
          <w:sz w:val="24"/>
          <w:szCs w:val="24"/>
          <w:lang w:val="en-US"/>
        </w:rPr>
      </w:pPr>
      <w:proofErr w:type="gramStart"/>
      <w:r w:rsidRPr="00905499">
        <w:rPr>
          <w:rFonts w:ascii="Times New Roman" w:hAnsi="Times New Roman"/>
          <w:sz w:val="24"/>
          <w:szCs w:val="24"/>
          <w:lang w:val="en-US"/>
        </w:rPr>
        <w:t>Weber, B., Jensen, L., Miller, K., Mosley, J. &amp; Fisher, M. (2005).</w:t>
      </w:r>
      <w:proofErr w:type="gramEnd"/>
      <w:r w:rsidRPr="00905499">
        <w:rPr>
          <w:rFonts w:ascii="Times New Roman" w:hAnsi="Times New Roman"/>
          <w:sz w:val="24"/>
          <w:szCs w:val="24"/>
          <w:lang w:val="en-US"/>
        </w:rPr>
        <w:t xml:space="preserve"> A critical review of rural poverty literature: Is there truly a rural effect? </w:t>
      </w:r>
      <w:proofErr w:type="gramStart"/>
      <w:r w:rsidRPr="00905499">
        <w:rPr>
          <w:rFonts w:ascii="Times New Roman" w:hAnsi="Times New Roman"/>
          <w:i/>
          <w:iCs/>
          <w:sz w:val="24"/>
          <w:szCs w:val="24"/>
          <w:lang w:val="en-US"/>
        </w:rPr>
        <w:t>International Regional Science Review</w:t>
      </w:r>
      <w:r w:rsidRPr="00905499">
        <w:rPr>
          <w:rFonts w:ascii="Times New Roman" w:hAnsi="Times New Roman"/>
          <w:sz w:val="24"/>
          <w:szCs w:val="24"/>
          <w:lang w:val="en-US"/>
        </w:rPr>
        <w:t xml:space="preserve">, </w:t>
      </w:r>
      <w:r w:rsidRPr="00905499">
        <w:rPr>
          <w:rFonts w:ascii="Times New Roman" w:hAnsi="Times New Roman"/>
          <w:i/>
          <w:iCs/>
          <w:sz w:val="24"/>
          <w:szCs w:val="24"/>
          <w:lang w:val="en-US"/>
        </w:rPr>
        <w:t>28</w:t>
      </w:r>
      <w:r w:rsidRPr="00905499">
        <w:rPr>
          <w:rFonts w:ascii="Times New Roman" w:hAnsi="Times New Roman"/>
          <w:sz w:val="24"/>
          <w:szCs w:val="24"/>
          <w:lang w:val="en-US"/>
        </w:rPr>
        <w:t>, 381–414.</w:t>
      </w:r>
      <w:proofErr w:type="gramEnd"/>
      <w:r w:rsidRPr="00905499">
        <w:rPr>
          <w:rFonts w:ascii="Times New Roman" w:hAnsi="Times New Roman"/>
          <w:sz w:val="24"/>
          <w:szCs w:val="24"/>
          <w:lang w:val="en-US"/>
        </w:rPr>
        <w:t xml:space="preserve"> http://doi.org/10.1177/0160017605278996. </w:t>
      </w:r>
    </w:p>
    <w:p w14:paraId="12905FE3" w14:textId="77777777" w:rsidR="000439E3" w:rsidRPr="00905499" w:rsidRDefault="000439E3" w:rsidP="000439E3">
      <w:pPr>
        <w:pStyle w:val="NormalWeb"/>
        <w:spacing w:before="0" w:beforeAutospacing="0" w:after="0" w:afterAutospacing="0" w:line="480" w:lineRule="auto"/>
        <w:ind w:left="480" w:hanging="480"/>
        <w:rPr>
          <w:rFonts w:ascii="Times New Roman" w:hAnsi="Times New Roman"/>
          <w:sz w:val="24"/>
          <w:szCs w:val="24"/>
          <w:lang w:val="en-US"/>
        </w:rPr>
      </w:pPr>
      <w:r w:rsidRPr="00905499">
        <w:rPr>
          <w:rFonts w:ascii="Times New Roman" w:hAnsi="Times New Roman"/>
          <w:sz w:val="24"/>
          <w:szCs w:val="24"/>
          <w:lang w:val="en-US"/>
        </w:rPr>
        <w:t xml:space="preserve">Young, R. A., Marshall, S. K., Domene, J. F., Graham, M., Logan, C., </w:t>
      </w:r>
      <w:proofErr w:type="spellStart"/>
      <w:r w:rsidRPr="00905499">
        <w:rPr>
          <w:rFonts w:ascii="Times New Roman" w:hAnsi="Times New Roman"/>
          <w:sz w:val="24"/>
          <w:szCs w:val="24"/>
          <w:lang w:val="en-US"/>
        </w:rPr>
        <w:t>Zaidman-Zait</w:t>
      </w:r>
      <w:proofErr w:type="spellEnd"/>
      <w:r w:rsidRPr="00905499">
        <w:rPr>
          <w:rFonts w:ascii="Times New Roman" w:hAnsi="Times New Roman"/>
          <w:sz w:val="24"/>
          <w:szCs w:val="24"/>
          <w:lang w:val="en-US"/>
        </w:rPr>
        <w:t xml:space="preserve">, A., et al. (2008). Transition to adulthood as a parent–youth project: Governance transfer, career promotion, and relational processes. </w:t>
      </w:r>
      <w:proofErr w:type="gramStart"/>
      <w:r w:rsidRPr="00905499">
        <w:rPr>
          <w:rFonts w:ascii="Times New Roman" w:hAnsi="Times New Roman"/>
          <w:i/>
          <w:sz w:val="24"/>
          <w:szCs w:val="24"/>
          <w:lang w:val="en-US"/>
        </w:rPr>
        <w:t>Journal of Counseling Psychology, 55</w:t>
      </w:r>
      <w:r w:rsidRPr="00905499">
        <w:rPr>
          <w:rFonts w:ascii="Times New Roman" w:hAnsi="Times New Roman"/>
          <w:sz w:val="24"/>
          <w:szCs w:val="24"/>
          <w:lang w:val="en-US"/>
        </w:rPr>
        <w:t>, 297-307.</w:t>
      </w:r>
      <w:proofErr w:type="gramEnd"/>
      <w:r w:rsidRPr="00905499">
        <w:rPr>
          <w:rFonts w:ascii="Times New Roman" w:hAnsi="Times New Roman"/>
          <w:sz w:val="24"/>
          <w:szCs w:val="24"/>
          <w:lang w:val="en-US"/>
        </w:rPr>
        <w:t xml:space="preserve"> </w:t>
      </w:r>
      <w:proofErr w:type="spellStart"/>
      <w:proofErr w:type="gramStart"/>
      <w:r w:rsidRPr="00905499">
        <w:rPr>
          <w:rFonts w:ascii="Times New Roman" w:hAnsi="Times New Roman"/>
          <w:sz w:val="24"/>
          <w:szCs w:val="24"/>
          <w:lang w:val="en-US"/>
        </w:rPr>
        <w:t>doi</w:t>
      </w:r>
      <w:proofErr w:type="spellEnd"/>
      <w:proofErr w:type="gramEnd"/>
      <w:r w:rsidRPr="00905499">
        <w:rPr>
          <w:rFonts w:ascii="Times New Roman" w:hAnsi="Times New Roman"/>
          <w:sz w:val="24"/>
          <w:szCs w:val="24"/>
          <w:lang w:val="en-US"/>
        </w:rPr>
        <w:t>: 10.1037/0022-0167.55.3.297</w:t>
      </w:r>
    </w:p>
    <w:p w14:paraId="47BB371E" w14:textId="77777777" w:rsidR="000439E3" w:rsidRPr="00905499" w:rsidRDefault="000439E3" w:rsidP="000439E3">
      <w:pPr>
        <w:pStyle w:val="NormalWeb"/>
        <w:spacing w:before="0" w:beforeAutospacing="0" w:after="0" w:afterAutospacing="0" w:line="480" w:lineRule="auto"/>
        <w:ind w:left="482" w:hanging="482"/>
        <w:rPr>
          <w:rFonts w:ascii="Times New Roman" w:hAnsi="Times New Roman"/>
          <w:sz w:val="24"/>
          <w:szCs w:val="24"/>
          <w:lang w:val="en-US"/>
        </w:rPr>
      </w:pPr>
      <w:r w:rsidRPr="00905499">
        <w:rPr>
          <w:rFonts w:ascii="Times New Roman" w:hAnsi="Times New Roman"/>
          <w:sz w:val="24"/>
          <w:szCs w:val="24"/>
          <w:lang w:val="en-US"/>
        </w:rPr>
        <w:lastRenderedPageBreak/>
        <w:t xml:space="preserve">Young, R. A., Valach, L., Ball, J., </w:t>
      </w:r>
      <w:proofErr w:type="spellStart"/>
      <w:r w:rsidRPr="00905499">
        <w:rPr>
          <w:rFonts w:ascii="Times New Roman" w:hAnsi="Times New Roman"/>
          <w:sz w:val="24"/>
          <w:szCs w:val="24"/>
          <w:lang w:val="en-US"/>
        </w:rPr>
        <w:t>Paseluikho</w:t>
      </w:r>
      <w:proofErr w:type="spellEnd"/>
      <w:r w:rsidRPr="00905499">
        <w:rPr>
          <w:rFonts w:ascii="Times New Roman" w:hAnsi="Times New Roman"/>
          <w:sz w:val="24"/>
          <w:szCs w:val="24"/>
          <w:lang w:val="en-US"/>
        </w:rPr>
        <w:t xml:space="preserve">, M. A., Wong, Y. S., </w:t>
      </w:r>
      <w:proofErr w:type="spellStart"/>
      <w:r w:rsidRPr="00905499">
        <w:rPr>
          <w:rFonts w:ascii="Times New Roman" w:hAnsi="Times New Roman"/>
          <w:sz w:val="24"/>
          <w:szCs w:val="24"/>
          <w:lang w:val="en-US"/>
        </w:rPr>
        <w:t>DeVries</w:t>
      </w:r>
      <w:proofErr w:type="spellEnd"/>
      <w:r w:rsidRPr="00905499">
        <w:rPr>
          <w:rFonts w:ascii="Times New Roman" w:hAnsi="Times New Roman"/>
          <w:sz w:val="24"/>
          <w:szCs w:val="24"/>
          <w:lang w:val="en-US"/>
        </w:rPr>
        <w:t xml:space="preserve">, R. J., et al. (2001). </w:t>
      </w:r>
      <w:proofErr w:type="gramStart"/>
      <w:r w:rsidRPr="00905499">
        <w:rPr>
          <w:rFonts w:ascii="Times New Roman" w:hAnsi="Times New Roman"/>
          <w:sz w:val="24"/>
          <w:szCs w:val="24"/>
          <w:lang w:val="en-US"/>
        </w:rPr>
        <w:t>Career development in adolescence as a family project.</w:t>
      </w:r>
      <w:proofErr w:type="gramEnd"/>
      <w:r w:rsidRPr="00905499">
        <w:rPr>
          <w:rFonts w:ascii="Times New Roman" w:hAnsi="Times New Roman"/>
          <w:sz w:val="24"/>
          <w:szCs w:val="24"/>
          <w:lang w:val="en-US"/>
        </w:rPr>
        <w:t xml:space="preserve"> </w:t>
      </w:r>
      <w:proofErr w:type="gramStart"/>
      <w:r w:rsidRPr="00905499">
        <w:rPr>
          <w:rFonts w:ascii="Times New Roman" w:hAnsi="Times New Roman"/>
          <w:i/>
          <w:sz w:val="24"/>
          <w:szCs w:val="24"/>
          <w:lang w:val="en-US"/>
        </w:rPr>
        <w:t>Journal of Counseling Psychology, 48</w:t>
      </w:r>
      <w:r w:rsidRPr="00905499">
        <w:rPr>
          <w:rFonts w:ascii="Times New Roman" w:hAnsi="Times New Roman"/>
          <w:sz w:val="24"/>
          <w:szCs w:val="24"/>
          <w:lang w:val="en-US"/>
        </w:rPr>
        <w:t>, 190-202.</w:t>
      </w:r>
      <w:proofErr w:type="gramEnd"/>
      <w:r w:rsidRPr="00905499">
        <w:rPr>
          <w:rFonts w:ascii="Times New Roman" w:hAnsi="Times New Roman"/>
          <w:sz w:val="24"/>
          <w:szCs w:val="24"/>
          <w:lang w:val="en-US"/>
        </w:rPr>
        <w:t xml:space="preserve"> </w:t>
      </w:r>
      <w:proofErr w:type="spellStart"/>
      <w:proofErr w:type="gramStart"/>
      <w:r w:rsidRPr="00905499">
        <w:rPr>
          <w:rFonts w:ascii="Times New Roman" w:hAnsi="Times New Roman"/>
          <w:sz w:val="24"/>
          <w:szCs w:val="24"/>
          <w:lang w:val="en-US"/>
        </w:rPr>
        <w:t>doi</w:t>
      </w:r>
      <w:proofErr w:type="spellEnd"/>
      <w:proofErr w:type="gramEnd"/>
      <w:r w:rsidRPr="00905499">
        <w:rPr>
          <w:rFonts w:ascii="Times New Roman" w:hAnsi="Times New Roman"/>
          <w:sz w:val="24"/>
          <w:szCs w:val="24"/>
          <w:lang w:val="en-US"/>
        </w:rPr>
        <w:t>: 10.1037//0022-0167.48.2.190</w:t>
      </w:r>
    </w:p>
    <w:p w14:paraId="256D04D4" w14:textId="77777777" w:rsidR="000C45FE" w:rsidRPr="00905499" w:rsidRDefault="000C45FE" w:rsidP="0046297E">
      <w:pPr>
        <w:pStyle w:val="NormalWeb"/>
        <w:spacing w:before="0" w:beforeAutospacing="0" w:after="0" w:afterAutospacing="0" w:line="480" w:lineRule="auto"/>
        <w:rPr>
          <w:rFonts w:ascii="Times New Roman" w:hAnsi="Times New Roman"/>
          <w:lang w:val="en-US"/>
        </w:rPr>
      </w:pPr>
    </w:p>
    <w:p w14:paraId="625EEF7D" w14:textId="77777777" w:rsidR="000C45FE" w:rsidRPr="00905499" w:rsidRDefault="000C45FE" w:rsidP="00A70C37">
      <w:pPr>
        <w:pStyle w:val="NormalWeb"/>
        <w:spacing w:before="0" w:beforeAutospacing="0" w:after="0" w:afterAutospacing="0" w:line="480" w:lineRule="auto"/>
        <w:ind w:left="480" w:hanging="480"/>
        <w:rPr>
          <w:rFonts w:ascii="Times New Roman" w:hAnsi="Times New Roman"/>
          <w:lang w:val="en-US"/>
        </w:rPr>
      </w:pPr>
    </w:p>
    <w:p w14:paraId="6F166A45" w14:textId="49F7CD6E" w:rsidR="000C45FE" w:rsidRPr="00905499" w:rsidRDefault="000C45FE" w:rsidP="000C45FE">
      <w:pPr>
        <w:pStyle w:val="NormalWeb"/>
        <w:spacing w:before="0" w:beforeAutospacing="0" w:after="0" w:afterAutospacing="0" w:line="480" w:lineRule="auto"/>
        <w:ind w:left="480" w:hanging="480"/>
        <w:jc w:val="center"/>
        <w:rPr>
          <w:rFonts w:ascii="Times New Roman" w:hAnsi="Times New Roman"/>
          <w:b/>
          <w:sz w:val="24"/>
          <w:szCs w:val="24"/>
          <w:lang w:val="en-US"/>
        </w:rPr>
      </w:pPr>
      <w:r w:rsidRPr="00905499">
        <w:rPr>
          <w:rFonts w:ascii="Times New Roman" w:hAnsi="Times New Roman"/>
          <w:b/>
          <w:sz w:val="24"/>
          <w:szCs w:val="24"/>
          <w:lang w:val="en-US"/>
        </w:rPr>
        <w:t>Tables and Figures</w:t>
      </w:r>
    </w:p>
    <w:p w14:paraId="48DE9A32" w14:textId="77777777" w:rsidR="000C45FE" w:rsidRPr="00905499" w:rsidRDefault="000C45FE" w:rsidP="000C45FE">
      <w:pPr>
        <w:rPr>
          <w:b/>
          <w:lang w:val="en-US"/>
        </w:rPr>
      </w:pPr>
      <w:r w:rsidRPr="00905499">
        <w:rPr>
          <w:b/>
          <w:lang w:val="en-US"/>
        </w:rPr>
        <w:t>Table 1</w:t>
      </w:r>
    </w:p>
    <w:p w14:paraId="1ECE4BCE" w14:textId="77777777" w:rsidR="000C45FE" w:rsidRPr="00905499" w:rsidRDefault="000C45FE" w:rsidP="000C45FE">
      <w:pPr>
        <w:rPr>
          <w:lang w:val="en-US"/>
        </w:rPr>
      </w:pPr>
      <w:r w:rsidRPr="00905499">
        <w:rPr>
          <w:lang w:val="en-US"/>
        </w:rPr>
        <w:t xml:space="preserve">Distance </w:t>
      </w:r>
      <w:proofErr w:type="spellStart"/>
      <w:r w:rsidRPr="00905499">
        <w:rPr>
          <w:lang w:val="en-US"/>
        </w:rPr>
        <w:t>Quantiles</w:t>
      </w:r>
      <w:proofErr w:type="spellEnd"/>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1"/>
        <w:gridCol w:w="816"/>
        <w:gridCol w:w="811"/>
        <w:gridCol w:w="811"/>
        <w:gridCol w:w="964"/>
        <w:gridCol w:w="811"/>
        <w:gridCol w:w="732"/>
        <w:gridCol w:w="752"/>
      </w:tblGrid>
      <w:tr w:rsidR="000C45FE" w:rsidRPr="00905499" w14:paraId="73FFFA8F" w14:textId="77777777" w:rsidTr="00611FB1">
        <w:trPr>
          <w:trHeight w:val="215"/>
        </w:trPr>
        <w:tc>
          <w:tcPr>
            <w:tcW w:w="2976" w:type="dxa"/>
            <w:vMerge w:val="restart"/>
            <w:tcBorders>
              <w:top w:val="single" w:sz="12" w:space="0" w:color="auto"/>
            </w:tcBorders>
            <w:vAlign w:val="bottom"/>
          </w:tcPr>
          <w:p w14:paraId="6B3ED6EE" w14:textId="77777777" w:rsidR="000C45FE" w:rsidRPr="00905499" w:rsidRDefault="000C45FE" w:rsidP="00611FB1">
            <w:pPr>
              <w:rPr>
                <w:sz w:val="18"/>
                <w:szCs w:val="18"/>
                <w:lang w:val="en-US"/>
              </w:rPr>
            </w:pPr>
            <w:r w:rsidRPr="00905499">
              <w:rPr>
                <w:sz w:val="18"/>
                <w:szCs w:val="18"/>
                <w:lang w:val="en-US"/>
              </w:rPr>
              <w:t>Distance Measures</w:t>
            </w:r>
          </w:p>
        </w:tc>
        <w:tc>
          <w:tcPr>
            <w:tcW w:w="5911" w:type="dxa"/>
            <w:gridSpan w:val="7"/>
            <w:tcBorders>
              <w:top w:val="single" w:sz="12" w:space="0" w:color="auto"/>
              <w:bottom w:val="single" w:sz="4" w:space="0" w:color="auto"/>
            </w:tcBorders>
          </w:tcPr>
          <w:p w14:paraId="64C85208" w14:textId="77777777" w:rsidR="000C45FE" w:rsidRPr="00905499" w:rsidRDefault="000C45FE" w:rsidP="00611FB1">
            <w:pPr>
              <w:jc w:val="center"/>
              <w:rPr>
                <w:sz w:val="18"/>
                <w:szCs w:val="18"/>
                <w:lang w:val="en-US"/>
              </w:rPr>
            </w:pPr>
            <w:proofErr w:type="spellStart"/>
            <w:r w:rsidRPr="00905499">
              <w:rPr>
                <w:sz w:val="18"/>
                <w:szCs w:val="18"/>
                <w:lang w:val="en-US"/>
              </w:rPr>
              <w:t>Quantiles</w:t>
            </w:r>
            <w:proofErr w:type="spellEnd"/>
          </w:p>
        </w:tc>
      </w:tr>
      <w:tr w:rsidR="000C45FE" w:rsidRPr="00905499" w14:paraId="7E6E22FF" w14:textId="77777777" w:rsidTr="00611FB1">
        <w:trPr>
          <w:trHeight w:val="215"/>
        </w:trPr>
        <w:tc>
          <w:tcPr>
            <w:tcW w:w="2976" w:type="dxa"/>
            <w:vMerge/>
            <w:tcBorders>
              <w:bottom w:val="single" w:sz="4" w:space="0" w:color="auto"/>
            </w:tcBorders>
          </w:tcPr>
          <w:p w14:paraId="3E3C313E" w14:textId="77777777" w:rsidR="000C45FE" w:rsidRPr="00905499" w:rsidRDefault="000C45FE" w:rsidP="00611FB1">
            <w:pPr>
              <w:rPr>
                <w:lang w:val="en-US"/>
              </w:rPr>
            </w:pPr>
          </w:p>
        </w:tc>
        <w:tc>
          <w:tcPr>
            <w:tcW w:w="851" w:type="dxa"/>
            <w:tcBorders>
              <w:top w:val="single" w:sz="4" w:space="0" w:color="auto"/>
              <w:bottom w:val="single" w:sz="4" w:space="0" w:color="auto"/>
            </w:tcBorders>
          </w:tcPr>
          <w:p w14:paraId="2639E394" w14:textId="77777777" w:rsidR="000C45FE" w:rsidRPr="00905499" w:rsidRDefault="000C45FE" w:rsidP="00611FB1">
            <w:pPr>
              <w:rPr>
                <w:sz w:val="18"/>
                <w:szCs w:val="18"/>
                <w:lang w:val="en-US"/>
              </w:rPr>
            </w:pPr>
            <w:r w:rsidRPr="00905499">
              <w:rPr>
                <w:sz w:val="18"/>
                <w:szCs w:val="18"/>
                <w:lang w:val="en-US"/>
              </w:rPr>
              <w:t>2.5%</w:t>
            </w:r>
          </w:p>
        </w:tc>
        <w:tc>
          <w:tcPr>
            <w:tcW w:w="851" w:type="dxa"/>
            <w:tcBorders>
              <w:top w:val="single" w:sz="4" w:space="0" w:color="auto"/>
              <w:bottom w:val="single" w:sz="4" w:space="0" w:color="auto"/>
            </w:tcBorders>
          </w:tcPr>
          <w:p w14:paraId="15DC6641" w14:textId="77777777" w:rsidR="000C45FE" w:rsidRPr="00905499" w:rsidRDefault="000C45FE" w:rsidP="00611FB1">
            <w:pPr>
              <w:rPr>
                <w:sz w:val="18"/>
                <w:szCs w:val="18"/>
                <w:lang w:val="en-US"/>
              </w:rPr>
            </w:pPr>
            <w:r w:rsidRPr="00905499">
              <w:rPr>
                <w:sz w:val="18"/>
                <w:szCs w:val="18"/>
                <w:lang w:val="en-US"/>
              </w:rPr>
              <w:t>10%</w:t>
            </w:r>
          </w:p>
        </w:tc>
        <w:tc>
          <w:tcPr>
            <w:tcW w:w="850" w:type="dxa"/>
            <w:tcBorders>
              <w:top w:val="single" w:sz="4" w:space="0" w:color="auto"/>
              <w:bottom w:val="single" w:sz="4" w:space="0" w:color="auto"/>
            </w:tcBorders>
          </w:tcPr>
          <w:p w14:paraId="434B9C03" w14:textId="77777777" w:rsidR="000C45FE" w:rsidRPr="00905499" w:rsidRDefault="000C45FE" w:rsidP="00611FB1">
            <w:pPr>
              <w:rPr>
                <w:sz w:val="18"/>
                <w:szCs w:val="18"/>
                <w:lang w:val="en-US"/>
              </w:rPr>
            </w:pPr>
            <w:r w:rsidRPr="00905499">
              <w:rPr>
                <w:sz w:val="18"/>
                <w:szCs w:val="18"/>
                <w:lang w:val="en-US"/>
              </w:rPr>
              <w:t>25%</w:t>
            </w:r>
          </w:p>
        </w:tc>
        <w:tc>
          <w:tcPr>
            <w:tcW w:w="993" w:type="dxa"/>
            <w:tcBorders>
              <w:top w:val="single" w:sz="4" w:space="0" w:color="auto"/>
              <w:bottom w:val="single" w:sz="4" w:space="0" w:color="auto"/>
            </w:tcBorders>
          </w:tcPr>
          <w:p w14:paraId="46ACF51C" w14:textId="77777777" w:rsidR="000C45FE" w:rsidRPr="00905499" w:rsidRDefault="000C45FE" w:rsidP="00611FB1">
            <w:pPr>
              <w:rPr>
                <w:sz w:val="18"/>
                <w:szCs w:val="18"/>
                <w:lang w:val="en-US"/>
              </w:rPr>
            </w:pPr>
            <w:r w:rsidRPr="00905499">
              <w:rPr>
                <w:sz w:val="18"/>
                <w:szCs w:val="18"/>
                <w:lang w:val="en-US"/>
              </w:rPr>
              <w:t>Median</w:t>
            </w:r>
          </w:p>
        </w:tc>
        <w:tc>
          <w:tcPr>
            <w:tcW w:w="850" w:type="dxa"/>
            <w:tcBorders>
              <w:top w:val="single" w:sz="4" w:space="0" w:color="auto"/>
              <w:bottom w:val="single" w:sz="4" w:space="0" w:color="auto"/>
            </w:tcBorders>
          </w:tcPr>
          <w:p w14:paraId="7443FABA" w14:textId="77777777" w:rsidR="000C45FE" w:rsidRPr="00905499" w:rsidRDefault="000C45FE" w:rsidP="00611FB1">
            <w:pPr>
              <w:rPr>
                <w:sz w:val="18"/>
                <w:szCs w:val="18"/>
                <w:lang w:val="en-US"/>
              </w:rPr>
            </w:pPr>
            <w:r w:rsidRPr="00905499">
              <w:rPr>
                <w:sz w:val="18"/>
                <w:szCs w:val="18"/>
                <w:lang w:val="en-US"/>
              </w:rPr>
              <w:t>75%</w:t>
            </w:r>
          </w:p>
        </w:tc>
        <w:tc>
          <w:tcPr>
            <w:tcW w:w="758" w:type="dxa"/>
            <w:tcBorders>
              <w:top w:val="single" w:sz="4" w:space="0" w:color="auto"/>
              <w:bottom w:val="single" w:sz="4" w:space="0" w:color="auto"/>
            </w:tcBorders>
          </w:tcPr>
          <w:p w14:paraId="6EF69D51" w14:textId="77777777" w:rsidR="000C45FE" w:rsidRPr="00905499" w:rsidRDefault="000C45FE" w:rsidP="00611FB1">
            <w:pPr>
              <w:rPr>
                <w:sz w:val="18"/>
                <w:szCs w:val="18"/>
                <w:lang w:val="en-US"/>
              </w:rPr>
            </w:pPr>
            <w:r w:rsidRPr="00905499">
              <w:rPr>
                <w:sz w:val="18"/>
                <w:szCs w:val="18"/>
                <w:lang w:val="en-US"/>
              </w:rPr>
              <w:t>90%</w:t>
            </w:r>
          </w:p>
        </w:tc>
        <w:tc>
          <w:tcPr>
            <w:tcW w:w="758" w:type="dxa"/>
            <w:tcBorders>
              <w:top w:val="single" w:sz="4" w:space="0" w:color="auto"/>
              <w:bottom w:val="single" w:sz="4" w:space="0" w:color="auto"/>
            </w:tcBorders>
          </w:tcPr>
          <w:p w14:paraId="05FE0E10" w14:textId="77777777" w:rsidR="000C45FE" w:rsidRPr="00905499" w:rsidRDefault="000C45FE" w:rsidP="00611FB1">
            <w:pPr>
              <w:rPr>
                <w:sz w:val="18"/>
                <w:szCs w:val="18"/>
                <w:lang w:val="en-US"/>
              </w:rPr>
            </w:pPr>
            <w:r w:rsidRPr="00905499">
              <w:rPr>
                <w:sz w:val="18"/>
                <w:szCs w:val="18"/>
                <w:lang w:val="en-US"/>
              </w:rPr>
              <w:t>97.5%</w:t>
            </w:r>
          </w:p>
        </w:tc>
      </w:tr>
      <w:tr w:rsidR="000C45FE" w:rsidRPr="00905499" w14:paraId="6CFDB7AF" w14:textId="77777777" w:rsidTr="00611FB1">
        <w:trPr>
          <w:trHeight w:val="329"/>
        </w:trPr>
        <w:tc>
          <w:tcPr>
            <w:tcW w:w="2976" w:type="dxa"/>
            <w:tcBorders>
              <w:top w:val="single" w:sz="4" w:space="0" w:color="auto"/>
            </w:tcBorders>
          </w:tcPr>
          <w:p w14:paraId="624190C3" w14:textId="77777777" w:rsidR="000C45FE" w:rsidRPr="00905499" w:rsidRDefault="000C45FE" w:rsidP="00611FB1">
            <w:pPr>
              <w:rPr>
                <w:lang w:val="en-US"/>
              </w:rPr>
            </w:pPr>
            <w:r w:rsidRPr="00905499">
              <w:rPr>
                <w:sz w:val="18"/>
                <w:szCs w:val="18"/>
                <w:lang w:val="en-US"/>
              </w:rPr>
              <w:t>Distance to a University (km)</w:t>
            </w:r>
          </w:p>
        </w:tc>
        <w:tc>
          <w:tcPr>
            <w:tcW w:w="851" w:type="dxa"/>
            <w:tcBorders>
              <w:top w:val="single" w:sz="4" w:space="0" w:color="auto"/>
            </w:tcBorders>
          </w:tcPr>
          <w:p w14:paraId="085B7A0F" w14:textId="77777777" w:rsidR="000C45FE" w:rsidRPr="00905499" w:rsidRDefault="000C45FE" w:rsidP="00611FB1">
            <w:pPr>
              <w:rPr>
                <w:sz w:val="18"/>
                <w:szCs w:val="18"/>
                <w:lang w:val="en-US"/>
              </w:rPr>
            </w:pPr>
            <w:r w:rsidRPr="00905499">
              <w:rPr>
                <w:sz w:val="18"/>
                <w:szCs w:val="18"/>
                <w:lang w:val="en-US"/>
              </w:rPr>
              <w:t>1</w:t>
            </w:r>
          </w:p>
        </w:tc>
        <w:tc>
          <w:tcPr>
            <w:tcW w:w="851" w:type="dxa"/>
            <w:tcBorders>
              <w:top w:val="single" w:sz="4" w:space="0" w:color="auto"/>
            </w:tcBorders>
          </w:tcPr>
          <w:p w14:paraId="38665689" w14:textId="77777777" w:rsidR="000C45FE" w:rsidRPr="00905499" w:rsidRDefault="000C45FE" w:rsidP="00611FB1">
            <w:pPr>
              <w:rPr>
                <w:sz w:val="18"/>
                <w:szCs w:val="18"/>
                <w:lang w:val="en-US"/>
              </w:rPr>
            </w:pPr>
            <w:r w:rsidRPr="00905499">
              <w:rPr>
                <w:sz w:val="18"/>
                <w:szCs w:val="18"/>
                <w:lang w:val="en-US"/>
              </w:rPr>
              <w:t>2</w:t>
            </w:r>
          </w:p>
        </w:tc>
        <w:tc>
          <w:tcPr>
            <w:tcW w:w="850" w:type="dxa"/>
            <w:tcBorders>
              <w:top w:val="single" w:sz="4" w:space="0" w:color="auto"/>
            </w:tcBorders>
          </w:tcPr>
          <w:p w14:paraId="49128B61" w14:textId="77777777" w:rsidR="000C45FE" w:rsidRPr="00905499" w:rsidRDefault="000C45FE" w:rsidP="00611FB1">
            <w:pPr>
              <w:rPr>
                <w:sz w:val="18"/>
                <w:szCs w:val="18"/>
                <w:lang w:val="en-US"/>
              </w:rPr>
            </w:pPr>
            <w:r w:rsidRPr="00905499">
              <w:rPr>
                <w:sz w:val="18"/>
                <w:szCs w:val="18"/>
                <w:lang w:val="en-US"/>
              </w:rPr>
              <w:t>4</w:t>
            </w:r>
          </w:p>
        </w:tc>
        <w:tc>
          <w:tcPr>
            <w:tcW w:w="993" w:type="dxa"/>
            <w:tcBorders>
              <w:top w:val="single" w:sz="4" w:space="0" w:color="auto"/>
            </w:tcBorders>
          </w:tcPr>
          <w:p w14:paraId="6779D842" w14:textId="77777777" w:rsidR="000C45FE" w:rsidRPr="00905499" w:rsidRDefault="000C45FE" w:rsidP="00611FB1">
            <w:pPr>
              <w:rPr>
                <w:sz w:val="18"/>
                <w:szCs w:val="18"/>
                <w:lang w:val="en-US"/>
              </w:rPr>
            </w:pPr>
            <w:r w:rsidRPr="00905499">
              <w:rPr>
                <w:sz w:val="18"/>
                <w:szCs w:val="18"/>
                <w:lang w:val="en-US"/>
              </w:rPr>
              <w:t>8</w:t>
            </w:r>
          </w:p>
        </w:tc>
        <w:tc>
          <w:tcPr>
            <w:tcW w:w="850" w:type="dxa"/>
            <w:tcBorders>
              <w:top w:val="single" w:sz="4" w:space="0" w:color="auto"/>
            </w:tcBorders>
          </w:tcPr>
          <w:p w14:paraId="486A5BE1" w14:textId="77777777" w:rsidR="000C45FE" w:rsidRPr="00905499" w:rsidRDefault="000C45FE" w:rsidP="00611FB1">
            <w:pPr>
              <w:rPr>
                <w:sz w:val="18"/>
                <w:szCs w:val="18"/>
                <w:lang w:val="en-US"/>
              </w:rPr>
            </w:pPr>
            <w:r w:rsidRPr="00905499">
              <w:rPr>
                <w:sz w:val="18"/>
                <w:szCs w:val="18"/>
                <w:lang w:val="en-US"/>
              </w:rPr>
              <w:t>21</w:t>
            </w:r>
          </w:p>
        </w:tc>
        <w:tc>
          <w:tcPr>
            <w:tcW w:w="758" w:type="dxa"/>
            <w:tcBorders>
              <w:top w:val="single" w:sz="4" w:space="0" w:color="auto"/>
            </w:tcBorders>
          </w:tcPr>
          <w:p w14:paraId="3353A2E7" w14:textId="77777777" w:rsidR="000C45FE" w:rsidRPr="00905499" w:rsidRDefault="000C45FE" w:rsidP="00611FB1">
            <w:pPr>
              <w:rPr>
                <w:sz w:val="18"/>
                <w:szCs w:val="18"/>
                <w:lang w:val="en-US"/>
              </w:rPr>
            </w:pPr>
            <w:r w:rsidRPr="00905499">
              <w:rPr>
                <w:sz w:val="18"/>
                <w:szCs w:val="18"/>
                <w:lang w:val="en-US"/>
              </w:rPr>
              <w:t>84</w:t>
            </w:r>
          </w:p>
        </w:tc>
        <w:tc>
          <w:tcPr>
            <w:tcW w:w="758" w:type="dxa"/>
            <w:tcBorders>
              <w:top w:val="single" w:sz="4" w:space="0" w:color="auto"/>
            </w:tcBorders>
          </w:tcPr>
          <w:p w14:paraId="2A9D3B6E" w14:textId="77777777" w:rsidR="000C45FE" w:rsidRPr="00905499" w:rsidRDefault="000C45FE" w:rsidP="00611FB1">
            <w:pPr>
              <w:rPr>
                <w:sz w:val="18"/>
                <w:szCs w:val="18"/>
                <w:lang w:val="en-US"/>
              </w:rPr>
            </w:pPr>
            <w:r w:rsidRPr="00905499">
              <w:rPr>
                <w:sz w:val="18"/>
                <w:szCs w:val="18"/>
                <w:lang w:val="en-US"/>
              </w:rPr>
              <w:t>194</w:t>
            </w:r>
          </w:p>
        </w:tc>
      </w:tr>
      <w:tr w:rsidR="000C45FE" w:rsidRPr="00905499" w14:paraId="7C885442" w14:textId="77777777" w:rsidTr="00611FB1">
        <w:trPr>
          <w:trHeight w:val="344"/>
        </w:trPr>
        <w:tc>
          <w:tcPr>
            <w:tcW w:w="2976" w:type="dxa"/>
          </w:tcPr>
          <w:p w14:paraId="5C7CB4C6" w14:textId="77777777" w:rsidR="000C45FE" w:rsidRPr="00905499" w:rsidRDefault="000C45FE" w:rsidP="00611FB1">
            <w:pPr>
              <w:rPr>
                <w:lang w:val="en-US"/>
              </w:rPr>
            </w:pPr>
            <w:r w:rsidRPr="00905499">
              <w:rPr>
                <w:sz w:val="18"/>
                <w:szCs w:val="18"/>
                <w:lang w:val="en-US"/>
              </w:rPr>
              <w:t>Distance to an Go8 (km)</w:t>
            </w:r>
          </w:p>
        </w:tc>
        <w:tc>
          <w:tcPr>
            <w:tcW w:w="851" w:type="dxa"/>
          </w:tcPr>
          <w:p w14:paraId="3730080A" w14:textId="77777777" w:rsidR="000C45FE" w:rsidRPr="00905499" w:rsidRDefault="000C45FE" w:rsidP="00611FB1">
            <w:pPr>
              <w:rPr>
                <w:sz w:val="18"/>
                <w:szCs w:val="18"/>
                <w:lang w:val="en-US"/>
              </w:rPr>
            </w:pPr>
            <w:r w:rsidRPr="00905499">
              <w:rPr>
                <w:sz w:val="18"/>
                <w:szCs w:val="18"/>
                <w:lang w:val="en-US"/>
              </w:rPr>
              <w:t>2</w:t>
            </w:r>
          </w:p>
        </w:tc>
        <w:tc>
          <w:tcPr>
            <w:tcW w:w="851" w:type="dxa"/>
          </w:tcPr>
          <w:p w14:paraId="48B147FE" w14:textId="77777777" w:rsidR="000C45FE" w:rsidRPr="00905499" w:rsidRDefault="000C45FE" w:rsidP="00611FB1">
            <w:pPr>
              <w:rPr>
                <w:sz w:val="18"/>
                <w:szCs w:val="18"/>
                <w:lang w:val="en-US"/>
              </w:rPr>
            </w:pPr>
            <w:r w:rsidRPr="00905499">
              <w:rPr>
                <w:sz w:val="18"/>
                <w:szCs w:val="18"/>
                <w:lang w:val="en-US"/>
              </w:rPr>
              <w:t>5</w:t>
            </w:r>
          </w:p>
        </w:tc>
        <w:tc>
          <w:tcPr>
            <w:tcW w:w="850" w:type="dxa"/>
          </w:tcPr>
          <w:p w14:paraId="5423A560" w14:textId="77777777" w:rsidR="000C45FE" w:rsidRPr="00905499" w:rsidRDefault="000C45FE" w:rsidP="00611FB1">
            <w:pPr>
              <w:rPr>
                <w:sz w:val="18"/>
                <w:szCs w:val="18"/>
                <w:lang w:val="en-US"/>
              </w:rPr>
            </w:pPr>
            <w:r w:rsidRPr="00905499">
              <w:rPr>
                <w:sz w:val="18"/>
                <w:szCs w:val="18"/>
                <w:lang w:val="en-US"/>
              </w:rPr>
              <w:t>12</w:t>
            </w:r>
          </w:p>
        </w:tc>
        <w:tc>
          <w:tcPr>
            <w:tcW w:w="993" w:type="dxa"/>
          </w:tcPr>
          <w:p w14:paraId="768C465D" w14:textId="77777777" w:rsidR="000C45FE" w:rsidRPr="00905499" w:rsidRDefault="000C45FE" w:rsidP="00611FB1">
            <w:pPr>
              <w:rPr>
                <w:sz w:val="18"/>
                <w:szCs w:val="18"/>
                <w:lang w:val="en-US"/>
              </w:rPr>
            </w:pPr>
            <w:r w:rsidRPr="00905499">
              <w:rPr>
                <w:sz w:val="18"/>
                <w:szCs w:val="18"/>
                <w:lang w:val="en-US"/>
              </w:rPr>
              <w:t>26</w:t>
            </w:r>
          </w:p>
        </w:tc>
        <w:tc>
          <w:tcPr>
            <w:tcW w:w="850" w:type="dxa"/>
          </w:tcPr>
          <w:p w14:paraId="7E744C9A" w14:textId="77777777" w:rsidR="000C45FE" w:rsidRPr="00905499" w:rsidRDefault="000C45FE" w:rsidP="00611FB1">
            <w:pPr>
              <w:rPr>
                <w:sz w:val="18"/>
                <w:szCs w:val="18"/>
                <w:lang w:val="en-US"/>
              </w:rPr>
            </w:pPr>
            <w:r w:rsidRPr="00905499">
              <w:rPr>
                <w:sz w:val="18"/>
                <w:szCs w:val="18"/>
                <w:lang w:val="en-US"/>
              </w:rPr>
              <w:t>124</w:t>
            </w:r>
          </w:p>
        </w:tc>
        <w:tc>
          <w:tcPr>
            <w:tcW w:w="758" w:type="dxa"/>
          </w:tcPr>
          <w:p w14:paraId="4EABA2A9" w14:textId="77777777" w:rsidR="000C45FE" w:rsidRPr="00905499" w:rsidRDefault="000C45FE" w:rsidP="00611FB1">
            <w:pPr>
              <w:rPr>
                <w:sz w:val="18"/>
                <w:szCs w:val="18"/>
                <w:lang w:val="en-US"/>
              </w:rPr>
            </w:pPr>
            <w:r w:rsidRPr="00905499">
              <w:rPr>
                <w:sz w:val="18"/>
                <w:szCs w:val="18"/>
                <w:lang w:val="en-US"/>
              </w:rPr>
              <w:t>347</w:t>
            </w:r>
          </w:p>
        </w:tc>
        <w:tc>
          <w:tcPr>
            <w:tcW w:w="758" w:type="dxa"/>
          </w:tcPr>
          <w:p w14:paraId="298C0AD5" w14:textId="77777777" w:rsidR="000C45FE" w:rsidRPr="00905499" w:rsidRDefault="000C45FE" w:rsidP="00611FB1">
            <w:pPr>
              <w:rPr>
                <w:sz w:val="18"/>
                <w:szCs w:val="18"/>
                <w:lang w:val="en-US"/>
              </w:rPr>
            </w:pPr>
            <w:r w:rsidRPr="00905499">
              <w:rPr>
                <w:sz w:val="18"/>
                <w:szCs w:val="18"/>
                <w:lang w:val="en-US"/>
              </w:rPr>
              <w:t>1295</w:t>
            </w:r>
          </w:p>
        </w:tc>
      </w:tr>
      <w:tr w:rsidR="000C45FE" w:rsidRPr="00905499" w14:paraId="264093AA" w14:textId="77777777" w:rsidTr="00611FB1">
        <w:trPr>
          <w:trHeight w:val="329"/>
        </w:trPr>
        <w:tc>
          <w:tcPr>
            <w:tcW w:w="2976" w:type="dxa"/>
          </w:tcPr>
          <w:p w14:paraId="151561BD" w14:textId="77777777" w:rsidR="000C45FE" w:rsidRPr="00905499" w:rsidRDefault="000C45FE" w:rsidP="00611FB1">
            <w:pPr>
              <w:rPr>
                <w:lang w:val="en-US"/>
              </w:rPr>
            </w:pPr>
            <w:r w:rsidRPr="00905499">
              <w:rPr>
                <w:sz w:val="18"/>
                <w:szCs w:val="18"/>
                <w:lang w:val="en-US"/>
              </w:rPr>
              <w:t xml:space="preserve">No. </w:t>
            </w:r>
            <w:proofErr w:type="gramStart"/>
            <w:r w:rsidRPr="00905499">
              <w:rPr>
                <w:sz w:val="18"/>
                <w:szCs w:val="18"/>
                <w:lang w:val="en-US"/>
              </w:rPr>
              <w:t>of</w:t>
            </w:r>
            <w:proofErr w:type="gramEnd"/>
            <w:r w:rsidRPr="00905499">
              <w:rPr>
                <w:sz w:val="18"/>
                <w:szCs w:val="18"/>
                <w:lang w:val="en-US"/>
              </w:rPr>
              <w:t xml:space="preserve"> Universities in proximity</w:t>
            </w:r>
          </w:p>
        </w:tc>
        <w:tc>
          <w:tcPr>
            <w:tcW w:w="851" w:type="dxa"/>
          </w:tcPr>
          <w:p w14:paraId="70534994" w14:textId="77777777" w:rsidR="000C45FE" w:rsidRPr="00905499" w:rsidRDefault="000C45FE" w:rsidP="00611FB1">
            <w:pPr>
              <w:rPr>
                <w:sz w:val="18"/>
                <w:szCs w:val="18"/>
                <w:lang w:val="en-US"/>
              </w:rPr>
            </w:pPr>
            <w:r w:rsidRPr="00905499">
              <w:rPr>
                <w:sz w:val="18"/>
                <w:szCs w:val="18"/>
                <w:lang w:val="en-US"/>
              </w:rPr>
              <w:t>0</w:t>
            </w:r>
          </w:p>
        </w:tc>
        <w:tc>
          <w:tcPr>
            <w:tcW w:w="851" w:type="dxa"/>
          </w:tcPr>
          <w:p w14:paraId="463A9C44" w14:textId="77777777" w:rsidR="000C45FE" w:rsidRPr="00905499" w:rsidRDefault="000C45FE" w:rsidP="00611FB1">
            <w:pPr>
              <w:rPr>
                <w:sz w:val="18"/>
                <w:szCs w:val="18"/>
                <w:lang w:val="en-US"/>
              </w:rPr>
            </w:pPr>
            <w:r w:rsidRPr="00905499">
              <w:rPr>
                <w:sz w:val="18"/>
                <w:szCs w:val="18"/>
                <w:lang w:val="en-US"/>
              </w:rPr>
              <w:t>0</w:t>
            </w:r>
          </w:p>
        </w:tc>
        <w:tc>
          <w:tcPr>
            <w:tcW w:w="850" w:type="dxa"/>
          </w:tcPr>
          <w:p w14:paraId="5189ACF3" w14:textId="77777777" w:rsidR="000C45FE" w:rsidRPr="00905499" w:rsidRDefault="000C45FE" w:rsidP="00611FB1">
            <w:pPr>
              <w:rPr>
                <w:sz w:val="18"/>
                <w:szCs w:val="18"/>
                <w:lang w:val="en-US"/>
              </w:rPr>
            </w:pPr>
            <w:r w:rsidRPr="00905499">
              <w:rPr>
                <w:sz w:val="18"/>
                <w:szCs w:val="18"/>
                <w:lang w:val="en-US"/>
              </w:rPr>
              <w:t>0</w:t>
            </w:r>
          </w:p>
        </w:tc>
        <w:tc>
          <w:tcPr>
            <w:tcW w:w="993" w:type="dxa"/>
          </w:tcPr>
          <w:p w14:paraId="29BCD4B9" w14:textId="77777777" w:rsidR="000C45FE" w:rsidRPr="00905499" w:rsidRDefault="000C45FE" w:rsidP="00611FB1">
            <w:pPr>
              <w:rPr>
                <w:sz w:val="18"/>
                <w:szCs w:val="18"/>
                <w:lang w:val="en-US"/>
              </w:rPr>
            </w:pPr>
            <w:r w:rsidRPr="00905499">
              <w:rPr>
                <w:sz w:val="18"/>
                <w:szCs w:val="18"/>
                <w:lang w:val="en-US"/>
              </w:rPr>
              <w:t>2</w:t>
            </w:r>
          </w:p>
        </w:tc>
        <w:tc>
          <w:tcPr>
            <w:tcW w:w="850" w:type="dxa"/>
          </w:tcPr>
          <w:p w14:paraId="4C398D01" w14:textId="77777777" w:rsidR="000C45FE" w:rsidRPr="00905499" w:rsidRDefault="000C45FE" w:rsidP="00611FB1">
            <w:pPr>
              <w:rPr>
                <w:sz w:val="18"/>
                <w:szCs w:val="18"/>
                <w:lang w:val="en-US"/>
              </w:rPr>
            </w:pPr>
            <w:r w:rsidRPr="00905499">
              <w:rPr>
                <w:sz w:val="18"/>
                <w:szCs w:val="18"/>
                <w:lang w:val="en-US"/>
              </w:rPr>
              <w:t>8</w:t>
            </w:r>
          </w:p>
        </w:tc>
        <w:tc>
          <w:tcPr>
            <w:tcW w:w="758" w:type="dxa"/>
          </w:tcPr>
          <w:p w14:paraId="56E34A5C" w14:textId="77777777" w:rsidR="000C45FE" w:rsidRPr="00905499" w:rsidRDefault="000C45FE" w:rsidP="00611FB1">
            <w:pPr>
              <w:rPr>
                <w:sz w:val="18"/>
                <w:szCs w:val="18"/>
                <w:lang w:val="en-US"/>
              </w:rPr>
            </w:pPr>
            <w:r w:rsidRPr="00905499">
              <w:rPr>
                <w:sz w:val="18"/>
                <w:szCs w:val="18"/>
                <w:lang w:val="en-US"/>
              </w:rPr>
              <w:t>28</w:t>
            </w:r>
          </w:p>
        </w:tc>
        <w:tc>
          <w:tcPr>
            <w:tcW w:w="758" w:type="dxa"/>
          </w:tcPr>
          <w:p w14:paraId="68A893F2" w14:textId="77777777" w:rsidR="000C45FE" w:rsidRPr="00905499" w:rsidRDefault="000C45FE" w:rsidP="00611FB1">
            <w:pPr>
              <w:rPr>
                <w:sz w:val="18"/>
                <w:szCs w:val="18"/>
                <w:lang w:val="en-US"/>
              </w:rPr>
            </w:pPr>
            <w:r w:rsidRPr="00905499">
              <w:rPr>
                <w:sz w:val="18"/>
                <w:szCs w:val="18"/>
                <w:lang w:val="en-US"/>
              </w:rPr>
              <w:t>38</w:t>
            </w:r>
          </w:p>
        </w:tc>
      </w:tr>
      <w:tr w:rsidR="000C45FE" w:rsidRPr="00905499" w14:paraId="4858B185" w14:textId="77777777" w:rsidTr="00611FB1">
        <w:trPr>
          <w:trHeight w:val="344"/>
        </w:trPr>
        <w:tc>
          <w:tcPr>
            <w:tcW w:w="2976" w:type="dxa"/>
            <w:tcBorders>
              <w:bottom w:val="single" w:sz="4" w:space="0" w:color="auto"/>
            </w:tcBorders>
          </w:tcPr>
          <w:p w14:paraId="166DB80D" w14:textId="77777777" w:rsidR="000C45FE" w:rsidRPr="00905499" w:rsidRDefault="000C45FE" w:rsidP="00611FB1">
            <w:pPr>
              <w:rPr>
                <w:lang w:val="en-US"/>
              </w:rPr>
            </w:pPr>
            <w:r w:rsidRPr="00905499">
              <w:rPr>
                <w:sz w:val="18"/>
                <w:szCs w:val="18"/>
                <w:lang w:val="en-US"/>
              </w:rPr>
              <w:t xml:space="preserve">No. </w:t>
            </w:r>
            <w:proofErr w:type="gramStart"/>
            <w:r w:rsidRPr="00905499">
              <w:rPr>
                <w:sz w:val="18"/>
                <w:szCs w:val="18"/>
                <w:lang w:val="en-US"/>
              </w:rPr>
              <w:t>of</w:t>
            </w:r>
            <w:proofErr w:type="gramEnd"/>
            <w:r w:rsidRPr="00905499">
              <w:rPr>
                <w:sz w:val="18"/>
                <w:szCs w:val="18"/>
                <w:lang w:val="en-US"/>
              </w:rPr>
              <w:t xml:space="preserve"> Go8 in proximity</w:t>
            </w:r>
          </w:p>
        </w:tc>
        <w:tc>
          <w:tcPr>
            <w:tcW w:w="851" w:type="dxa"/>
            <w:tcBorders>
              <w:bottom w:val="single" w:sz="4" w:space="0" w:color="auto"/>
            </w:tcBorders>
          </w:tcPr>
          <w:p w14:paraId="0A3A95A8" w14:textId="77777777" w:rsidR="000C45FE" w:rsidRPr="00905499" w:rsidRDefault="000C45FE" w:rsidP="00611FB1">
            <w:pPr>
              <w:rPr>
                <w:sz w:val="18"/>
                <w:szCs w:val="18"/>
                <w:lang w:val="en-US"/>
              </w:rPr>
            </w:pPr>
            <w:r w:rsidRPr="00905499">
              <w:rPr>
                <w:sz w:val="18"/>
                <w:szCs w:val="18"/>
                <w:lang w:val="en-US"/>
              </w:rPr>
              <w:t>0</w:t>
            </w:r>
          </w:p>
        </w:tc>
        <w:tc>
          <w:tcPr>
            <w:tcW w:w="851" w:type="dxa"/>
            <w:tcBorders>
              <w:bottom w:val="single" w:sz="4" w:space="0" w:color="auto"/>
            </w:tcBorders>
          </w:tcPr>
          <w:p w14:paraId="048BF3B9" w14:textId="77777777" w:rsidR="000C45FE" w:rsidRPr="00905499" w:rsidRDefault="000C45FE" w:rsidP="00611FB1">
            <w:pPr>
              <w:rPr>
                <w:sz w:val="18"/>
                <w:szCs w:val="18"/>
                <w:lang w:val="en-US"/>
              </w:rPr>
            </w:pPr>
            <w:r w:rsidRPr="00905499">
              <w:rPr>
                <w:sz w:val="18"/>
                <w:szCs w:val="18"/>
                <w:lang w:val="en-US"/>
              </w:rPr>
              <w:t>0</w:t>
            </w:r>
          </w:p>
        </w:tc>
        <w:tc>
          <w:tcPr>
            <w:tcW w:w="850" w:type="dxa"/>
            <w:tcBorders>
              <w:bottom w:val="single" w:sz="4" w:space="0" w:color="auto"/>
            </w:tcBorders>
          </w:tcPr>
          <w:p w14:paraId="0811C1B3" w14:textId="77777777" w:rsidR="000C45FE" w:rsidRPr="00905499" w:rsidRDefault="000C45FE" w:rsidP="00611FB1">
            <w:pPr>
              <w:rPr>
                <w:sz w:val="18"/>
                <w:szCs w:val="18"/>
                <w:lang w:val="en-US"/>
              </w:rPr>
            </w:pPr>
            <w:r w:rsidRPr="00905499">
              <w:rPr>
                <w:sz w:val="18"/>
                <w:szCs w:val="18"/>
                <w:lang w:val="en-US"/>
              </w:rPr>
              <w:t>0</w:t>
            </w:r>
          </w:p>
        </w:tc>
        <w:tc>
          <w:tcPr>
            <w:tcW w:w="993" w:type="dxa"/>
            <w:tcBorders>
              <w:bottom w:val="single" w:sz="4" w:space="0" w:color="auto"/>
            </w:tcBorders>
          </w:tcPr>
          <w:p w14:paraId="2C409A10" w14:textId="77777777" w:rsidR="000C45FE" w:rsidRPr="00905499" w:rsidRDefault="000C45FE" w:rsidP="00611FB1">
            <w:pPr>
              <w:rPr>
                <w:sz w:val="18"/>
                <w:szCs w:val="18"/>
                <w:lang w:val="en-US"/>
              </w:rPr>
            </w:pPr>
            <w:r w:rsidRPr="00905499">
              <w:rPr>
                <w:sz w:val="18"/>
                <w:szCs w:val="18"/>
                <w:lang w:val="en-US"/>
              </w:rPr>
              <w:t>0</w:t>
            </w:r>
          </w:p>
        </w:tc>
        <w:tc>
          <w:tcPr>
            <w:tcW w:w="850" w:type="dxa"/>
            <w:tcBorders>
              <w:bottom w:val="single" w:sz="4" w:space="0" w:color="auto"/>
            </w:tcBorders>
          </w:tcPr>
          <w:p w14:paraId="45632DD5" w14:textId="77777777" w:rsidR="000C45FE" w:rsidRPr="00905499" w:rsidRDefault="000C45FE" w:rsidP="00611FB1">
            <w:pPr>
              <w:rPr>
                <w:sz w:val="18"/>
                <w:szCs w:val="18"/>
                <w:lang w:val="en-US"/>
              </w:rPr>
            </w:pPr>
            <w:r w:rsidRPr="00905499">
              <w:rPr>
                <w:sz w:val="18"/>
                <w:szCs w:val="18"/>
                <w:lang w:val="en-US"/>
              </w:rPr>
              <w:t>2</w:t>
            </w:r>
          </w:p>
        </w:tc>
        <w:tc>
          <w:tcPr>
            <w:tcW w:w="758" w:type="dxa"/>
            <w:tcBorders>
              <w:bottom w:val="single" w:sz="4" w:space="0" w:color="auto"/>
            </w:tcBorders>
          </w:tcPr>
          <w:p w14:paraId="08E20BF0" w14:textId="77777777" w:rsidR="000C45FE" w:rsidRPr="00905499" w:rsidRDefault="000C45FE" w:rsidP="00611FB1">
            <w:pPr>
              <w:rPr>
                <w:sz w:val="18"/>
                <w:szCs w:val="18"/>
                <w:lang w:val="en-US"/>
              </w:rPr>
            </w:pPr>
            <w:r w:rsidRPr="00905499">
              <w:rPr>
                <w:sz w:val="18"/>
                <w:szCs w:val="18"/>
                <w:lang w:val="en-US"/>
              </w:rPr>
              <w:t>4</w:t>
            </w:r>
          </w:p>
        </w:tc>
        <w:tc>
          <w:tcPr>
            <w:tcW w:w="758" w:type="dxa"/>
            <w:tcBorders>
              <w:bottom w:val="single" w:sz="4" w:space="0" w:color="auto"/>
            </w:tcBorders>
          </w:tcPr>
          <w:p w14:paraId="62F0BB92" w14:textId="77777777" w:rsidR="000C45FE" w:rsidRPr="00905499" w:rsidRDefault="000C45FE" w:rsidP="00611FB1">
            <w:pPr>
              <w:rPr>
                <w:sz w:val="18"/>
                <w:szCs w:val="18"/>
                <w:lang w:val="en-US"/>
              </w:rPr>
            </w:pPr>
            <w:r w:rsidRPr="00905499">
              <w:rPr>
                <w:sz w:val="18"/>
                <w:szCs w:val="18"/>
                <w:lang w:val="en-US"/>
              </w:rPr>
              <w:t>10</w:t>
            </w:r>
          </w:p>
        </w:tc>
      </w:tr>
    </w:tbl>
    <w:p w14:paraId="0D9F2139" w14:textId="77777777" w:rsidR="000C45FE" w:rsidRPr="00905499" w:rsidRDefault="000C45FE" w:rsidP="000C45FE">
      <w:pPr>
        <w:rPr>
          <w:lang w:val="en-US"/>
        </w:rPr>
      </w:pPr>
    </w:p>
    <w:p w14:paraId="4290D23F" w14:textId="77777777" w:rsidR="000C45FE" w:rsidRPr="00905499" w:rsidRDefault="000C45FE" w:rsidP="000C45FE">
      <w:pPr>
        <w:pStyle w:val="NormalWeb"/>
        <w:spacing w:before="0" w:beforeAutospacing="0" w:after="0" w:afterAutospacing="0" w:line="480" w:lineRule="auto"/>
        <w:ind w:left="480" w:hanging="480"/>
        <w:jc w:val="center"/>
        <w:rPr>
          <w:rFonts w:ascii="Times New Roman" w:hAnsi="Times New Roman"/>
          <w:b/>
          <w:sz w:val="24"/>
          <w:szCs w:val="24"/>
          <w:lang w:val="en-US"/>
        </w:rPr>
        <w:sectPr w:rsidR="000C45FE" w:rsidRPr="00905499" w:rsidSect="00194291">
          <w:headerReference w:type="even" r:id="rId25"/>
          <w:headerReference w:type="default" r:id="rId26"/>
          <w:footerReference w:type="even" r:id="rId27"/>
          <w:footerReference w:type="default" r:id="rId28"/>
          <w:headerReference w:type="first" r:id="rId29"/>
          <w:footerReference w:type="first" r:id="rId30"/>
          <w:pgSz w:w="11900" w:h="16840"/>
          <w:pgMar w:top="1440" w:right="1800" w:bottom="1440" w:left="1800" w:header="708" w:footer="708" w:gutter="0"/>
          <w:cols w:space="708"/>
          <w:docGrid w:linePitch="360"/>
        </w:sectPr>
      </w:pPr>
    </w:p>
    <w:p w14:paraId="2A0CAFB4" w14:textId="77777777" w:rsidR="00F608B4" w:rsidRPr="00905499" w:rsidRDefault="00F608B4" w:rsidP="00F608B4">
      <w:pPr>
        <w:rPr>
          <w:b/>
          <w:lang w:val="en-US"/>
        </w:rPr>
      </w:pPr>
      <w:r w:rsidRPr="00905499">
        <w:rPr>
          <w:b/>
          <w:lang w:val="en-US"/>
        </w:rPr>
        <w:lastRenderedPageBreak/>
        <w:t>Table 2</w:t>
      </w:r>
    </w:p>
    <w:p w14:paraId="43BD451D" w14:textId="77777777" w:rsidR="00F608B4" w:rsidRPr="00905499" w:rsidRDefault="00F608B4" w:rsidP="00F608B4">
      <w:pPr>
        <w:rPr>
          <w:lang w:val="en-US"/>
        </w:rPr>
      </w:pPr>
      <w:r w:rsidRPr="00905499">
        <w:rPr>
          <w:lang w:val="en-US"/>
        </w:rPr>
        <w:t>Descriptive Statistics</w:t>
      </w:r>
    </w:p>
    <w:tbl>
      <w:tblPr>
        <w:tblStyle w:val="TableGrid"/>
        <w:tblW w:w="1417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95"/>
        <w:gridCol w:w="1191"/>
        <w:gridCol w:w="1248"/>
        <w:gridCol w:w="1250"/>
        <w:gridCol w:w="1061"/>
        <w:gridCol w:w="1066"/>
        <w:gridCol w:w="1212"/>
        <w:gridCol w:w="1276"/>
        <w:gridCol w:w="992"/>
        <w:gridCol w:w="1134"/>
        <w:gridCol w:w="850"/>
      </w:tblGrid>
      <w:tr w:rsidR="00B91CC9" w:rsidRPr="00905499" w14:paraId="6722D04D" w14:textId="77777777" w:rsidTr="00B91CC9">
        <w:trPr>
          <w:trHeight w:val="467"/>
        </w:trPr>
        <w:tc>
          <w:tcPr>
            <w:tcW w:w="2895" w:type="dxa"/>
            <w:tcBorders>
              <w:top w:val="single" w:sz="12" w:space="0" w:color="auto"/>
            </w:tcBorders>
          </w:tcPr>
          <w:p w14:paraId="4F113044" w14:textId="77777777" w:rsidR="00B91CC9" w:rsidRPr="00905499" w:rsidRDefault="00B91CC9" w:rsidP="00216C03">
            <w:pPr>
              <w:rPr>
                <w:sz w:val="18"/>
                <w:szCs w:val="18"/>
                <w:lang w:val="en-US"/>
              </w:rPr>
            </w:pPr>
          </w:p>
        </w:tc>
        <w:tc>
          <w:tcPr>
            <w:tcW w:w="1191" w:type="dxa"/>
            <w:vMerge w:val="restart"/>
            <w:tcBorders>
              <w:top w:val="single" w:sz="12" w:space="0" w:color="auto"/>
            </w:tcBorders>
            <w:vAlign w:val="bottom"/>
          </w:tcPr>
          <w:p w14:paraId="61758C86" w14:textId="77777777" w:rsidR="00B91CC9" w:rsidRPr="00905499" w:rsidRDefault="00B91CC9" w:rsidP="00B91CC9">
            <w:pPr>
              <w:jc w:val="center"/>
              <w:rPr>
                <w:sz w:val="18"/>
                <w:szCs w:val="18"/>
                <w:lang w:val="en-US"/>
              </w:rPr>
            </w:pPr>
            <w:r w:rsidRPr="00905499">
              <w:rPr>
                <w:sz w:val="18"/>
                <w:szCs w:val="18"/>
                <w:lang w:val="en-US"/>
              </w:rPr>
              <w:t>Total Sample n = 11,999</w:t>
            </w:r>
          </w:p>
        </w:tc>
        <w:tc>
          <w:tcPr>
            <w:tcW w:w="2498" w:type="dxa"/>
            <w:gridSpan w:val="2"/>
            <w:tcBorders>
              <w:top w:val="single" w:sz="12" w:space="0" w:color="auto"/>
              <w:bottom w:val="single" w:sz="6" w:space="0" w:color="auto"/>
            </w:tcBorders>
            <w:vAlign w:val="bottom"/>
          </w:tcPr>
          <w:p w14:paraId="759CD920" w14:textId="04280B80" w:rsidR="00B91CC9" w:rsidRPr="00905499" w:rsidRDefault="00B91CC9" w:rsidP="00B91CC9">
            <w:pPr>
              <w:jc w:val="center"/>
              <w:rPr>
                <w:sz w:val="18"/>
                <w:szCs w:val="18"/>
                <w:lang w:val="en-US"/>
              </w:rPr>
            </w:pPr>
            <w:r w:rsidRPr="00905499">
              <w:rPr>
                <w:sz w:val="18"/>
                <w:szCs w:val="18"/>
                <w:lang w:val="en-US"/>
              </w:rPr>
              <w:t>University Expectations</w:t>
            </w:r>
          </w:p>
        </w:tc>
        <w:tc>
          <w:tcPr>
            <w:tcW w:w="2127" w:type="dxa"/>
            <w:gridSpan w:val="2"/>
            <w:tcBorders>
              <w:top w:val="single" w:sz="12" w:space="0" w:color="auto"/>
              <w:left w:val="nil"/>
              <w:bottom w:val="single" w:sz="6" w:space="0" w:color="auto"/>
            </w:tcBorders>
            <w:vAlign w:val="bottom"/>
          </w:tcPr>
          <w:p w14:paraId="1D42A8C6" w14:textId="77777777" w:rsidR="00B91CC9" w:rsidRPr="00905499" w:rsidRDefault="00B91CC9" w:rsidP="00B91CC9">
            <w:pPr>
              <w:jc w:val="center"/>
              <w:rPr>
                <w:sz w:val="18"/>
                <w:szCs w:val="18"/>
                <w:lang w:val="en-US"/>
              </w:rPr>
            </w:pPr>
            <w:r w:rsidRPr="00905499">
              <w:rPr>
                <w:sz w:val="18"/>
                <w:szCs w:val="18"/>
                <w:lang w:val="en-US"/>
              </w:rPr>
              <w:t>Entered University</w:t>
            </w:r>
          </w:p>
        </w:tc>
        <w:tc>
          <w:tcPr>
            <w:tcW w:w="2488" w:type="dxa"/>
            <w:gridSpan w:val="2"/>
            <w:tcBorders>
              <w:top w:val="single" w:sz="12" w:space="0" w:color="auto"/>
              <w:left w:val="nil"/>
              <w:bottom w:val="single" w:sz="6" w:space="0" w:color="auto"/>
            </w:tcBorders>
            <w:vAlign w:val="bottom"/>
          </w:tcPr>
          <w:p w14:paraId="2151690E" w14:textId="77777777" w:rsidR="00B91CC9" w:rsidRPr="00905499" w:rsidRDefault="00B91CC9" w:rsidP="00B91CC9">
            <w:pPr>
              <w:jc w:val="center"/>
              <w:rPr>
                <w:sz w:val="18"/>
                <w:szCs w:val="18"/>
                <w:lang w:val="en-US"/>
              </w:rPr>
            </w:pPr>
            <w:r w:rsidRPr="00905499">
              <w:rPr>
                <w:sz w:val="18"/>
                <w:szCs w:val="18"/>
                <w:lang w:val="en-US"/>
              </w:rPr>
              <w:t>Entered Go8</w:t>
            </w:r>
          </w:p>
          <w:p w14:paraId="4B380F9C" w14:textId="0F4DDAE9" w:rsidR="00B91CC9" w:rsidRPr="00905499" w:rsidRDefault="00B91CC9" w:rsidP="00B91CC9">
            <w:pPr>
              <w:jc w:val="center"/>
              <w:rPr>
                <w:sz w:val="18"/>
                <w:szCs w:val="18"/>
                <w:lang w:val="en-US"/>
              </w:rPr>
            </w:pPr>
            <w:proofErr w:type="gramStart"/>
            <w:r w:rsidRPr="00905499">
              <w:rPr>
                <w:sz w:val="18"/>
                <w:szCs w:val="18"/>
                <w:lang w:val="en-US"/>
              </w:rPr>
              <w:t>n</w:t>
            </w:r>
            <w:proofErr w:type="gramEnd"/>
            <w:r w:rsidRPr="00905499">
              <w:rPr>
                <w:sz w:val="18"/>
                <w:szCs w:val="18"/>
                <w:lang w:val="en-US"/>
              </w:rPr>
              <w:t xml:space="preserve"> = 4808</w:t>
            </w:r>
          </w:p>
        </w:tc>
        <w:tc>
          <w:tcPr>
            <w:tcW w:w="2126" w:type="dxa"/>
            <w:gridSpan w:val="2"/>
            <w:tcBorders>
              <w:top w:val="single" w:sz="12" w:space="0" w:color="auto"/>
              <w:left w:val="nil"/>
              <w:bottom w:val="single" w:sz="4" w:space="0" w:color="auto"/>
              <w:right w:val="nil"/>
            </w:tcBorders>
            <w:vAlign w:val="bottom"/>
          </w:tcPr>
          <w:p w14:paraId="40BB9F20" w14:textId="77777777" w:rsidR="00B91CC9" w:rsidRPr="00905499" w:rsidRDefault="00B91CC9" w:rsidP="00B91CC9">
            <w:pPr>
              <w:jc w:val="center"/>
              <w:rPr>
                <w:sz w:val="18"/>
                <w:szCs w:val="18"/>
                <w:lang w:val="en-US"/>
              </w:rPr>
            </w:pPr>
            <w:r w:rsidRPr="00905499">
              <w:rPr>
                <w:sz w:val="18"/>
                <w:szCs w:val="18"/>
                <w:lang w:val="en-US"/>
              </w:rPr>
              <w:t>Information Session</w:t>
            </w:r>
          </w:p>
          <w:p w14:paraId="78D46517" w14:textId="77777777" w:rsidR="00B91CC9" w:rsidRPr="00905499" w:rsidRDefault="00B91CC9" w:rsidP="00B91CC9">
            <w:pPr>
              <w:jc w:val="center"/>
              <w:rPr>
                <w:sz w:val="18"/>
                <w:szCs w:val="18"/>
                <w:lang w:val="en-US"/>
              </w:rPr>
            </w:pPr>
            <w:proofErr w:type="gramStart"/>
            <w:r w:rsidRPr="00905499">
              <w:rPr>
                <w:sz w:val="18"/>
                <w:szCs w:val="18"/>
                <w:lang w:val="en-US"/>
              </w:rPr>
              <w:t>n</w:t>
            </w:r>
            <w:proofErr w:type="gramEnd"/>
            <w:r w:rsidRPr="00905499">
              <w:rPr>
                <w:sz w:val="18"/>
                <w:szCs w:val="18"/>
                <w:lang w:val="en-US"/>
              </w:rPr>
              <w:t xml:space="preserve"> =  5782^</w:t>
            </w:r>
          </w:p>
        </w:tc>
        <w:tc>
          <w:tcPr>
            <w:tcW w:w="850" w:type="dxa"/>
            <w:vMerge w:val="restart"/>
            <w:tcBorders>
              <w:top w:val="single" w:sz="12" w:space="0" w:color="auto"/>
              <w:left w:val="nil"/>
            </w:tcBorders>
            <w:vAlign w:val="bottom"/>
          </w:tcPr>
          <w:p w14:paraId="073714BA" w14:textId="77777777" w:rsidR="00B91CC9" w:rsidRPr="00905499" w:rsidRDefault="00B91CC9" w:rsidP="00B91CC9">
            <w:pPr>
              <w:jc w:val="center"/>
              <w:rPr>
                <w:sz w:val="18"/>
                <w:szCs w:val="18"/>
                <w:lang w:val="en-US"/>
              </w:rPr>
            </w:pPr>
            <w:r w:rsidRPr="00905499">
              <w:rPr>
                <w:sz w:val="18"/>
                <w:szCs w:val="18"/>
                <w:lang w:val="en-US"/>
              </w:rPr>
              <w:t>% Missing</w:t>
            </w:r>
          </w:p>
        </w:tc>
      </w:tr>
      <w:tr w:rsidR="00B91CC9" w:rsidRPr="00905499" w14:paraId="77410464" w14:textId="77777777" w:rsidTr="00B91CC9">
        <w:trPr>
          <w:trHeight w:val="344"/>
        </w:trPr>
        <w:tc>
          <w:tcPr>
            <w:tcW w:w="2895" w:type="dxa"/>
            <w:tcBorders>
              <w:bottom w:val="single" w:sz="4" w:space="0" w:color="auto"/>
            </w:tcBorders>
          </w:tcPr>
          <w:p w14:paraId="3D9E04AC" w14:textId="77777777" w:rsidR="00B91CC9" w:rsidRPr="00905499" w:rsidRDefault="00B91CC9" w:rsidP="00216C03">
            <w:pPr>
              <w:rPr>
                <w:sz w:val="18"/>
                <w:szCs w:val="18"/>
                <w:lang w:val="en-US"/>
              </w:rPr>
            </w:pPr>
          </w:p>
        </w:tc>
        <w:tc>
          <w:tcPr>
            <w:tcW w:w="1191" w:type="dxa"/>
            <w:vMerge/>
            <w:tcBorders>
              <w:bottom w:val="single" w:sz="4" w:space="0" w:color="auto"/>
            </w:tcBorders>
            <w:vAlign w:val="bottom"/>
          </w:tcPr>
          <w:p w14:paraId="72260722" w14:textId="77777777" w:rsidR="00B91CC9" w:rsidRPr="00905499" w:rsidRDefault="00B91CC9" w:rsidP="00B91CC9">
            <w:pPr>
              <w:jc w:val="center"/>
              <w:rPr>
                <w:sz w:val="18"/>
                <w:szCs w:val="18"/>
                <w:lang w:val="en-US"/>
              </w:rPr>
            </w:pPr>
          </w:p>
        </w:tc>
        <w:tc>
          <w:tcPr>
            <w:tcW w:w="1248" w:type="dxa"/>
            <w:tcBorders>
              <w:top w:val="single" w:sz="6" w:space="0" w:color="auto"/>
              <w:bottom w:val="single" w:sz="4" w:space="0" w:color="auto"/>
            </w:tcBorders>
            <w:vAlign w:val="bottom"/>
          </w:tcPr>
          <w:p w14:paraId="37EC9C96" w14:textId="77777777" w:rsidR="00B91CC9" w:rsidRPr="00905499" w:rsidRDefault="00B91CC9" w:rsidP="00B91CC9">
            <w:pPr>
              <w:jc w:val="center"/>
              <w:rPr>
                <w:sz w:val="18"/>
                <w:szCs w:val="18"/>
                <w:lang w:val="en-US"/>
              </w:rPr>
            </w:pPr>
            <w:r w:rsidRPr="00905499">
              <w:rPr>
                <w:sz w:val="18"/>
                <w:szCs w:val="18"/>
                <w:lang w:val="en-US"/>
              </w:rPr>
              <w:t>No = 5150</w:t>
            </w:r>
          </w:p>
        </w:tc>
        <w:tc>
          <w:tcPr>
            <w:tcW w:w="1250" w:type="dxa"/>
            <w:tcBorders>
              <w:top w:val="single" w:sz="6" w:space="0" w:color="auto"/>
              <w:bottom w:val="single" w:sz="4" w:space="0" w:color="auto"/>
            </w:tcBorders>
            <w:vAlign w:val="bottom"/>
          </w:tcPr>
          <w:p w14:paraId="0B3FFC70" w14:textId="77777777" w:rsidR="00B91CC9" w:rsidRPr="00905499" w:rsidRDefault="00B91CC9" w:rsidP="00B91CC9">
            <w:pPr>
              <w:jc w:val="center"/>
              <w:rPr>
                <w:sz w:val="18"/>
                <w:szCs w:val="18"/>
                <w:lang w:val="en-US"/>
              </w:rPr>
            </w:pPr>
            <w:r w:rsidRPr="00905499">
              <w:rPr>
                <w:sz w:val="18"/>
                <w:szCs w:val="18"/>
                <w:lang w:val="en-US"/>
              </w:rPr>
              <w:t>Yes = 6849</w:t>
            </w:r>
          </w:p>
        </w:tc>
        <w:tc>
          <w:tcPr>
            <w:tcW w:w="1061" w:type="dxa"/>
            <w:tcBorders>
              <w:top w:val="single" w:sz="6" w:space="0" w:color="auto"/>
              <w:left w:val="nil"/>
              <w:bottom w:val="single" w:sz="4" w:space="0" w:color="auto"/>
            </w:tcBorders>
            <w:vAlign w:val="bottom"/>
          </w:tcPr>
          <w:p w14:paraId="30C41547" w14:textId="77777777" w:rsidR="00B91CC9" w:rsidRPr="00905499" w:rsidRDefault="00B91CC9" w:rsidP="00B91CC9">
            <w:pPr>
              <w:jc w:val="center"/>
              <w:rPr>
                <w:sz w:val="18"/>
                <w:szCs w:val="18"/>
                <w:lang w:val="en-US"/>
              </w:rPr>
            </w:pPr>
            <w:r w:rsidRPr="00905499">
              <w:rPr>
                <w:sz w:val="18"/>
                <w:szCs w:val="18"/>
                <w:lang w:val="en-US"/>
              </w:rPr>
              <w:t>No = 7191</w:t>
            </w:r>
          </w:p>
        </w:tc>
        <w:tc>
          <w:tcPr>
            <w:tcW w:w="1066" w:type="dxa"/>
            <w:tcBorders>
              <w:top w:val="single" w:sz="6" w:space="0" w:color="auto"/>
              <w:bottom w:val="single" w:sz="4" w:space="0" w:color="auto"/>
            </w:tcBorders>
            <w:vAlign w:val="bottom"/>
          </w:tcPr>
          <w:p w14:paraId="6D710E4C" w14:textId="77777777" w:rsidR="00B91CC9" w:rsidRPr="00905499" w:rsidRDefault="00B91CC9" w:rsidP="00B91CC9">
            <w:pPr>
              <w:jc w:val="center"/>
              <w:rPr>
                <w:sz w:val="18"/>
                <w:szCs w:val="18"/>
                <w:lang w:val="en-US"/>
              </w:rPr>
            </w:pPr>
            <w:r w:rsidRPr="00905499">
              <w:rPr>
                <w:sz w:val="18"/>
                <w:szCs w:val="18"/>
                <w:lang w:val="en-US"/>
              </w:rPr>
              <w:t>Yes = 4808</w:t>
            </w:r>
          </w:p>
        </w:tc>
        <w:tc>
          <w:tcPr>
            <w:tcW w:w="1212" w:type="dxa"/>
            <w:tcBorders>
              <w:top w:val="single" w:sz="6" w:space="0" w:color="auto"/>
              <w:left w:val="nil"/>
              <w:bottom w:val="single" w:sz="4" w:space="0" w:color="auto"/>
            </w:tcBorders>
            <w:vAlign w:val="bottom"/>
          </w:tcPr>
          <w:p w14:paraId="253E5AB8" w14:textId="77777777" w:rsidR="00B91CC9" w:rsidRPr="00905499" w:rsidRDefault="00B91CC9" w:rsidP="00B91CC9">
            <w:pPr>
              <w:jc w:val="center"/>
              <w:rPr>
                <w:sz w:val="18"/>
                <w:szCs w:val="18"/>
                <w:lang w:val="en-US"/>
              </w:rPr>
            </w:pPr>
            <w:r w:rsidRPr="00905499">
              <w:rPr>
                <w:sz w:val="18"/>
                <w:szCs w:val="18"/>
                <w:lang w:val="en-US"/>
              </w:rPr>
              <w:t>No = 2893</w:t>
            </w:r>
          </w:p>
        </w:tc>
        <w:tc>
          <w:tcPr>
            <w:tcW w:w="1276" w:type="dxa"/>
            <w:tcBorders>
              <w:top w:val="single" w:sz="6" w:space="0" w:color="auto"/>
              <w:bottom w:val="single" w:sz="4" w:space="0" w:color="auto"/>
            </w:tcBorders>
            <w:vAlign w:val="bottom"/>
          </w:tcPr>
          <w:p w14:paraId="642B07E7" w14:textId="77777777" w:rsidR="00B91CC9" w:rsidRPr="00905499" w:rsidRDefault="00B91CC9" w:rsidP="00B91CC9">
            <w:pPr>
              <w:jc w:val="center"/>
              <w:rPr>
                <w:sz w:val="18"/>
                <w:szCs w:val="18"/>
                <w:lang w:val="en-US"/>
              </w:rPr>
            </w:pPr>
            <w:r w:rsidRPr="00905499">
              <w:rPr>
                <w:sz w:val="18"/>
                <w:szCs w:val="18"/>
                <w:lang w:val="en-US"/>
              </w:rPr>
              <w:t>Yes = 1915</w:t>
            </w:r>
          </w:p>
        </w:tc>
        <w:tc>
          <w:tcPr>
            <w:tcW w:w="992" w:type="dxa"/>
            <w:tcBorders>
              <w:top w:val="single" w:sz="4" w:space="0" w:color="auto"/>
              <w:bottom w:val="single" w:sz="4" w:space="0" w:color="auto"/>
            </w:tcBorders>
            <w:vAlign w:val="bottom"/>
          </w:tcPr>
          <w:p w14:paraId="61DB188F" w14:textId="77777777" w:rsidR="00B91CC9" w:rsidRPr="00905499" w:rsidRDefault="00B91CC9" w:rsidP="00B91CC9">
            <w:pPr>
              <w:jc w:val="center"/>
              <w:rPr>
                <w:sz w:val="18"/>
                <w:szCs w:val="18"/>
                <w:lang w:val="en-US"/>
              </w:rPr>
            </w:pPr>
            <w:r w:rsidRPr="00905499">
              <w:rPr>
                <w:sz w:val="18"/>
                <w:szCs w:val="18"/>
                <w:lang w:val="en-US"/>
              </w:rPr>
              <w:t>No =2870</w:t>
            </w:r>
          </w:p>
        </w:tc>
        <w:tc>
          <w:tcPr>
            <w:tcW w:w="1134" w:type="dxa"/>
            <w:tcBorders>
              <w:top w:val="single" w:sz="4" w:space="0" w:color="auto"/>
              <w:bottom w:val="single" w:sz="4" w:space="0" w:color="auto"/>
            </w:tcBorders>
            <w:vAlign w:val="bottom"/>
          </w:tcPr>
          <w:p w14:paraId="2D4A1884" w14:textId="77777777" w:rsidR="00B91CC9" w:rsidRPr="00905499" w:rsidRDefault="00B91CC9" w:rsidP="00B91CC9">
            <w:pPr>
              <w:jc w:val="center"/>
              <w:rPr>
                <w:sz w:val="18"/>
                <w:szCs w:val="18"/>
                <w:lang w:val="en-US"/>
              </w:rPr>
            </w:pPr>
            <w:r w:rsidRPr="00905499">
              <w:rPr>
                <w:sz w:val="18"/>
                <w:szCs w:val="18"/>
                <w:lang w:val="en-US"/>
              </w:rPr>
              <w:t>Yes =2912</w:t>
            </w:r>
          </w:p>
        </w:tc>
        <w:tc>
          <w:tcPr>
            <w:tcW w:w="850" w:type="dxa"/>
            <w:vMerge/>
            <w:tcBorders>
              <w:bottom w:val="single" w:sz="4" w:space="0" w:color="auto"/>
            </w:tcBorders>
          </w:tcPr>
          <w:p w14:paraId="0E9B4F61" w14:textId="77777777" w:rsidR="00B91CC9" w:rsidRPr="00905499" w:rsidRDefault="00B91CC9" w:rsidP="00216C03">
            <w:pPr>
              <w:jc w:val="center"/>
              <w:rPr>
                <w:sz w:val="18"/>
                <w:szCs w:val="18"/>
                <w:lang w:val="en-US"/>
              </w:rPr>
            </w:pPr>
          </w:p>
        </w:tc>
      </w:tr>
      <w:tr w:rsidR="00F608B4" w:rsidRPr="00905499" w14:paraId="7AE0A7AD" w14:textId="77777777" w:rsidTr="00216C03">
        <w:trPr>
          <w:trHeight w:val="226"/>
        </w:trPr>
        <w:tc>
          <w:tcPr>
            <w:tcW w:w="2895" w:type="dxa"/>
            <w:tcBorders>
              <w:top w:val="single" w:sz="4" w:space="0" w:color="auto"/>
            </w:tcBorders>
          </w:tcPr>
          <w:p w14:paraId="14526D76" w14:textId="77777777" w:rsidR="00F608B4" w:rsidRPr="00905499" w:rsidRDefault="00F608B4" w:rsidP="00216C03">
            <w:pPr>
              <w:rPr>
                <w:sz w:val="18"/>
                <w:szCs w:val="18"/>
                <w:lang w:val="en-US"/>
              </w:rPr>
            </w:pPr>
            <w:r w:rsidRPr="00905499">
              <w:rPr>
                <w:sz w:val="18"/>
                <w:szCs w:val="18"/>
                <w:lang w:val="en-US"/>
              </w:rPr>
              <w:t>Distance to a University (km)</w:t>
            </w:r>
          </w:p>
        </w:tc>
        <w:tc>
          <w:tcPr>
            <w:tcW w:w="1191" w:type="dxa"/>
            <w:tcBorders>
              <w:top w:val="single" w:sz="4" w:space="0" w:color="auto"/>
            </w:tcBorders>
          </w:tcPr>
          <w:p w14:paraId="393E0888" w14:textId="77777777" w:rsidR="00F608B4" w:rsidRPr="00905499" w:rsidRDefault="00F608B4" w:rsidP="00216C03">
            <w:pPr>
              <w:jc w:val="right"/>
              <w:rPr>
                <w:sz w:val="18"/>
                <w:szCs w:val="18"/>
                <w:lang w:val="en-US"/>
              </w:rPr>
            </w:pPr>
            <w:r w:rsidRPr="00905499">
              <w:rPr>
                <w:sz w:val="18"/>
                <w:szCs w:val="18"/>
                <w:lang w:val="en-US"/>
              </w:rPr>
              <w:t>34</w:t>
            </w:r>
          </w:p>
        </w:tc>
        <w:tc>
          <w:tcPr>
            <w:tcW w:w="1248" w:type="dxa"/>
            <w:tcBorders>
              <w:top w:val="single" w:sz="4" w:space="0" w:color="auto"/>
            </w:tcBorders>
            <w:vAlign w:val="center"/>
          </w:tcPr>
          <w:p w14:paraId="1BDA19E2" w14:textId="77777777" w:rsidR="00F608B4" w:rsidRPr="00905499" w:rsidRDefault="00F608B4" w:rsidP="00216C03">
            <w:pPr>
              <w:jc w:val="right"/>
              <w:rPr>
                <w:sz w:val="18"/>
                <w:szCs w:val="18"/>
                <w:lang w:val="en-US"/>
              </w:rPr>
            </w:pPr>
            <w:r w:rsidRPr="00905499">
              <w:rPr>
                <w:sz w:val="18"/>
                <w:szCs w:val="18"/>
                <w:lang w:val="en-US"/>
              </w:rPr>
              <w:t>45</w:t>
            </w:r>
          </w:p>
        </w:tc>
        <w:tc>
          <w:tcPr>
            <w:tcW w:w="1250" w:type="dxa"/>
            <w:tcBorders>
              <w:top w:val="single" w:sz="4" w:space="0" w:color="auto"/>
            </w:tcBorders>
            <w:vAlign w:val="center"/>
          </w:tcPr>
          <w:p w14:paraId="191FA9BA" w14:textId="77777777" w:rsidR="00F608B4" w:rsidRPr="00905499" w:rsidRDefault="00F608B4" w:rsidP="00216C03">
            <w:pPr>
              <w:jc w:val="right"/>
              <w:rPr>
                <w:sz w:val="18"/>
                <w:szCs w:val="18"/>
                <w:lang w:val="en-US"/>
              </w:rPr>
            </w:pPr>
            <w:r w:rsidRPr="00905499">
              <w:rPr>
                <w:sz w:val="18"/>
                <w:szCs w:val="18"/>
                <w:lang w:val="en-US"/>
              </w:rPr>
              <w:t>24</w:t>
            </w:r>
          </w:p>
        </w:tc>
        <w:tc>
          <w:tcPr>
            <w:tcW w:w="1061" w:type="dxa"/>
            <w:tcBorders>
              <w:top w:val="single" w:sz="4" w:space="0" w:color="auto"/>
              <w:left w:val="nil"/>
            </w:tcBorders>
            <w:vAlign w:val="center"/>
          </w:tcPr>
          <w:p w14:paraId="6EBF0801" w14:textId="77777777" w:rsidR="00F608B4" w:rsidRPr="00905499" w:rsidRDefault="00F608B4" w:rsidP="00216C03">
            <w:pPr>
              <w:jc w:val="right"/>
              <w:rPr>
                <w:sz w:val="18"/>
                <w:szCs w:val="18"/>
                <w:lang w:val="en-US"/>
              </w:rPr>
            </w:pPr>
            <w:r w:rsidRPr="00905499">
              <w:rPr>
                <w:sz w:val="18"/>
                <w:szCs w:val="18"/>
                <w:lang w:val="en-US"/>
              </w:rPr>
              <w:t>40</w:t>
            </w:r>
          </w:p>
        </w:tc>
        <w:tc>
          <w:tcPr>
            <w:tcW w:w="1066" w:type="dxa"/>
            <w:tcBorders>
              <w:top w:val="single" w:sz="4" w:space="0" w:color="auto"/>
            </w:tcBorders>
            <w:vAlign w:val="center"/>
          </w:tcPr>
          <w:p w14:paraId="31A2FA7C" w14:textId="77777777" w:rsidR="00F608B4" w:rsidRPr="00905499" w:rsidRDefault="00F608B4" w:rsidP="00216C03">
            <w:pPr>
              <w:jc w:val="right"/>
              <w:rPr>
                <w:sz w:val="18"/>
                <w:szCs w:val="18"/>
                <w:lang w:val="en-US"/>
              </w:rPr>
            </w:pPr>
            <w:r w:rsidRPr="00905499">
              <w:rPr>
                <w:sz w:val="18"/>
                <w:szCs w:val="18"/>
                <w:lang w:val="en-US"/>
              </w:rPr>
              <w:t>24</w:t>
            </w:r>
          </w:p>
        </w:tc>
        <w:tc>
          <w:tcPr>
            <w:tcW w:w="1212" w:type="dxa"/>
            <w:tcBorders>
              <w:top w:val="single" w:sz="4" w:space="0" w:color="auto"/>
              <w:left w:val="nil"/>
            </w:tcBorders>
            <w:vAlign w:val="center"/>
          </w:tcPr>
          <w:p w14:paraId="54704515" w14:textId="77777777" w:rsidR="00F608B4" w:rsidRPr="00905499" w:rsidRDefault="00F608B4" w:rsidP="00216C03">
            <w:pPr>
              <w:jc w:val="right"/>
              <w:rPr>
                <w:sz w:val="18"/>
                <w:szCs w:val="18"/>
                <w:lang w:val="en-US"/>
              </w:rPr>
            </w:pPr>
            <w:r w:rsidRPr="00905499">
              <w:rPr>
                <w:sz w:val="18"/>
                <w:szCs w:val="18"/>
                <w:lang w:val="en-US"/>
              </w:rPr>
              <w:t>29</w:t>
            </w:r>
          </w:p>
        </w:tc>
        <w:tc>
          <w:tcPr>
            <w:tcW w:w="1276" w:type="dxa"/>
            <w:tcBorders>
              <w:top w:val="single" w:sz="4" w:space="0" w:color="auto"/>
            </w:tcBorders>
            <w:vAlign w:val="center"/>
          </w:tcPr>
          <w:p w14:paraId="72170EE4" w14:textId="77777777" w:rsidR="00F608B4" w:rsidRPr="00905499" w:rsidRDefault="00F608B4" w:rsidP="00216C03">
            <w:pPr>
              <w:jc w:val="right"/>
              <w:rPr>
                <w:sz w:val="18"/>
                <w:szCs w:val="18"/>
                <w:lang w:val="en-US"/>
              </w:rPr>
            </w:pPr>
            <w:r w:rsidRPr="00905499">
              <w:rPr>
                <w:sz w:val="18"/>
                <w:szCs w:val="18"/>
                <w:lang w:val="en-US"/>
              </w:rPr>
              <w:t>15</w:t>
            </w:r>
          </w:p>
        </w:tc>
        <w:tc>
          <w:tcPr>
            <w:tcW w:w="992" w:type="dxa"/>
            <w:tcBorders>
              <w:top w:val="single" w:sz="4" w:space="0" w:color="auto"/>
            </w:tcBorders>
          </w:tcPr>
          <w:p w14:paraId="79A33FFA" w14:textId="77777777" w:rsidR="00F608B4" w:rsidRPr="00905499" w:rsidRDefault="00F608B4" w:rsidP="00216C03">
            <w:pPr>
              <w:jc w:val="right"/>
              <w:rPr>
                <w:sz w:val="18"/>
                <w:szCs w:val="18"/>
                <w:lang w:val="en-US"/>
              </w:rPr>
            </w:pPr>
            <w:r w:rsidRPr="00905499">
              <w:rPr>
                <w:sz w:val="18"/>
                <w:szCs w:val="18"/>
                <w:lang w:val="en-US"/>
              </w:rPr>
              <w:t>42</w:t>
            </w:r>
          </w:p>
        </w:tc>
        <w:tc>
          <w:tcPr>
            <w:tcW w:w="1134" w:type="dxa"/>
            <w:tcBorders>
              <w:top w:val="single" w:sz="4" w:space="0" w:color="auto"/>
            </w:tcBorders>
          </w:tcPr>
          <w:p w14:paraId="06DA6378" w14:textId="77777777" w:rsidR="00F608B4" w:rsidRPr="00905499" w:rsidRDefault="00F608B4" w:rsidP="00216C03">
            <w:pPr>
              <w:jc w:val="right"/>
              <w:rPr>
                <w:sz w:val="18"/>
                <w:szCs w:val="18"/>
                <w:lang w:val="en-US"/>
              </w:rPr>
            </w:pPr>
            <w:r w:rsidRPr="00905499">
              <w:rPr>
                <w:sz w:val="18"/>
                <w:szCs w:val="18"/>
                <w:lang w:val="en-US"/>
              </w:rPr>
              <w:t>37</w:t>
            </w:r>
          </w:p>
        </w:tc>
        <w:tc>
          <w:tcPr>
            <w:tcW w:w="850" w:type="dxa"/>
            <w:tcBorders>
              <w:top w:val="single" w:sz="4" w:space="0" w:color="auto"/>
            </w:tcBorders>
          </w:tcPr>
          <w:p w14:paraId="032699A3" w14:textId="77777777" w:rsidR="00F608B4" w:rsidRPr="00905499" w:rsidRDefault="00F608B4" w:rsidP="00216C03">
            <w:pPr>
              <w:jc w:val="right"/>
              <w:rPr>
                <w:sz w:val="18"/>
                <w:szCs w:val="18"/>
                <w:lang w:val="en-US"/>
              </w:rPr>
            </w:pPr>
            <w:r w:rsidRPr="00905499">
              <w:rPr>
                <w:sz w:val="18"/>
                <w:szCs w:val="18"/>
                <w:lang w:val="en-US"/>
              </w:rPr>
              <w:t>0</w:t>
            </w:r>
          </w:p>
        </w:tc>
      </w:tr>
      <w:tr w:rsidR="00F608B4" w:rsidRPr="00905499" w14:paraId="64CCE497" w14:textId="77777777" w:rsidTr="00216C03">
        <w:trPr>
          <w:trHeight w:val="242"/>
        </w:trPr>
        <w:tc>
          <w:tcPr>
            <w:tcW w:w="2895" w:type="dxa"/>
          </w:tcPr>
          <w:p w14:paraId="178D9129" w14:textId="77777777" w:rsidR="00F608B4" w:rsidRPr="00905499" w:rsidRDefault="00F608B4" w:rsidP="00216C03">
            <w:pPr>
              <w:rPr>
                <w:sz w:val="18"/>
                <w:szCs w:val="18"/>
                <w:lang w:val="en-US"/>
              </w:rPr>
            </w:pPr>
            <w:r w:rsidRPr="00905499">
              <w:rPr>
                <w:sz w:val="18"/>
                <w:szCs w:val="18"/>
                <w:lang w:val="en-US"/>
              </w:rPr>
              <w:t>Distance to an Go8 (km)</w:t>
            </w:r>
          </w:p>
        </w:tc>
        <w:tc>
          <w:tcPr>
            <w:tcW w:w="1191" w:type="dxa"/>
          </w:tcPr>
          <w:p w14:paraId="2D069F4C" w14:textId="77777777" w:rsidR="00F608B4" w:rsidRPr="00905499" w:rsidRDefault="00F608B4" w:rsidP="00216C03">
            <w:pPr>
              <w:jc w:val="right"/>
              <w:rPr>
                <w:sz w:val="18"/>
                <w:szCs w:val="18"/>
                <w:lang w:val="en-US"/>
              </w:rPr>
            </w:pPr>
            <w:r w:rsidRPr="00905499">
              <w:rPr>
                <w:sz w:val="18"/>
                <w:szCs w:val="18"/>
                <w:lang w:val="en-US"/>
              </w:rPr>
              <w:t>145</w:t>
            </w:r>
          </w:p>
        </w:tc>
        <w:tc>
          <w:tcPr>
            <w:tcW w:w="1248" w:type="dxa"/>
            <w:vAlign w:val="center"/>
          </w:tcPr>
          <w:p w14:paraId="7219F26F" w14:textId="77777777" w:rsidR="00F608B4" w:rsidRPr="00905499" w:rsidRDefault="00F608B4" w:rsidP="00216C03">
            <w:pPr>
              <w:jc w:val="right"/>
              <w:rPr>
                <w:sz w:val="18"/>
                <w:szCs w:val="18"/>
                <w:lang w:val="en-US"/>
              </w:rPr>
            </w:pPr>
            <w:r w:rsidRPr="00905499">
              <w:rPr>
                <w:sz w:val="18"/>
                <w:szCs w:val="18"/>
                <w:lang w:val="en-US"/>
              </w:rPr>
              <w:t>168</w:t>
            </w:r>
          </w:p>
        </w:tc>
        <w:tc>
          <w:tcPr>
            <w:tcW w:w="1250" w:type="dxa"/>
            <w:vAlign w:val="center"/>
          </w:tcPr>
          <w:p w14:paraId="687685A2" w14:textId="77777777" w:rsidR="00F608B4" w:rsidRPr="00905499" w:rsidRDefault="00F608B4" w:rsidP="00216C03">
            <w:pPr>
              <w:jc w:val="right"/>
              <w:rPr>
                <w:sz w:val="18"/>
                <w:szCs w:val="18"/>
                <w:lang w:val="en-US"/>
              </w:rPr>
            </w:pPr>
            <w:r w:rsidRPr="00905499">
              <w:rPr>
                <w:sz w:val="18"/>
                <w:szCs w:val="18"/>
                <w:lang w:val="en-US"/>
              </w:rPr>
              <w:t>124</w:t>
            </w:r>
          </w:p>
        </w:tc>
        <w:tc>
          <w:tcPr>
            <w:tcW w:w="1061" w:type="dxa"/>
            <w:tcBorders>
              <w:left w:val="nil"/>
            </w:tcBorders>
            <w:vAlign w:val="center"/>
          </w:tcPr>
          <w:p w14:paraId="25F174B1" w14:textId="77777777" w:rsidR="00F608B4" w:rsidRPr="00905499" w:rsidRDefault="00F608B4" w:rsidP="00216C03">
            <w:pPr>
              <w:jc w:val="right"/>
              <w:rPr>
                <w:sz w:val="18"/>
                <w:szCs w:val="18"/>
                <w:lang w:val="en-US"/>
              </w:rPr>
            </w:pPr>
            <w:r w:rsidRPr="00905499">
              <w:rPr>
                <w:sz w:val="18"/>
                <w:szCs w:val="18"/>
                <w:lang w:val="en-US"/>
              </w:rPr>
              <w:t>162</w:t>
            </w:r>
          </w:p>
        </w:tc>
        <w:tc>
          <w:tcPr>
            <w:tcW w:w="1066" w:type="dxa"/>
            <w:vAlign w:val="center"/>
          </w:tcPr>
          <w:p w14:paraId="3B165FCD" w14:textId="77777777" w:rsidR="00F608B4" w:rsidRPr="00905499" w:rsidRDefault="00F608B4" w:rsidP="00216C03">
            <w:pPr>
              <w:jc w:val="right"/>
              <w:rPr>
                <w:sz w:val="18"/>
                <w:szCs w:val="18"/>
                <w:lang w:val="en-US"/>
              </w:rPr>
            </w:pPr>
            <w:r w:rsidRPr="00905499">
              <w:rPr>
                <w:sz w:val="18"/>
                <w:szCs w:val="18"/>
                <w:lang w:val="en-US"/>
              </w:rPr>
              <w:t>113</w:t>
            </w:r>
          </w:p>
        </w:tc>
        <w:tc>
          <w:tcPr>
            <w:tcW w:w="1212" w:type="dxa"/>
            <w:tcBorders>
              <w:left w:val="nil"/>
            </w:tcBorders>
            <w:vAlign w:val="center"/>
          </w:tcPr>
          <w:p w14:paraId="64660979" w14:textId="77777777" w:rsidR="00F608B4" w:rsidRPr="00905499" w:rsidRDefault="00F608B4" w:rsidP="00216C03">
            <w:pPr>
              <w:jc w:val="right"/>
              <w:rPr>
                <w:sz w:val="18"/>
                <w:szCs w:val="18"/>
                <w:lang w:val="en-US"/>
              </w:rPr>
            </w:pPr>
            <w:r w:rsidRPr="00905499">
              <w:rPr>
                <w:sz w:val="18"/>
                <w:szCs w:val="18"/>
                <w:lang w:val="en-US"/>
              </w:rPr>
              <w:t>137</w:t>
            </w:r>
          </w:p>
        </w:tc>
        <w:tc>
          <w:tcPr>
            <w:tcW w:w="1276" w:type="dxa"/>
            <w:vAlign w:val="center"/>
          </w:tcPr>
          <w:p w14:paraId="3986442B" w14:textId="77777777" w:rsidR="00F608B4" w:rsidRPr="00905499" w:rsidRDefault="00F608B4" w:rsidP="00216C03">
            <w:pPr>
              <w:jc w:val="right"/>
              <w:rPr>
                <w:sz w:val="18"/>
                <w:szCs w:val="18"/>
                <w:lang w:val="en-US"/>
              </w:rPr>
            </w:pPr>
            <w:r w:rsidRPr="00905499">
              <w:rPr>
                <w:sz w:val="18"/>
                <w:szCs w:val="18"/>
                <w:lang w:val="en-US"/>
              </w:rPr>
              <w:t>69</w:t>
            </w:r>
          </w:p>
        </w:tc>
        <w:tc>
          <w:tcPr>
            <w:tcW w:w="992" w:type="dxa"/>
          </w:tcPr>
          <w:p w14:paraId="6EF1FDF6" w14:textId="77777777" w:rsidR="00F608B4" w:rsidRPr="00905499" w:rsidRDefault="00F608B4" w:rsidP="00216C03">
            <w:pPr>
              <w:jc w:val="right"/>
              <w:rPr>
                <w:sz w:val="18"/>
                <w:szCs w:val="18"/>
                <w:lang w:val="en-US"/>
              </w:rPr>
            </w:pPr>
            <w:r w:rsidRPr="00905499">
              <w:rPr>
                <w:sz w:val="18"/>
                <w:szCs w:val="18"/>
                <w:lang w:val="en-US"/>
              </w:rPr>
              <w:t>170</w:t>
            </w:r>
          </w:p>
        </w:tc>
        <w:tc>
          <w:tcPr>
            <w:tcW w:w="1134" w:type="dxa"/>
          </w:tcPr>
          <w:p w14:paraId="54A8A620" w14:textId="77777777" w:rsidR="00F608B4" w:rsidRPr="00905499" w:rsidRDefault="00F608B4" w:rsidP="00216C03">
            <w:pPr>
              <w:jc w:val="right"/>
              <w:rPr>
                <w:sz w:val="18"/>
                <w:szCs w:val="18"/>
                <w:lang w:val="en-US"/>
              </w:rPr>
            </w:pPr>
            <w:r w:rsidRPr="00905499">
              <w:rPr>
                <w:sz w:val="18"/>
                <w:szCs w:val="18"/>
                <w:lang w:val="en-US"/>
              </w:rPr>
              <w:t>160</w:t>
            </w:r>
          </w:p>
        </w:tc>
        <w:tc>
          <w:tcPr>
            <w:tcW w:w="850" w:type="dxa"/>
          </w:tcPr>
          <w:p w14:paraId="64F9F8DB" w14:textId="77777777" w:rsidR="00F608B4" w:rsidRPr="00905499" w:rsidRDefault="00F608B4" w:rsidP="00216C03">
            <w:pPr>
              <w:jc w:val="right"/>
              <w:rPr>
                <w:sz w:val="18"/>
                <w:szCs w:val="18"/>
                <w:lang w:val="en-US"/>
              </w:rPr>
            </w:pPr>
            <w:r w:rsidRPr="00905499">
              <w:rPr>
                <w:sz w:val="18"/>
                <w:szCs w:val="18"/>
                <w:lang w:val="en-US"/>
              </w:rPr>
              <w:t>0</w:t>
            </w:r>
          </w:p>
        </w:tc>
      </w:tr>
      <w:tr w:rsidR="00F608B4" w:rsidRPr="00905499" w14:paraId="00ADA843" w14:textId="77777777" w:rsidTr="00216C03">
        <w:trPr>
          <w:trHeight w:val="242"/>
        </w:trPr>
        <w:tc>
          <w:tcPr>
            <w:tcW w:w="2895" w:type="dxa"/>
          </w:tcPr>
          <w:p w14:paraId="236A5870" w14:textId="77777777" w:rsidR="00F608B4" w:rsidRPr="00905499" w:rsidRDefault="00F608B4" w:rsidP="00216C03">
            <w:pPr>
              <w:rPr>
                <w:sz w:val="18"/>
                <w:szCs w:val="18"/>
                <w:lang w:val="en-US"/>
              </w:rPr>
            </w:pPr>
            <w:r w:rsidRPr="00905499">
              <w:rPr>
                <w:sz w:val="18"/>
                <w:szCs w:val="18"/>
                <w:lang w:val="en-US"/>
              </w:rPr>
              <w:t xml:space="preserve">No. </w:t>
            </w:r>
            <w:proofErr w:type="gramStart"/>
            <w:r w:rsidRPr="00905499">
              <w:rPr>
                <w:sz w:val="18"/>
                <w:szCs w:val="18"/>
                <w:lang w:val="en-US"/>
              </w:rPr>
              <w:t>of</w:t>
            </w:r>
            <w:proofErr w:type="gramEnd"/>
            <w:r w:rsidRPr="00905499">
              <w:rPr>
                <w:sz w:val="18"/>
                <w:szCs w:val="18"/>
                <w:lang w:val="en-US"/>
              </w:rPr>
              <w:t xml:space="preserve"> Universities in proximity</w:t>
            </w:r>
          </w:p>
        </w:tc>
        <w:tc>
          <w:tcPr>
            <w:tcW w:w="1191" w:type="dxa"/>
          </w:tcPr>
          <w:p w14:paraId="41CF8386" w14:textId="77777777" w:rsidR="00F608B4" w:rsidRPr="00905499" w:rsidRDefault="00F608B4" w:rsidP="00216C03">
            <w:pPr>
              <w:jc w:val="right"/>
              <w:rPr>
                <w:sz w:val="18"/>
                <w:szCs w:val="18"/>
                <w:lang w:val="en-US"/>
              </w:rPr>
            </w:pPr>
            <w:r w:rsidRPr="00905499">
              <w:rPr>
                <w:sz w:val="18"/>
                <w:szCs w:val="18"/>
                <w:lang w:val="en-US"/>
              </w:rPr>
              <w:t>6.9</w:t>
            </w:r>
          </w:p>
        </w:tc>
        <w:tc>
          <w:tcPr>
            <w:tcW w:w="1248" w:type="dxa"/>
            <w:vAlign w:val="center"/>
          </w:tcPr>
          <w:p w14:paraId="50F5866B" w14:textId="77777777" w:rsidR="00F608B4" w:rsidRPr="00905499" w:rsidRDefault="00F608B4" w:rsidP="00216C03">
            <w:pPr>
              <w:jc w:val="right"/>
              <w:rPr>
                <w:sz w:val="18"/>
                <w:szCs w:val="18"/>
                <w:lang w:val="en-US"/>
              </w:rPr>
            </w:pPr>
            <w:r w:rsidRPr="00905499">
              <w:rPr>
                <w:sz w:val="18"/>
                <w:szCs w:val="18"/>
                <w:lang w:val="en-US"/>
              </w:rPr>
              <w:t>5.2</w:t>
            </w:r>
          </w:p>
        </w:tc>
        <w:tc>
          <w:tcPr>
            <w:tcW w:w="1250" w:type="dxa"/>
            <w:vAlign w:val="center"/>
          </w:tcPr>
          <w:p w14:paraId="76328F6F" w14:textId="77777777" w:rsidR="00F608B4" w:rsidRPr="00905499" w:rsidRDefault="00F608B4" w:rsidP="00216C03">
            <w:pPr>
              <w:jc w:val="right"/>
              <w:rPr>
                <w:sz w:val="18"/>
                <w:szCs w:val="18"/>
                <w:lang w:val="en-US"/>
              </w:rPr>
            </w:pPr>
            <w:r w:rsidRPr="00905499">
              <w:rPr>
                <w:sz w:val="18"/>
                <w:szCs w:val="18"/>
                <w:lang w:val="en-US"/>
              </w:rPr>
              <w:t>8.4</w:t>
            </w:r>
          </w:p>
        </w:tc>
        <w:tc>
          <w:tcPr>
            <w:tcW w:w="1061" w:type="dxa"/>
            <w:tcBorders>
              <w:left w:val="nil"/>
            </w:tcBorders>
            <w:vAlign w:val="center"/>
          </w:tcPr>
          <w:p w14:paraId="0CB589FE" w14:textId="77777777" w:rsidR="00F608B4" w:rsidRPr="00905499" w:rsidRDefault="00F608B4" w:rsidP="00216C03">
            <w:pPr>
              <w:jc w:val="right"/>
              <w:rPr>
                <w:sz w:val="18"/>
                <w:szCs w:val="18"/>
                <w:lang w:val="en-US"/>
              </w:rPr>
            </w:pPr>
            <w:r w:rsidRPr="00905499">
              <w:rPr>
                <w:sz w:val="18"/>
                <w:szCs w:val="18"/>
                <w:lang w:val="en-US"/>
              </w:rPr>
              <w:t>5.3</w:t>
            </w:r>
          </w:p>
        </w:tc>
        <w:tc>
          <w:tcPr>
            <w:tcW w:w="1066" w:type="dxa"/>
            <w:vAlign w:val="center"/>
          </w:tcPr>
          <w:p w14:paraId="2B7B81B5" w14:textId="77777777" w:rsidR="00F608B4" w:rsidRPr="00905499" w:rsidRDefault="00F608B4" w:rsidP="00216C03">
            <w:pPr>
              <w:jc w:val="right"/>
              <w:rPr>
                <w:sz w:val="18"/>
                <w:szCs w:val="18"/>
                <w:lang w:val="en-US"/>
              </w:rPr>
            </w:pPr>
            <w:r w:rsidRPr="00905499">
              <w:rPr>
                <w:sz w:val="18"/>
                <w:szCs w:val="18"/>
                <w:lang w:val="en-US"/>
              </w:rPr>
              <w:t>9.9</w:t>
            </w:r>
          </w:p>
        </w:tc>
        <w:tc>
          <w:tcPr>
            <w:tcW w:w="1212" w:type="dxa"/>
            <w:tcBorders>
              <w:left w:val="nil"/>
            </w:tcBorders>
            <w:vAlign w:val="center"/>
          </w:tcPr>
          <w:p w14:paraId="3C2BCB94" w14:textId="77777777" w:rsidR="00F608B4" w:rsidRPr="00905499" w:rsidRDefault="00F608B4" w:rsidP="00216C03">
            <w:pPr>
              <w:jc w:val="right"/>
              <w:rPr>
                <w:sz w:val="18"/>
                <w:szCs w:val="18"/>
                <w:lang w:val="en-US"/>
              </w:rPr>
            </w:pPr>
            <w:r w:rsidRPr="00905499">
              <w:rPr>
                <w:sz w:val="18"/>
                <w:szCs w:val="18"/>
                <w:lang w:val="en-US"/>
              </w:rPr>
              <w:t>8.2</w:t>
            </w:r>
          </w:p>
        </w:tc>
        <w:tc>
          <w:tcPr>
            <w:tcW w:w="1276" w:type="dxa"/>
            <w:vAlign w:val="center"/>
          </w:tcPr>
          <w:p w14:paraId="772DC9E6" w14:textId="77777777" w:rsidR="00F608B4" w:rsidRPr="00905499" w:rsidRDefault="00F608B4" w:rsidP="00216C03">
            <w:pPr>
              <w:jc w:val="right"/>
              <w:rPr>
                <w:sz w:val="18"/>
                <w:szCs w:val="18"/>
                <w:lang w:val="en-US"/>
              </w:rPr>
            </w:pPr>
            <w:r w:rsidRPr="00905499">
              <w:rPr>
                <w:sz w:val="18"/>
                <w:szCs w:val="18"/>
                <w:lang w:val="en-US"/>
              </w:rPr>
              <w:t>12.9</w:t>
            </w:r>
          </w:p>
        </w:tc>
        <w:tc>
          <w:tcPr>
            <w:tcW w:w="992" w:type="dxa"/>
          </w:tcPr>
          <w:p w14:paraId="32A7744B" w14:textId="77777777" w:rsidR="00F608B4" w:rsidRPr="00905499" w:rsidRDefault="00F608B4" w:rsidP="00216C03">
            <w:pPr>
              <w:jc w:val="right"/>
              <w:rPr>
                <w:sz w:val="18"/>
                <w:szCs w:val="18"/>
                <w:lang w:val="en-US"/>
              </w:rPr>
            </w:pPr>
            <w:r w:rsidRPr="00905499">
              <w:rPr>
                <w:sz w:val="18"/>
                <w:szCs w:val="18"/>
                <w:lang w:val="en-US"/>
              </w:rPr>
              <w:t>6.2</w:t>
            </w:r>
          </w:p>
        </w:tc>
        <w:tc>
          <w:tcPr>
            <w:tcW w:w="1134" w:type="dxa"/>
          </w:tcPr>
          <w:p w14:paraId="5D251EE9" w14:textId="77777777" w:rsidR="00F608B4" w:rsidRPr="00905499" w:rsidRDefault="00F608B4" w:rsidP="00216C03">
            <w:pPr>
              <w:jc w:val="right"/>
              <w:rPr>
                <w:sz w:val="18"/>
                <w:szCs w:val="18"/>
                <w:lang w:val="en-US"/>
              </w:rPr>
            </w:pPr>
            <w:r w:rsidRPr="00905499">
              <w:rPr>
                <w:sz w:val="18"/>
                <w:szCs w:val="18"/>
                <w:lang w:val="en-US"/>
              </w:rPr>
              <w:t>8.4</w:t>
            </w:r>
          </w:p>
        </w:tc>
        <w:tc>
          <w:tcPr>
            <w:tcW w:w="850" w:type="dxa"/>
          </w:tcPr>
          <w:p w14:paraId="741FBD4A" w14:textId="77777777" w:rsidR="00F608B4" w:rsidRPr="00905499" w:rsidRDefault="00F608B4" w:rsidP="00216C03">
            <w:pPr>
              <w:jc w:val="right"/>
              <w:rPr>
                <w:sz w:val="18"/>
                <w:szCs w:val="18"/>
                <w:lang w:val="en-US"/>
              </w:rPr>
            </w:pPr>
            <w:r w:rsidRPr="00905499">
              <w:rPr>
                <w:sz w:val="18"/>
                <w:szCs w:val="18"/>
                <w:lang w:val="en-US"/>
              </w:rPr>
              <w:t>0</w:t>
            </w:r>
          </w:p>
        </w:tc>
      </w:tr>
      <w:tr w:rsidR="00F608B4" w:rsidRPr="00905499" w14:paraId="145960F0" w14:textId="77777777" w:rsidTr="00216C03">
        <w:trPr>
          <w:trHeight w:val="242"/>
        </w:trPr>
        <w:tc>
          <w:tcPr>
            <w:tcW w:w="2895" w:type="dxa"/>
          </w:tcPr>
          <w:p w14:paraId="211CC6DE" w14:textId="77777777" w:rsidR="00F608B4" w:rsidRPr="00905499" w:rsidRDefault="00F608B4" w:rsidP="00216C03">
            <w:pPr>
              <w:rPr>
                <w:sz w:val="18"/>
                <w:szCs w:val="18"/>
                <w:lang w:val="en-US"/>
              </w:rPr>
            </w:pPr>
            <w:r w:rsidRPr="00905499">
              <w:rPr>
                <w:sz w:val="18"/>
                <w:szCs w:val="18"/>
                <w:lang w:val="en-US"/>
              </w:rPr>
              <w:t xml:space="preserve">No. </w:t>
            </w:r>
            <w:proofErr w:type="gramStart"/>
            <w:r w:rsidRPr="00905499">
              <w:rPr>
                <w:sz w:val="18"/>
                <w:szCs w:val="18"/>
                <w:lang w:val="en-US"/>
              </w:rPr>
              <w:t>of</w:t>
            </w:r>
            <w:proofErr w:type="gramEnd"/>
            <w:r w:rsidRPr="00905499">
              <w:rPr>
                <w:sz w:val="18"/>
                <w:szCs w:val="18"/>
                <w:lang w:val="en-US"/>
              </w:rPr>
              <w:t xml:space="preserve"> Go8 in proximity</w:t>
            </w:r>
          </w:p>
        </w:tc>
        <w:tc>
          <w:tcPr>
            <w:tcW w:w="1191" w:type="dxa"/>
          </w:tcPr>
          <w:p w14:paraId="6805F2C9" w14:textId="77777777" w:rsidR="00F608B4" w:rsidRPr="00905499" w:rsidRDefault="00F608B4" w:rsidP="00216C03">
            <w:pPr>
              <w:jc w:val="right"/>
              <w:rPr>
                <w:sz w:val="18"/>
                <w:szCs w:val="18"/>
                <w:lang w:val="en-US"/>
              </w:rPr>
            </w:pPr>
            <w:r w:rsidRPr="00905499">
              <w:rPr>
                <w:sz w:val="18"/>
                <w:szCs w:val="18"/>
                <w:lang w:val="en-US"/>
              </w:rPr>
              <w:t>1.3</w:t>
            </w:r>
          </w:p>
        </w:tc>
        <w:tc>
          <w:tcPr>
            <w:tcW w:w="1248" w:type="dxa"/>
            <w:vAlign w:val="center"/>
          </w:tcPr>
          <w:p w14:paraId="474000F1" w14:textId="77777777" w:rsidR="00F608B4" w:rsidRPr="00905499" w:rsidRDefault="00F608B4" w:rsidP="00216C03">
            <w:pPr>
              <w:jc w:val="right"/>
              <w:rPr>
                <w:sz w:val="18"/>
                <w:szCs w:val="18"/>
                <w:lang w:val="en-US"/>
              </w:rPr>
            </w:pPr>
            <w:r w:rsidRPr="00905499">
              <w:rPr>
                <w:sz w:val="18"/>
                <w:szCs w:val="18"/>
                <w:lang w:val="en-US"/>
              </w:rPr>
              <w:t>1.0</w:t>
            </w:r>
          </w:p>
        </w:tc>
        <w:tc>
          <w:tcPr>
            <w:tcW w:w="1250" w:type="dxa"/>
            <w:vAlign w:val="center"/>
          </w:tcPr>
          <w:p w14:paraId="7D70FFB4" w14:textId="77777777" w:rsidR="00F608B4" w:rsidRPr="00905499" w:rsidRDefault="00F608B4" w:rsidP="00216C03">
            <w:pPr>
              <w:jc w:val="right"/>
              <w:rPr>
                <w:sz w:val="18"/>
                <w:szCs w:val="18"/>
                <w:lang w:val="en-US"/>
              </w:rPr>
            </w:pPr>
            <w:r w:rsidRPr="00905499">
              <w:rPr>
                <w:sz w:val="18"/>
                <w:szCs w:val="18"/>
                <w:lang w:val="en-US"/>
              </w:rPr>
              <w:t>1.6</w:t>
            </w:r>
          </w:p>
        </w:tc>
        <w:tc>
          <w:tcPr>
            <w:tcW w:w="1061" w:type="dxa"/>
            <w:tcBorders>
              <w:left w:val="nil"/>
            </w:tcBorders>
            <w:vAlign w:val="center"/>
          </w:tcPr>
          <w:p w14:paraId="730E9AA4" w14:textId="77777777" w:rsidR="00F608B4" w:rsidRPr="00905499" w:rsidRDefault="00F608B4" w:rsidP="00216C03">
            <w:pPr>
              <w:jc w:val="right"/>
              <w:rPr>
                <w:sz w:val="18"/>
                <w:szCs w:val="18"/>
                <w:lang w:val="en-US"/>
              </w:rPr>
            </w:pPr>
            <w:r w:rsidRPr="00905499">
              <w:rPr>
                <w:sz w:val="18"/>
                <w:szCs w:val="18"/>
                <w:lang w:val="en-US"/>
              </w:rPr>
              <w:t>1.0</w:t>
            </w:r>
          </w:p>
        </w:tc>
        <w:tc>
          <w:tcPr>
            <w:tcW w:w="1066" w:type="dxa"/>
            <w:vAlign w:val="center"/>
          </w:tcPr>
          <w:p w14:paraId="124F8855" w14:textId="77777777" w:rsidR="00F608B4" w:rsidRPr="00905499" w:rsidRDefault="00F608B4" w:rsidP="00216C03">
            <w:pPr>
              <w:jc w:val="right"/>
              <w:rPr>
                <w:sz w:val="18"/>
                <w:szCs w:val="18"/>
                <w:lang w:val="en-US"/>
              </w:rPr>
            </w:pPr>
            <w:r w:rsidRPr="00905499">
              <w:rPr>
                <w:sz w:val="18"/>
                <w:szCs w:val="18"/>
                <w:lang w:val="en-US"/>
              </w:rPr>
              <w:t>2.0</w:t>
            </w:r>
          </w:p>
        </w:tc>
        <w:tc>
          <w:tcPr>
            <w:tcW w:w="1212" w:type="dxa"/>
            <w:tcBorders>
              <w:left w:val="nil"/>
            </w:tcBorders>
            <w:vAlign w:val="center"/>
          </w:tcPr>
          <w:p w14:paraId="102DD702" w14:textId="77777777" w:rsidR="00F608B4" w:rsidRPr="00905499" w:rsidRDefault="00F608B4" w:rsidP="00216C03">
            <w:pPr>
              <w:jc w:val="right"/>
              <w:rPr>
                <w:sz w:val="18"/>
                <w:szCs w:val="18"/>
                <w:lang w:val="en-US"/>
              </w:rPr>
            </w:pPr>
            <w:r w:rsidRPr="00905499">
              <w:rPr>
                <w:sz w:val="18"/>
                <w:szCs w:val="18"/>
                <w:lang w:val="en-US"/>
              </w:rPr>
              <w:t>1.5</w:t>
            </w:r>
          </w:p>
        </w:tc>
        <w:tc>
          <w:tcPr>
            <w:tcW w:w="1276" w:type="dxa"/>
            <w:vAlign w:val="center"/>
          </w:tcPr>
          <w:p w14:paraId="499E2F0F" w14:textId="77777777" w:rsidR="00F608B4" w:rsidRPr="00905499" w:rsidRDefault="00F608B4" w:rsidP="00216C03">
            <w:pPr>
              <w:jc w:val="right"/>
              <w:rPr>
                <w:sz w:val="18"/>
                <w:szCs w:val="18"/>
                <w:lang w:val="en-US"/>
              </w:rPr>
            </w:pPr>
            <w:r w:rsidRPr="00905499">
              <w:rPr>
                <w:sz w:val="18"/>
                <w:szCs w:val="18"/>
                <w:lang w:val="en-US"/>
              </w:rPr>
              <w:t>2.8</w:t>
            </w:r>
          </w:p>
        </w:tc>
        <w:tc>
          <w:tcPr>
            <w:tcW w:w="992" w:type="dxa"/>
          </w:tcPr>
          <w:p w14:paraId="5480294A" w14:textId="77777777" w:rsidR="00F608B4" w:rsidRPr="00905499" w:rsidRDefault="00F608B4" w:rsidP="00216C03">
            <w:pPr>
              <w:jc w:val="right"/>
              <w:rPr>
                <w:sz w:val="18"/>
                <w:szCs w:val="18"/>
                <w:lang w:val="en-US"/>
              </w:rPr>
            </w:pPr>
            <w:r w:rsidRPr="00905499">
              <w:rPr>
                <w:sz w:val="18"/>
                <w:szCs w:val="18"/>
                <w:lang w:val="en-US"/>
              </w:rPr>
              <w:t>1.4</w:t>
            </w:r>
          </w:p>
        </w:tc>
        <w:tc>
          <w:tcPr>
            <w:tcW w:w="1134" w:type="dxa"/>
          </w:tcPr>
          <w:p w14:paraId="53BCE9BA" w14:textId="77777777" w:rsidR="00F608B4" w:rsidRPr="00905499" w:rsidRDefault="00F608B4" w:rsidP="00216C03">
            <w:pPr>
              <w:jc w:val="right"/>
              <w:rPr>
                <w:sz w:val="18"/>
                <w:szCs w:val="18"/>
                <w:lang w:val="en-US"/>
              </w:rPr>
            </w:pPr>
            <w:r w:rsidRPr="00905499">
              <w:rPr>
                <w:sz w:val="18"/>
                <w:szCs w:val="18"/>
                <w:lang w:val="en-US"/>
              </w:rPr>
              <w:t>1.6</w:t>
            </w:r>
          </w:p>
        </w:tc>
        <w:tc>
          <w:tcPr>
            <w:tcW w:w="850" w:type="dxa"/>
          </w:tcPr>
          <w:p w14:paraId="115F695A" w14:textId="77777777" w:rsidR="00F608B4" w:rsidRPr="00905499" w:rsidRDefault="00F608B4" w:rsidP="00216C03">
            <w:pPr>
              <w:jc w:val="right"/>
              <w:rPr>
                <w:sz w:val="18"/>
                <w:szCs w:val="18"/>
                <w:lang w:val="en-US"/>
              </w:rPr>
            </w:pPr>
            <w:r w:rsidRPr="00905499">
              <w:rPr>
                <w:sz w:val="18"/>
                <w:szCs w:val="18"/>
                <w:lang w:val="en-US"/>
              </w:rPr>
              <w:t>0</w:t>
            </w:r>
          </w:p>
        </w:tc>
      </w:tr>
      <w:tr w:rsidR="00F608B4" w:rsidRPr="00905499" w14:paraId="3538B32D" w14:textId="77777777" w:rsidTr="00216C03">
        <w:trPr>
          <w:trHeight w:val="242"/>
        </w:trPr>
        <w:tc>
          <w:tcPr>
            <w:tcW w:w="2895" w:type="dxa"/>
          </w:tcPr>
          <w:p w14:paraId="43E8965A" w14:textId="77777777" w:rsidR="00F608B4" w:rsidRPr="00905499" w:rsidRDefault="00F608B4" w:rsidP="00216C03">
            <w:pPr>
              <w:rPr>
                <w:sz w:val="18"/>
                <w:szCs w:val="18"/>
                <w:lang w:val="en-US"/>
              </w:rPr>
            </w:pPr>
            <w:r w:rsidRPr="00905499">
              <w:rPr>
                <w:sz w:val="18"/>
                <w:szCs w:val="18"/>
                <w:lang w:val="en-US"/>
              </w:rPr>
              <w:t>PISA ESCS</w:t>
            </w:r>
          </w:p>
        </w:tc>
        <w:tc>
          <w:tcPr>
            <w:tcW w:w="1191" w:type="dxa"/>
          </w:tcPr>
          <w:p w14:paraId="4CDCD941" w14:textId="77777777" w:rsidR="00F608B4" w:rsidRPr="00905499" w:rsidRDefault="00F608B4" w:rsidP="00216C03">
            <w:pPr>
              <w:jc w:val="right"/>
              <w:rPr>
                <w:sz w:val="18"/>
                <w:szCs w:val="18"/>
                <w:lang w:val="en-US"/>
              </w:rPr>
            </w:pPr>
            <w:r w:rsidRPr="00905499">
              <w:rPr>
                <w:sz w:val="18"/>
                <w:szCs w:val="18"/>
                <w:lang w:val="en-US"/>
              </w:rPr>
              <w:t>.23</w:t>
            </w:r>
          </w:p>
        </w:tc>
        <w:tc>
          <w:tcPr>
            <w:tcW w:w="1248" w:type="dxa"/>
            <w:vAlign w:val="center"/>
          </w:tcPr>
          <w:p w14:paraId="4F87754B" w14:textId="77777777" w:rsidR="00F608B4" w:rsidRPr="00905499" w:rsidRDefault="00F608B4" w:rsidP="00216C03">
            <w:pPr>
              <w:jc w:val="right"/>
              <w:rPr>
                <w:sz w:val="18"/>
                <w:szCs w:val="18"/>
                <w:lang w:val="en-US"/>
              </w:rPr>
            </w:pPr>
            <w:r w:rsidRPr="00905499">
              <w:rPr>
                <w:sz w:val="18"/>
                <w:szCs w:val="18"/>
                <w:lang w:val="en-US"/>
              </w:rPr>
              <w:t>.05</w:t>
            </w:r>
          </w:p>
        </w:tc>
        <w:tc>
          <w:tcPr>
            <w:tcW w:w="1250" w:type="dxa"/>
            <w:vAlign w:val="center"/>
          </w:tcPr>
          <w:p w14:paraId="1AABA08E" w14:textId="77777777" w:rsidR="00F608B4" w:rsidRPr="00905499" w:rsidRDefault="00F608B4" w:rsidP="00216C03">
            <w:pPr>
              <w:jc w:val="right"/>
              <w:rPr>
                <w:sz w:val="18"/>
                <w:szCs w:val="18"/>
                <w:lang w:val="en-US"/>
              </w:rPr>
            </w:pPr>
            <w:r w:rsidRPr="00905499">
              <w:rPr>
                <w:sz w:val="18"/>
                <w:szCs w:val="18"/>
                <w:lang w:val="en-US"/>
              </w:rPr>
              <w:t>.39</w:t>
            </w:r>
          </w:p>
        </w:tc>
        <w:tc>
          <w:tcPr>
            <w:tcW w:w="1061" w:type="dxa"/>
            <w:tcBorders>
              <w:left w:val="nil"/>
            </w:tcBorders>
            <w:vAlign w:val="center"/>
          </w:tcPr>
          <w:p w14:paraId="453B270D" w14:textId="77777777" w:rsidR="00F608B4" w:rsidRPr="00905499" w:rsidRDefault="00F608B4" w:rsidP="00216C03">
            <w:pPr>
              <w:jc w:val="right"/>
              <w:rPr>
                <w:sz w:val="18"/>
                <w:szCs w:val="18"/>
                <w:lang w:val="en-US"/>
              </w:rPr>
            </w:pPr>
            <w:r w:rsidRPr="00905499">
              <w:rPr>
                <w:sz w:val="18"/>
                <w:szCs w:val="18"/>
                <w:lang w:val="en-US"/>
              </w:rPr>
              <w:t>.08</w:t>
            </w:r>
          </w:p>
        </w:tc>
        <w:tc>
          <w:tcPr>
            <w:tcW w:w="1066" w:type="dxa"/>
            <w:vAlign w:val="center"/>
          </w:tcPr>
          <w:p w14:paraId="0955F1CC" w14:textId="77777777" w:rsidR="00F608B4" w:rsidRPr="00905499" w:rsidRDefault="00F608B4" w:rsidP="00216C03">
            <w:pPr>
              <w:jc w:val="right"/>
              <w:rPr>
                <w:sz w:val="18"/>
                <w:szCs w:val="18"/>
                <w:lang w:val="en-US"/>
              </w:rPr>
            </w:pPr>
            <w:r w:rsidRPr="00905499">
              <w:rPr>
                <w:sz w:val="18"/>
                <w:szCs w:val="18"/>
                <w:lang w:val="en-US"/>
              </w:rPr>
              <w:t>.51</w:t>
            </w:r>
          </w:p>
        </w:tc>
        <w:tc>
          <w:tcPr>
            <w:tcW w:w="1212" w:type="dxa"/>
            <w:tcBorders>
              <w:left w:val="nil"/>
            </w:tcBorders>
            <w:vAlign w:val="center"/>
          </w:tcPr>
          <w:p w14:paraId="4129CAF1" w14:textId="77777777" w:rsidR="00F608B4" w:rsidRPr="00905499" w:rsidRDefault="00F608B4" w:rsidP="00216C03">
            <w:pPr>
              <w:jc w:val="right"/>
              <w:rPr>
                <w:sz w:val="18"/>
                <w:szCs w:val="18"/>
                <w:lang w:val="en-US"/>
              </w:rPr>
            </w:pPr>
            <w:r w:rsidRPr="00905499">
              <w:rPr>
                <w:sz w:val="18"/>
                <w:szCs w:val="18"/>
                <w:lang w:val="en-US"/>
              </w:rPr>
              <w:t>.41</w:t>
            </w:r>
          </w:p>
        </w:tc>
        <w:tc>
          <w:tcPr>
            <w:tcW w:w="1276" w:type="dxa"/>
            <w:vAlign w:val="center"/>
          </w:tcPr>
          <w:p w14:paraId="7B5B635A" w14:textId="77777777" w:rsidR="00F608B4" w:rsidRPr="00905499" w:rsidRDefault="00F608B4" w:rsidP="00216C03">
            <w:pPr>
              <w:jc w:val="right"/>
              <w:rPr>
                <w:sz w:val="18"/>
                <w:szCs w:val="18"/>
                <w:lang w:val="en-US"/>
              </w:rPr>
            </w:pPr>
            <w:r w:rsidRPr="00905499">
              <w:rPr>
                <w:sz w:val="18"/>
                <w:szCs w:val="18"/>
                <w:lang w:val="en-US"/>
              </w:rPr>
              <w:t>.69</w:t>
            </w:r>
          </w:p>
        </w:tc>
        <w:tc>
          <w:tcPr>
            <w:tcW w:w="992" w:type="dxa"/>
          </w:tcPr>
          <w:p w14:paraId="7BFF71CC" w14:textId="77777777" w:rsidR="00F608B4" w:rsidRPr="00905499" w:rsidRDefault="00F608B4" w:rsidP="00216C03">
            <w:pPr>
              <w:jc w:val="right"/>
              <w:rPr>
                <w:sz w:val="18"/>
                <w:szCs w:val="18"/>
                <w:lang w:val="en-US"/>
              </w:rPr>
            </w:pPr>
            <w:r w:rsidRPr="00905499">
              <w:rPr>
                <w:sz w:val="18"/>
                <w:szCs w:val="18"/>
                <w:lang w:val="en-US"/>
              </w:rPr>
              <w:t>.13</w:t>
            </w:r>
          </w:p>
        </w:tc>
        <w:tc>
          <w:tcPr>
            <w:tcW w:w="1134" w:type="dxa"/>
          </w:tcPr>
          <w:p w14:paraId="11BD93ED" w14:textId="77777777" w:rsidR="00F608B4" w:rsidRPr="00905499" w:rsidRDefault="00F608B4" w:rsidP="00216C03">
            <w:pPr>
              <w:jc w:val="right"/>
              <w:rPr>
                <w:sz w:val="18"/>
                <w:szCs w:val="18"/>
                <w:lang w:val="en-US"/>
              </w:rPr>
            </w:pPr>
            <w:r w:rsidRPr="00905499">
              <w:rPr>
                <w:sz w:val="18"/>
                <w:szCs w:val="18"/>
                <w:lang w:val="en-US"/>
              </w:rPr>
              <w:t>.34</w:t>
            </w:r>
          </w:p>
        </w:tc>
        <w:tc>
          <w:tcPr>
            <w:tcW w:w="850" w:type="dxa"/>
          </w:tcPr>
          <w:p w14:paraId="30E0A578" w14:textId="77777777" w:rsidR="00F608B4" w:rsidRPr="00905499" w:rsidRDefault="00F608B4" w:rsidP="00216C03">
            <w:pPr>
              <w:jc w:val="right"/>
              <w:rPr>
                <w:sz w:val="18"/>
                <w:szCs w:val="18"/>
                <w:lang w:val="en-US"/>
              </w:rPr>
            </w:pPr>
            <w:r w:rsidRPr="00905499">
              <w:rPr>
                <w:sz w:val="18"/>
                <w:szCs w:val="18"/>
                <w:lang w:val="en-US"/>
              </w:rPr>
              <w:t>.30</w:t>
            </w:r>
          </w:p>
        </w:tc>
      </w:tr>
      <w:tr w:rsidR="00F608B4" w:rsidRPr="00905499" w14:paraId="5825C3A9" w14:textId="77777777" w:rsidTr="00216C03">
        <w:trPr>
          <w:trHeight w:val="242"/>
        </w:trPr>
        <w:tc>
          <w:tcPr>
            <w:tcW w:w="2895" w:type="dxa"/>
            <w:tcBorders>
              <w:bottom w:val="single" w:sz="4" w:space="0" w:color="BFBFBF" w:themeColor="background1" w:themeShade="BF"/>
            </w:tcBorders>
          </w:tcPr>
          <w:p w14:paraId="5B3EA33B" w14:textId="77777777" w:rsidR="00F608B4" w:rsidRPr="00905499" w:rsidRDefault="00F608B4" w:rsidP="00216C03">
            <w:pPr>
              <w:rPr>
                <w:sz w:val="18"/>
                <w:szCs w:val="18"/>
                <w:lang w:val="en-US"/>
              </w:rPr>
            </w:pPr>
            <w:r w:rsidRPr="00905499">
              <w:rPr>
                <w:sz w:val="18"/>
                <w:szCs w:val="18"/>
                <w:lang w:val="en-US"/>
              </w:rPr>
              <w:t>IEO</w:t>
            </w:r>
          </w:p>
        </w:tc>
        <w:tc>
          <w:tcPr>
            <w:tcW w:w="1191" w:type="dxa"/>
            <w:tcBorders>
              <w:bottom w:val="single" w:sz="4" w:space="0" w:color="BFBFBF" w:themeColor="background1" w:themeShade="BF"/>
            </w:tcBorders>
          </w:tcPr>
          <w:p w14:paraId="0D08FF21" w14:textId="77777777" w:rsidR="00F608B4" w:rsidRPr="00905499" w:rsidRDefault="00F608B4" w:rsidP="00216C03">
            <w:pPr>
              <w:jc w:val="right"/>
              <w:rPr>
                <w:sz w:val="18"/>
                <w:szCs w:val="18"/>
                <w:lang w:val="en-US"/>
              </w:rPr>
            </w:pPr>
            <w:r w:rsidRPr="00905499">
              <w:rPr>
                <w:sz w:val="18"/>
                <w:szCs w:val="18"/>
                <w:lang w:val="en-US"/>
              </w:rPr>
              <w:t>1002</w:t>
            </w:r>
          </w:p>
        </w:tc>
        <w:tc>
          <w:tcPr>
            <w:tcW w:w="1248" w:type="dxa"/>
            <w:tcBorders>
              <w:bottom w:val="single" w:sz="4" w:space="0" w:color="BFBFBF" w:themeColor="background1" w:themeShade="BF"/>
            </w:tcBorders>
            <w:vAlign w:val="center"/>
          </w:tcPr>
          <w:p w14:paraId="2D304FA9" w14:textId="77777777" w:rsidR="00F608B4" w:rsidRPr="00905499" w:rsidRDefault="00F608B4" w:rsidP="00216C03">
            <w:pPr>
              <w:jc w:val="right"/>
              <w:rPr>
                <w:sz w:val="18"/>
                <w:szCs w:val="18"/>
                <w:lang w:val="en-US"/>
              </w:rPr>
            </w:pPr>
            <w:r w:rsidRPr="00905499">
              <w:rPr>
                <w:sz w:val="18"/>
                <w:szCs w:val="18"/>
                <w:lang w:val="en-US"/>
              </w:rPr>
              <w:t>986</w:t>
            </w:r>
          </w:p>
        </w:tc>
        <w:tc>
          <w:tcPr>
            <w:tcW w:w="1250" w:type="dxa"/>
            <w:tcBorders>
              <w:bottom w:val="single" w:sz="4" w:space="0" w:color="BFBFBF" w:themeColor="background1" w:themeShade="BF"/>
            </w:tcBorders>
            <w:vAlign w:val="center"/>
          </w:tcPr>
          <w:p w14:paraId="316CC27D" w14:textId="77777777" w:rsidR="00F608B4" w:rsidRPr="00905499" w:rsidRDefault="00F608B4" w:rsidP="00216C03">
            <w:pPr>
              <w:jc w:val="right"/>
              <w:rPr>
                <w:sz w:val="18"/>
                <w:szCs w:val="18"/>
                <w:lang w:val="en-US"/>
              </w:rPr>
            </w:pPr>
            <w:r w:rsidRPr="00905499">
              <w:rPr>
                <w:sz w:val="18"/>
                <w:szCs w:val="18"/>
                <w:lang w:val="en-US"/>
              </w:rPr>
              <w:t>1016</w:t>
            </w:r>
          </w:p>
        </w:tc>
        <w:tc>
          <w:tcPr>
            <w:tcW w:w="1061" w:type="dxa"/>
            <w:tcBorders>
              <w:left w:val="nil"/>
              <w:bottom w:val="single" w:sz="4" w:space="0" w:color="BFBFBF" w:themeColor="background1" w:themeShade="BF"/>
            </w:tcBorders>
            <w:vAlign w:val="center"/>
          </w:tcPr>
          <w:p w14:paraId="346E02D0" w14:textId="77777777" w:rsidR="00F608B4" w:rsidRPr="00905499" w:rsidRDefault="00F608B4" w:rsidP="00216C03">
            <w:pPr>
              <w:jc w:val="right"/>
              <w:rPr>
                <w:sz w:val="18"/>
                <w:szCs w:val="18"/>
                <w:lang w:val="en-US"/>
              </w:rPr>
            </w:pPr>
            <w:r w:rsidRPr="00905499">
              <w:rPr>
                <w:sz w:val="18"/>
                <w:szCs w:val="18"/>
                <w:lang w:val="en-US"/>
              </w:rPr>
              <w:t>987</w:t>
            </w:r>
          </w:p>
        </w:tc>
        <w:tc>
          <w:tcPr>
            <w:tcW w:w="1066" w:type="dxa"/>
            <w:tcBorders>
              <w:bottom w:val="single" w:sz="4" w:space="0" w:color="BFBFBF" w:themeColor="background1" w:themeShade="BF"/>
            </w:tcBorders>
            <w:vAlign w:val="center"/>
          </w:tcPr>
          <w:p w14:paraId="7B6EB163" w14:textId="77777777" w:rsidR="00F608B4" w:rsidRPr="00905499" w:rsidRDefault="00F608B4" w:rsidP="00216C03">
            <w:pPr>
              <w:jc w:val="right"/>
              <w:rPr>
                <w:sz w:val="18"/>
                <w:szCs w:val="18"/>
                <w:lang w:val="en-US"/>
              </w:rPr>
            </w:pPr>
            <w:r w:rsidRPr="00905499">
              <w:rPr>
                <w:sz w:val="18"/>
                <w:szCs w:val="18"/>
                <w:lang w:val="en-US"/>
              </w:rPr>
              <w:t>1030</w:t>
            </w:r>
          </w:p>
        </w:tc>
        <w:tc>
          <w:tcPr>
            <w:tcW w:w="1212" w:type="dxa"/>
            <w:tcBorders>
              <w:left w:val="nil"/>
              <w:bottom w:val="single" w:sz="4" w:space="0" w:color="BFBFBF" w:themeColor="background1" w:themeShade="BF"/>
            </w:tcBorders>
            <w:vAlign w:val="center"/>
          </w:tcPr>
          <w:p w14:paraId="60981C46" w14:textId="77777777" w:rsidR="00F608B4" w:rsidRPr="00905499" w:rsidRDefault="00F608B4" w:rsidP="00216C03">
            <w:pPr>
              <w:jc w:val="right"/>
              <w:rPr>
                <w:sz w:val="18"/>
                <w:szCs w:val="18"/>
                <w:lang w:val="en-US"/>
              </w:rPr>
            </w:pPr>
            <w:r w:rsidRPr="00905499">
              <w:rPr>
                <w:sz w:val="18"/>
                <w:szCs w:val="18"/>
                <w:lang w:val="en-US"/>
              </w:rPr>
              <w:t>1015</w:t>
            </w:r>
          </w:p>
        </w:tc>
        <w:tc>
          <w:tcPr>
            <w:tcW w:w="1276" w:type="dxa"/>
            <w:tcBorders>
              <w:bottom w:val="single" w:sz="4" w:space="0" w:color="BFBFBF" w:themeColor="background1" w:themeShade="BF"/>
            </w:tcBorders>
            <w:vAlign w:val="center"/>
          </w:tcPr>
          <w:p w14:paraId="46818644" w14:textId="77777777" w:rsidR="00F608B4" w:rsidRPr="00905499" w:rsidRDefault="00F608B4" w:rsidP="00216C03">
            <w:pPr>
              <w:jc w:val="right"/>
              <w:rPr>
                <w:sz w:val="18"/>
                <w:szCs w:val="18"/>
                <w:lang w:val="en-US"/>
              </w:rPr>
            </w:pPr>
            <w:r w:rsidRPr="00905499">
              <w:rPr>
                <w:sz w:val="18"/>
                <w:szCs w:val="18"/>
                <w:lang w:val="en-US"/>
              </w:rPr>
              <w:t>1058</w:t>
            </w:r>
          </w:p>
        </w:tc>
        <w:tc>
          <w:tcPr>
            <w:tcW w:w="992" w:type="dxa"/>
            <w:tcBorders>
              <w:bottom w:val="single" w:sz="4" w:space="0" w:color="BFBFBF" w:themeColor="background1" w:themeShade="BF"/>
            </w:tcBorders>
          </w:tcPr>
          <w:p w14:paraId="7208BA90" w14:textId="77777777" w:rsidR="00F608B4" w:rsidRPr="00905499" w:rsidRDefault="00F608B4" w:rsidP="00216C03">
            <w:pPr>
              <w:jc w:val="right"/>
              <w:rPr>
                <w:sz w:val="18"/>
                <w:szCs w:val="18"/>
                <w:lang w:val="en-US"/>
              </w:rPr>
            </w:pPr>
            <w:r w:rsidRPr="00905499">
              <w:rPr>
                <w:sz w:val="18"/>
                <w:szCs w:val="18"/>
                <w:lang w:val="en-US"/>
              </w:rPr>
              <w:t>1002</w:t>
            </w:r>
          </w:p>
        </w:tc>
        <w:tc>
          <w:tcPr>
            <w:tcW w:w="1134" w:type="dxa"/>
            <w:tcBorders>
              <w:bottom w:val="single" w:sz="4" w:space="0" w:color="BFBFBF" w:themeColor="background1" w:themeShade="BF"/>
            </w:tcBorders>
          </w:tcPr>
          <w:p w14:paraId="53EA1AAD" w14:textId="77777777" w:rsidR="00F608B4" w:rsidRPr="00905499" w:rsidRDefault="00F608B4" w:rsidP="00216C03">
            <w:pPr>
              <w:jc w:val="right"/>
              <w:rPr>
                <w:sz w:val="18"/>
                <w:szCs w:val="18"/>
                <w:lang w:val="en-US"/>
              </w:rPr>
            </w:pPr>
            <w:r w:rsidRPr="00905499">
              <w:rPr>
                <w:sz w:val="18"/>
                <w:szCs w:val="18"/>
                <w:lang w:val="en-US"/>
              </w:rPr>
              <w:t>1017</w:t>
            </w:r>
          </w:p>
        </w:tc>
        <w:tc>
          <w:tcPr>
            <w:tcW w:w="850" w:type="dxa"/>
            <w:tcBorders>
              <w:bottom w:val="single" w:sz="4" w:space="0" w:color="BFBFBF" w:themeColor="background1" w:themeShade="BF"/>
            </w:tcBorders>
          </w:tcPr>
          <w:p w14:paraId="570E3C22" w14:textId="77777777" w:rsidR="00F608B4" w:rsidRPr="00905499" w:rsidRDefault="00F608B4" w:rsidP="00216C03">
            <w:pPr>
              <w:jc w:val="right"/>
              <w:rPr>
                <w:sz w:val="18"/>
                <w:szCs w:val="18"/>
                <w:lang w:val="en-US"/>
              </w:rPr>
            </w:pPr>
            <w:r w:rsidRPr="00905499">
              <w:rPr>
                <w:sz w:val="18"/>
                <w:szCs w:val="18"/>
                <w:lang w:val="en-US"/>
              </w:rPr>
              <w:t>1.37</w:t>
            </w:r>
          </w:p>
        </w:tc>
      </w:tr>
      <w:tr w:rsidR="00F608B4" w:rsidRPr="00905499" w14:paraId="2315C3B7" w14:textId="77777777" w:rsidTr="00216C03">
        <w:trPr>
          <w:trHeight w:val="242"/>
        </w:trPr>
        <w:tc>
          <w:tcPr>
            <w:tcW w:w="2895" w:type="dxa"/>
            <w:tcBorders>
              <w:top w:val="single" w:sz="4" w:space="0" w:color="BFBFBF" w:themeColor="background1" w:themeShade="BF"/>
            </w:tcBorders>
          </w:tcPr>
          <w:p w14:paraId="3BD00608" w14:textId="77777777" w:rsidR="00F608B4" w:rsidRPr="00905499" w:rsidRDefault="00F608B4" w:rsidP="00216C03">
            <w:pPr>
              <w:rPr>
                <w:sz w:val="18"/>
                <w:szCs w:val="18"/>
                <w:lang w:val="en-US"/>
              </w:rPr>
            </w:pPr>
            <w:r w:rsidRPr="00905499">
              <w:rPr>
                <w:sz w:val="18"/>
                <w:szCs w:val="18"/>
                <w:lang w:val="en-US"/>
              </w:rPr>
              <w:t xml:space="preserve">% </w:t>
            </w:r>
            <w:proofErr w:type="gramStart"/>
            <w:r w:rsidRPr="00905499">
              <w:rPr>
                <w:sz w:val="18"/>
                <w:szCs w:val="18"/>
                <w:lang w:val="en-US"/>
              </w:rPr>
              <w:t>male</w:t>
            </w:r>
            <w:proofErr w:type="gramEnd"/>
          </w:p>
        </w:tc>
        <w:tc>
          <w:tcPr>
            <w:tcW w:w="1191" w:type="dxa"/>
            <w:tcBorders>
              <w:top w:val="single" w:sz="4" w:space="0" w:color="BFBFBF" w:themeColor="background1" w:themeShade="BF"/>
            </w:tcBorders>
          </w:tcPr>
          <w:p w14:paraId="3684405E" w14:textId="77777777" w:rsidR="00F608B4" w:rsidRPr="00905499" w:rsidRDefault="00F608B4" w:rsidP="00216C03">
            <w:pPr>
              <w:jc w:val="right"/>
              <w:rPr>
                <w:sz w:val="18"/>
                <w:szCs w:val="18"/>
                <w:lang w:val="en-US"/>
              </w:rPr>
            </w:pPr>
            <w:r w:rsidRPr="00905499">
              <w:rPr>
                <w:sz w:val="18"/>
                <w:szCs w:val="18"/>
                <w:lang w:val="en-US"/>
              </w:rPr>
              <w:t>50.34</w:t>
            </w:r>
          </w:p>
        </w:tc>
        <w:tc>
          <w:tcPr>
            <w:tcW w:w="1248" w:type="dxa"/>
            <w:tcBorders>
              <w:top w:val="single" w:sz="4" w:space="0" w:color="BFBFBF" w:themeColor="background1" w:themeShade="BF"/>
            </w:tcBorders>
            <w:vAlign w:val="center"/>
          </w:tcPr>
          <w:p w14:paraId="0AA6195D" w14:textId="77777777" w:rsidR="00F608B4" w:rsidRPr="00905499" w:rsidRDefault="00F608B4" w:rsidP="00216C03">
            <w:pPr>
              <w:jc w:val="right"/>
              <w:rPr>
                <w:sz w:val="18"/>
                <w:szCs w:val="18"/>
                <w:lang w:val="en-US"/>
              </w:rPr>
            </w:pPr>
            <w:r w:rsidRPr="00905499">
              <w:rPr>
                <w:sz w:val="18"/>
                <w:szCs w:val="18"/>
                <w:lang w:val="en-US"/>
              </w:rPr>
              <w:t>22.43</w:t>
            </w:r>
          </w:p>
        </w:tc>
        <w:tc>
          <w:tcPr>
            <w:tcW w:w="1250" w:type="dxa"/>
            <w:tcBorders>
              <w:top w:val="single" w:sz="4" w:space="0" w:color="BFBFBF" w:themeColor="background1" w:themeShade="BF"/>
            </w:tcBorders>
            <w:vAlign w:val="center"/>
          </w:tcPr>
          <w:p w14:paraId="2127B5A4" w14:textId="77777777" w:rsidR="00F608B4" w:rsidRPr="00905499" w:rsidRDefault="00F608B4" w:rsidP="00216C03">
            <w:pPr>
              <w:jc w:val="right"/>
              <w:rPr>
                <w:sz w:val="18"/>
                <w:szCs w:val="18"/>
                <w:lang w:val="en-US"/>
              </w:rPr>
            </w:pPr>
            <w:r w:rsidRPr="00905499">
              <w:rPr>
                <w:sz w:val="18"/>
                <w:szCs w:val="18"/>
                <w:lang w:val="en-US"/>
              </w:rPr>
              <w:t>27.64</w:t>
            </w:r>
          </w:p>
        </w:tc>
        <w:tc>
          <w:tcPr>
            <w:tcW w:w="1061" w:type="dxa"/>
            <w:tcBorders>
              <w:top w:val="single" w:sz="4" w:space="0" w:color="BFBFBF" w:themeColor="background1" w:themeShade="BF"/>
              <w:left w:val="nil"/>
            </w:tcBorders>
            <w:vAlign w:val="center"/>
          </w:tcPr>
          <w:p w14:paraId="0B70188B" w14:textId="77777777" w:rsidR="00F608B4" w:rsidRPr="00905499" w:rsidRDefault="00F608B4" w:rsidP="00216C03">
            <w:pPr>
              <w:jc w:val="right"/>
              <w:rPr>
                <w:sz w:val="18"/>
                <w:szCs w:val="18"/>
                <w:lang w:val="en-US"/>
              </w:rPr>
            </w:pPr>
            <w:r w:rsidRPr="00905499">
              <w:rPr>
                <w:sz w:val="18"/>
                <w:szCs w:val="18"/>
                <w:lang w:val="en-US"/>
              </w:rPr>
              <w:t>32.73</w:t>
            </w:r>
          </w:p>
        </w:tc>
        <w:tc>
          <w:tcPr>
            <w:tcW w:w="1066" w:type="dxa"/>
            <w:tcBorders>
              <w:top w:val="single" w:sz="4" w:space="0" w:color="BFBFBF" w:themeColor="background1" w:themeShade="BF"/>
            </w:tcBorders>
            <w:vAlign w:val="center"/>
          </w:tcPr>
          <w:p w14:paraId="666A364E" w14:textId="77777777" w:rsidR="00F608B4" w:rsidRPr="00905499" w:rsidRDefault="00F608B4" w:rsidP="00216C03">
            <w:pPr>
              <w:jc w:val="right"/>
              <w:rPr>
                <w:sz w:val="18"/>
                <w:szCs w:val="18"/>
                <w:lang w:val="en-US"/>
              </w:rPr>
            </w:pPr>
            <w:r w:rsidRPr="00905499">
              <w:rPr>
                <w:sz w:val="18"/>
                <w:szCs w:val="18"/>
                <w:lang w:val="en-US"/>
              </w:rPr>
              <w:t>16.93</w:t>
            </w:r>
          </w:p>
        </w:tc>
        <w:tc>
          <w:tcPr>
            <w:tcW w:w="1212" w:type="dxa"/>
            <w:tcBorders>
              <w:top w:val="single" w:sz="4" w:space="0" w:color="BFBFBF" w:themeColor="background1" w:themeShade="BF"/>
              <w:left w:val="nil"/>
            </w:tcBorders>
            <w:vAlign w:val="center"/>
          </w:tcPr>
          <w:p w14:paraId="13B235D1" w14:textId="77777777" w:rsidR="00F608B4" w:rsidRPr="00905499" w:rsidRDefault="00F608B4" w:rsidP="00216C03">
            <w:pPr>
              <w:jc w:val="right"/>
              <w:rPr>
                <w:sz w:val="18"/>
                <w:szCs w:val="18"/>
                <w:lang w:val="en-US"/>
              </w:rPr>
            </w:pPr>
            <w:r w:rsidRPr="00905499">
              <w:rPr>
                <w:sz w:val="18"/>
                <w:szCs w:val="18"/>
                <w:lang w:val="en-US"/>
              </w:rPr>
              <w:t>31.26</w:t>
            </w:r>
          </w:p>
        </w:tc>
        <w:tc>
          <w:tcPr>
            <w:tcW w:w="1276" w:type="dxa"/>
            <w:tcBorders>
              <w:top w:val="single" w:sz="4" w:space="0" w:color="BFBFBF" w:themeColor="background1" w:themeShade="BF"/>
            </w:tcBorders>
            <w:vAlign w:val="center"/>
          </w:tcPr>
          <w:p w14:paraId="36C7407C" w14:textId="77777777" w:rsidR="00F608B4" w:rsidRPr="00905499" w:rsidRDefault="00F608B4" w:rsidP="00216C03">
            <w:pPr>
              <w:jc w:val="right"/>
              <w:rPr>
                <w:sz w:val="18"/>
                <w:szCs w:val="18"/>
                <w:lang w:val="en-US"/>
              </w:rPr>
            </w:pPr>
            <w:r w:rsidRPr="00905499">
              <w:rPr>
                <w:sz w:val="18"/>
                <w:szCs w:val="18"/>
                <w:lang w:val="en-US"/>
              </w:rPr>
              <w:t>17.86</w:t>
            </w:r>
          </w:p>
        </w:tc>
        <w:tc>
          <w:tcPr>
            <w:tcW w:w="992" w:type="dxa"/>
            <w:tcBorders>
              <w:top w:val="single" w:sz="4" w:space="0" w:color="BFBFBF" w:themeColor="background1" w:themeShade="BF"/>
            </w:tcBorders>
          </w:tcPr>
          <w:p w14:paraId="1501994F" w14:textId="77777777" w:rsidR="00F608B4" w:rsidRPr="00905499" w:rsidRDefault="00F608B4" w:rsidP="00216C03">
            <w:pPr>
              <w:jc w:val="right"/>
              <w:rPr>
                <w:sz w:val="18"/>
                <w:szCs w:val="18"/>
                <w:lang w:val="en-US"/>
              </w:rPr>
            </w:pPr>
            <w:r w:rsidRPr="00905499">
              <w:rPr>
                <w:sz w:val="18"/>
                <w:szCs w:val="18"/>
                <w:lang w:val="en-US"/>
              </w:rPr>
              <w:t xml:space="preserve">24.21 </w:t>
            </w:r>
          </w:p>
        </w:tc>
        <w:tc>
          <w:tcPr>
            <w:tcW w:w="1134" w:type="dxa"/>
            <w:tcBorders>
              <w:top w:val="single" w:sz="4" w:space="0" w:color="BFBFBF" w:themeColor="background1" w:themeShade="BF"/>
            </w:tcBorders>
          </w:tcPr>
          <w:p w14:paraId="79633161" w14:textId="77777777" w:rsidR="00F608B4" w:rsidRPr="00905499" w:rsidRDefault="00F608B4" w:rsidP="00216C03">
            <w:pPr>
              <w:jc w:val="right"/>
              <w:rPr>
                <w:sz w:val="18"/>
                <w:szCs w:val="18"/>
                <w:lang w:val="en-US"/>
              </w:rPr>
            </w:pPr>
            <w:r w:rsidRPr="00905499">
              <w:rPr>
                <w:sz w:val="18"/>
                <w:szCs w:val="18"/>
                <w:lang w:val="en-US"/>
              </w:rPr>
              <w:t>24.47</w:t>
            </w:r>
          </w:p>
        </w:tc>
        <w:tc>
          <w:tcPr>
            <w:tcW w:w="850" w:type="dxa"/>
            <w:tcBorders>
              <w:top w:val="single" w:sz="4" w:space="0" w:color="BFBFBF" w:themeColor="background1" w:themeShade="BF"/>
            </w:tcBorders>
          </w:tcPr>
          <w:p w14:paraId="6D6A5397" w14:textId="77777777" w:rsidR="00F608B4" w:rsidRPr="00905499" w:rsidRDefault="00F608B4" w:rsidP="00216C03">
            <w:pPr>
              <w:jc w:val="right"/>
              <w:rPr>
                <w:sz w:val="18"/>
                <w:szCs w:val="18"/>
                <w:lang w:val="en-US"/>
              </w:rPr>
            </w:pPr>
            <w:r w:rsidRPr="00905499">
              <w:rPr>
                <w:sz w:val="18"/>
                <w:szCs w:val="18"/>
                <w:lang w:val="en-US"/>
              </w:rPr>
              <w:t>0</w:t>
            </w:r>
          </w:p>
        </w:tc>
      </w:tr>
      <w:tr w:rsidR="00F608B4" w:rsidRPr="00905499" w14:paraId="6327C2F1" w14:textId="77777777" w:rsidTr="00216C03">
        <w:trPr>
          <w:trHeight w:val="226"/>
        </w:trPr>
        <w:tc>
          <w:tcPr>
            <w:tcW w:w="2895" w:type="dxa"/>
          </w:tcPr>
          <w:p w14:paraId="150200B3" w14:textId="77777777" w:rsidR="00F608B4" w:rsidRPr="00905499" w:rsidRDefault="00F608B4" w:rsidP="00216C03">
            <w:pPr>
              <w:rPr>
                <w:sz w:val="18"/>
                <w:szCs w:val="18"/>
                <w:lang w:val="en-US"/>
              </w:rPr>
            </w:pPr>
            <w:r w:rsidRPr="00905499">
              <w:rPr>
                <w:sz w:val="18"/>
                <w:szCs w:val="18"/>
                <w:lang w:val="en-US"/>
              </w:rPr>
              <w:t>Math</w:t>
            </w:r>
          </w:p>
        </w:tc>
        <w:tc>
          <w:tcPr>
            <w:tcW w:w="1191" w:type="dxa"/>
          </w:tcPr>
          <w:p w14:paraId="08E195DE" w14:textId="77777777" w:rsidR="00F608B4" w:rsidRPr="00905499" w:rsidRDefault="00F608B4" w:rsidP="00216C03">
            <w:pPr>
              <w:jc w:val="right"/>
              <w:rPr>
                <w:sz w:val="18"/>
                <w:szCs w:val="18"/>
                <w:lang w:val="en-US"/>
              </w:rPr>
            </w:pPr>
            <w:r w:rsidRPr="00905499">
              <w:rPr>
                <w:sz w:val="18"/>
                <w:szCs w:val="18"/>
                <w:lang w:val="en-US"/>
              </w:rPr>
              <w:t>524</w:t>
            </w:r>
          </w:p>
        </w:tc>
        <w:tc>
          <w:tcPr>
            <w:tcW w:w="1248" w:type="dxa"/>
            <w:vAlign w:val="center"/>
          </w:tcPr>
          <w:p w14:paraId="513F1A06" w14:textId="77777777" w:rsidR="00F608B4" w:rsidRPr="00905499" w:rsidRDefault="00F608B4" w:rsidP="00216C03">
            <w:pPr>
              <w:jc w:val="right"/>
              <w:rPr>
                <w:sz w:val="18"/>
                <w:szCs w:val="18"/>
                <w:lang w:val="en-US"/>
              </w:rPr>
            </w:pPr>
            <w:r w:rsidRPr="00905499">
              <w:rPr>
                <w:sz w:val="18"/>
                <w:szCs w:val="18"/>
                <w:lang w:val="en-US"/>
              </w:rPr>
              <w:t>495</w:t>
            </w:r>
          </w:p>
        </w:tc>
        <w:tc>
          <w:tcPr>
            <w:tcW w:w="1250" w:type="dxa"/>
            <w:vAlign w:val="center"/>
          </w:tcPr>
          <w:p w14:paraId="7CD630BE" w14:textId="77777777" w:rsidR="00F608B4" w:rsidRPr="00905499" w:rsidRDefault="00F608B4" w:rsidP="00216C03">
            <w:pPr>
              <w:jc w:val="right"/>
              <w:rPr>
                <w:sz w:val="18"/>
                <w:szCs w:val="18"/>
                <w:lang w:val="en-US"/>
              </w:rPr>
            </w:pPr>
            <w:r w:rsidRPr="00905499">
              <w:rPr>
                <w:sz w:val="18"/>
                <w:szCs w:val="18"/>
                <w:lang w:val="en-US"/>
              </w:rPr>
              <w:t>551</w:t>
            </w:r>
          </w:p>
        </w:tc>
        <w:tc>
          <w:tcPr>
            <w:tcW w:w="1061" w:type="dxa"/>
            <w:tcBorders>
              <w:left w:val="nil"/>
            </w:tcBorders>
            <w:vAlign w:val="center"/>
          </w:tcPr>
          <w:p w14:paraId="4018DDB0" w14:textId="77777777" w:rsidR="00F608B4" w:rsidRPr="00905499" w:rsidRDefault="00F608B4" w:rsidP="00216C03">
            <w:pPr>
              <w:jc w:val="right"/>
              <w:rPr>
                <w:sz w:val="18"/>
                <w:szCs w:val="18"/>
                <w:lang w:val="en-US"/>
              </w:rPr>
            </w:pPr>
            <w:r w:rsidRPr="00905499">
              <w:rPr>
                <w:sz w:val="18"/>
                <w:szCs w:val="18"/>
                <w:lang w:val="en-US"/>
              </w:rPr>
              <w:t>496</w:t>
            </w:r>
          </w:p>
        </w:tc>
        <w:tc>
          <w:tcPr>
            <w:tcW w:w="1066" w:type="dxa"/>
            <w:vAlign w:val="center"/>
          </w:tcPr>
          <w:p w14:paraId="14FD7BBC" w14:textId="77777777" w:rsidR="00F608B4" w:rsidRPr="00905499" w:rsidRDefault="00F608B4" w:rsidP="00216C03">
            <w:pPr>
              <w:jc w:val="right"/>
              <w:rPr>
                <w:sz w:val="18"/>
                <w:szCs w:val="18"/>
                <w:lang w:val="en-US"/>
              </w:rPr>
            </w:pPr>
            <w:r w:rsidRPr="00905499">
              <w:rPr>
                <w:sz w:val="18"/>
                <w:szCs w:val="18"/>
                <w:lang w:val="en-US"/>
              </w:rPr>
              <w:t>578</w:t>
            </w:r>
          </w:p>
        </w:tc>
        <w:tc>
          <w:tcPr>
            <w:tcW w:w="1212" w:type="dxa"/>
            <w:tcBorders>
              <w:left w:val="nil"/>
            </w:tcBorders>
            <w:vAlign w:val="center"/>
          </w:tcPr>
          <w:p w14:paraId="5B80AA1F" w14:textId="77777777" w:rsidR="00F608B4" w:rsidRPr="00905499" w:rsidRDefault="00F608B4" w:rsidP="00216C03">
            <w:pPr>
              <w:jc w:val="right"/>
              <w:rPr>
                <w:sz w:val="18"/>
                <w:szCs w:val="18"/>
                <w:lang w:val="en-US"/>
              </w:rPr>
            </w:pPr>
            <w:r w:rsidRPr="00905499">
              <w:rPr>
                <w:sz w:val="18"/>
                <w:szCs w:val="18"/>
                <w:lang w:val="en-US"/>
              </w:rPr>
              <w:t>563</w:t>
            </w:r>
          </w:p>
        </w:tc>
        <w:tc>
          <w:tcPr>
            <w:tcW w:w="1276" w:type="dxa"/>
            <w:vAlign w:val="center"/>
          </w:tcPr>
          <w:p w14:paraId="720B4465" w14:textId="77777777" w:rsidR="00F608B4" w:rsidRPr="00905499" w:rsidRDefault="00F608B4" w:rsidP="00216C03">
            <w:pPr>
              <w:jc w:val="right"/>
              <w:rPr>
                <w:sz w:val="18"/>
                <w:szCs w:val="18"/>
                <w:lang w:val="en-US"/>
              </w:rPr>
            </w:pPr>
            <w:r w:rsidRPr="00905499">
              <w:rPr>
                <w:sz w:val="18"/>
                <w:szCs w:val="18"/>
                <w:lang w:val="en-US"/>
              </w:rPr>
              <w:t>605</w:t>
            </w:r>
          </w:p>
        </w:tc>
        <w:tc>
          <w:tcPr>
            <w:tcW w:w="992" w:type="dxa"/>
          </w:tcPr>
          <w:p w14:paraId="354BCE6E" w14:textId="77777777" w:rsidR="00F608B4" w:rsidRPr="00905499" w:rsidRDefault="00F608B4" w:rsidP="00216C03">
            <w:pPr>
              <w:jc w:val="right"/>
              <w:rPr>
                <w:sz w:val="18"/>
                <w:szCs w:val="18"/>
                <w:lang w:val="en-US"/>
              </w:rPr>
            </w:pPr>
            <w:r w:rsidRPr="00905499">
              <w:rPr>
                <w:sz w:val="18"/>
                <w:szCs w:val="18"/>
                <w:lang w:val="en-US"/>
              </w:rPr>
              <w:t>508</w:t>
            </w:r>
          </w:p>
        </w:tc>
        <w:tc>
          <w:tcPr>
            <w:tcW w:w="1134" w:type="dxa"/>
          </w:tcPr>
          <w:p w14:paraId="383B0FA1" w14:textId="77777777" w:rsidR="00F608B4" w:rsidRPr="00905499" w:rsidRDefault="00F608B4" w:rsidP="00216C03">
            <w:pPr>
              <w:jc w:val="right"/>
              <w:rPr>
                <w:sz w:val="18"/>
                <w:szCs w:val="18"/>
                <w:lang w:val="en-US"/>
              </w:rPr>
            </w:pPr>
            <w:r w:rsidRPr="00905499">
              <w:rPr>
                <w:sz w:val="18"/>
                <w:szCs w:val="18"/>
                <w:lang w:val="en-US"/>
              </w:rPr>
              <w:t>546</w:t>
            </w:r>
          </w:p>
        </w:tc>
        <w:tc>
          <w:tcPr>
            <w:tcW w:w="850" w:type="dxa"/>
          </w:tcPr>
          <w:p w14:paraId="4CD359C5" w14:textId="77777777" w:rsidR="00F608B4" w:rsidRPr="00905499" w:rsidRDefault="00F608B4" w:rsidP="00216C03">
            <w:pPr>
              <w:jc w:val="right"/>
              <w:rPr>
                <w:sz w:val="18"/>
                <w:szCs w:val="18"/>
                <w:lang w:val="en-US"/>
              </w:rPr>
            </w:pPr>
            <w:r w:rsidRPr="00905499">
              <w:rPr>
                <w:sz w:val="18"/>
                <w:szCs w:val="18"/>
                <w:lang w:val="en-US"/>
              </w:rPr>
              <w:t>0</w:t>
            </w:r>
          </w:p>
        </w:tc>
      </w:tr>
      <w:tr w:rsidR="00F608B4" w:rsidRPr="00905499" w14:paraId="551BC2DE" w14:textId="77777777" w:rsidTr="00216C03">
        <w:trPr>
          <w:trHeight w:val="226"/>
        </w:trPr>
        <w:tc>
          <w:tcPr>
            <w:tcW w:w="2895" w:type="dxa"/>
          </w:tcPr>
          <w:p w14:paraId="076E725E" w14:textId="77777777" w:rsidR="00F608B4" w:rsidRPr="00905499" w:rsidRDefault="00F608B4" w:rsidP="00216C03">
            <w:pPr>
              <w:rPr>
                <w:sz w:val="18"/>
                <w:szCs w:val="18"/>
                <w:lang w:val="en-US"/>
              </w:rPr>
            </w:pPr>
            <w:r w:rsidRPr="00905499">
              <w:rPr>
                <w:sz w:val="18"/>
                <w:szCs w:val="18"/>
                <w:lang w:val="en-US"/>
              </w:rPr>
              <w:t>Science</w:t>
            </w:r>
          </w:p>
        </w:tc>
        <w:tc>
          <w:tcPr>
            <w:tcW w:w="1191" w:type="dxa"/>
          </w:tcPr>
          <w:p w14:paraId="33263952" w14:textId="77777777" w:rsidR="00F608B4" w:rsidRPr="00905499" w:rsidRDefault="00F608B4" w:rsidP="00216C03">
            <w:pPr>
              <w:jc w:val="right"/>
              <w:rPr>
                <w:sz w:val="18"/>
                <w:szCs w:val="18"/>
                <w:lang w:val="en-US"/>
              </w:rPr>
            </w:pPr>
            <w:r w:rsidRPr="00905499">
              <w:rPr>
                <w:sz w:val="18"/>
                <w:szCs w:val="18"/>
                <w:lang w:val="en-US"/>
              </w:rPr>
              <w:t>523</w:t>
            </w:r>
          </w:p>
        </w:tc>
        <w:tc>
          <w:tcPr>
            <w:tcW w:w="1248" w:type="dxa"/>
            <w:vAlign w:val="center"/>
          </w:tcPr>
          <w:p w14:paraId="5C71C8F7" w14:textId="77777777" w:rsidR="00F608B4" w:rsidRPr="00905499" w:rsidRDefault="00F608B4" w:rsidP="00216C03">
            <w:pPr>
              <w:jc w:val="right"/>
              <w:rPr>
                <w:sz w:val="18"/>
                <w:szCs w:val="18"/>
                <w:lang w:val="en-US"/>
              </w:rPr>
            </w:pPr>
            <w:r w:rsidRPr="00905499">
              <w:rPr>
                <w:sz w:val="18"/>
                <w:szCs w:val="18"/>
                <w:lang w:val="en-US"/>
              </w:rPr>
              <w:t>499</w:t>
            </w:r>
          </w:p>
        </w:tc>
        <w:tc>
          <w:tcPr>
            <w:tcW w:w="1250" w:type="dxa"/>
            <w:vAlign w:val="center"/>
          </w:tcPr>
          <w:p w14:paraId="1437A531" w14:textId="77777777" w:rsidR="00F608B4" w:rsidRPr="00905499" w:rsidRDefault="00F608B4" w:rsidP="00216C03">
            <w:pPr>
              <w:jc w:val="right"/>
              <w:rPr>
                <w:sz w:val="18"/>
                <w:szCs w:val="18"/>
                <w:lang w:val="en-US"/>
              </w:rPr>
            </w:pPr>
            <w:r w:rsidRPr="00905499">
              <w:rPr>
                <w:sz w:val="18"/>
                <w:szCs w:val="18"/>
                <w:lang w:val="en-US"/>
              </w:rPr>
              <w:t>558</w:t>
            </w:r>
          </w:p>
        </w:tc>
        <w:tc>
          <w:tcPr>
            <w:tcW w:w="1061" w:type="dxa"/>
            <w:tcBorders>
              <w:left w:val="nil"/>
            </w:tcBorders>
            <w:vAlign w:val="center"/>
          </w:tcPr>
          <w:p w14:paraId="35C90D23" w14:textId="77777777" w:rsidR="00F608B4" w:rsidRPr="00905499" w:rsidRDefault="00F608B4" w:rsidP="00216C03">
            <w:pPr>
              <w:jc w:val="right"/>
              <w:rPr>
                <w:sz w:val="18"/>
                <w:szCs w:val="18"/>
                <w:lang w:val="en-US"/>
              </w:rPr>
            </w:pPr>
            <w:r w:rsidRPr="00905499">
              <w:rPr>
                <w:sz w:val="18"/>
                <w:szCs w:val="18"/>
                <w:lang w:val="en-US"/>
              </w:rPr>
              <w:t>500</w:t>
            </w:r>
          </w:p>
        </w:tc>
        <w:tc>
          <w:tcPr>
            <w:tcW w:w="1066" w:type="dxa"/>
            <w:vAlign w:val="center"/>
          </w:tcPr>
          <w:p w14:paraId="7D09C45D" w14:textId="77777777" w:rsidR="00F608B4" w:rsidRPr="00905499" w:rsidRDefault="00F608B4" w:rsidP="00216C03">
            <w:pPr>
              <w:jc w:val="right"/>
              <w:rPr>
                <w:sz w:val="18"/>
                <w:szCs w:val="18"/>
                <w:lang w:val="en-US"/>
              </w:rPr>
            </w:pPr>
            <w:r w:rsidRPr="00905499">
              <w:rPr>
                <w:sz w:val="18"/>
                <w:szCs w:val="18"/>
                <w:lang w:val="en-US"/>
              </w:rPr>
              <w:t>585</w:t>
            </w:r>
          </w:p>
        </w:tc>
        <w:tc>
          <w:tcPr>
            <w:tcW w:w="1212" w:type="dxa"/>
            <w:tcBorders>
              <w:left w:val="nil"/>
            </w:tcBorders>
            <w:vAlign w:val="center"/>
          </w:tcPr>
          <w:p w14:paraId="7ABF1D04" w14:textId="77777777" w:rsidR="00F608B4" w:rsidRPr="00905499" w:rsidRDefault="00F608B4" w:rsidP="00216C03">
            <w:pPr>
              <w:jc w:val="right"/>
              <w:rPr>
                <w:sz w:val="18"/>
                <w:szCs w:val="18"/>
                <w:lang w:val="en-US"/>
              </w:rPr>
            </w:pPr>
            <w:r w:rsidRPr="00905499">
              <w:rPr>
                <w:sz w:val="18"/>
                <w:szCs w:val="18"/>
                <w:lang w:val="en-US"/>
              </w:rPr>
              <w:t>571</w:t>
            </w:r>
          </w:p>
        </w:tc>
        <w:tc>
          <w:tcPr>
            <w:tcW w:w="1276" w:type="dxa"/>
            <w:vAlign w:val="center"/>
          </w:tcPr>
          <w:p w14:paraId="10C91EC3" w14:textId="77777777" w:rsidR="00F608B4" w:rsidRPr="00905499" w:rsidRDefault="00F608B4" w:rsidP="00216C03">
            <w:pPr>
              <w:jc w:val="right"/>
              <w:rPr>
                <w:sz w:val="18"/>
                <w:szCs w:val="18"/>
                <w:lang w:val="en-US"/>
              </w:rPr>
            </w:pPr>
            <w:r w:rsidRPr="00905499">
              <w:rPr>
                <w:sz w:val="18"/>
                <w:szCs w:val="18"/>
                <w:lang w:val="en-US"/>
              </w:rPr>
              <w:t>612</w:t>
            </w:r>
          </w:p>
        </w:tc>
        <w:tc>
          <w:tcPr>
            <w:tcW w:w="992" w:type="dxa"/>
          </w:tcPr>
          <w:p w14:paraId="0EADDF82" w14:textId="77777777" w:rsidR="00F608B4" w:rsidRPr="00905499" w:rsidRDefault="00F608B4" w:rsidP="00216C03">
            <w:pPr>
              <w:jc w:val="right"/>
              <w:rPr>
                <w:sz w:val="18"/>
                <w:szCs w:val="18"/>
                <w:lang w:val="en-US"/>
              </w:rPr>
            </w:pPr>
            <w:r w:rsidRPr="00905499">
              <w:rPr>
                <w:sz w:val="18"/>
                <w:szCs w:val="18"/>
                <w:lang w:val="en-US"/>
              </w:rPr>
              <w:t>514</w:t>
            </w:r>
          </w:p>
        </w:tc>
        <w:tc>
          <w:tcPr>
            <w:tcW w:w="1134" w:type="dxa"/>
          </w:tcPr>
          <w:p w14:paraId="3F642856" w14:textId="77777777" w:rsidR="00F608B4" w:rsidRPr="00905499" w:rsidRDefault="00F608B4" w:rsidP="00216C03">
            <w:pPr>
              <w:jc w:val="right"/>
              <w:rPr>
                <w:sz w:val="18"/>
                <w:szCs w:val="18"/>
                <w:lang w:val="en-US"/>
              </w:rPr>
            </w:pPr>
            <w:r w:rsidRPr="00905499">
              <w:rPr>
                <w:sz w:val="18"/>
                <w:szCs w:val="18"/>
                <w:lang w:val="en-US"/>
              </w:rPr>
              <w:t>559</w:t>
            </w:r>
          </w:p>
        </w:tc>
        <w:tc>
          <w:tcPr>
            <w:tcW w:w="850" w:type="dxa"/>
          </w:tcPr>
          <w:p w14:paraId="006C483B" w14:textId="77777777" w:rsidR="00F608B4" w:rsidRPr="00905499" w:rsidRDefault="00F608B4" w:rsidP="00216C03">
            <w:pPr>
              <w:jc w:val="right"/>
              <w:rPr>
                <w:sz w:val="18"/>
                <w:szCs w:val="18"/>
                <w:lang w:val="en-US"/>
              </w:rPr>
            </w:pPr>
            <w:r w:rsidRPr="00905499">
              <w:rPr>
                <w:sz w:val="18"/>
                <w:szCs w:val="18"/>
                <w:lang w:val="en-US"/>
              </w:rPr>
              <w:t>0</w:t>
            </w:r>
          </w:p>
        </w:tc>
      </w:tr>
      <w:tr w:rsidR="00F608B4" w:rsidRPr="00905499" w14:paraId="1E55220C" w14:textId="77777777" w:rsidTr="00216C03">
        <w:trPr>
          <w:trHeight w:val="242"/>
        </w:trPr>
        <w:tc>
          <w:tcPr>
            <w:tcW w:w="2895" w:type="dxa"/>
          </w:tcPr>
          <w:p w14:paraId="250FAAC6" w14:textId="77777777" w:rsidR="00F608B4" w:rsidRPr="00905499" w:rsidRDefault="00F608B4" w:rsidP="00216C03">
            <w:pPr>
              <w:rPr>
                <w:sz w:val="18"/>
                <w:szCs w:val="18"/>
                <w:lang w:val="en-US"/>
              </w:rPr>
            </w:pPr>
            <w:r w:rsidRPr="00905499">
              <w:rPr>
                <w:sz w:val="18"/>
                <w:szCs w:val="18"/>
                <w:lang w:val="en-US"/>
              </w:rPr>
              <w:t>Reading</w:t>
            </w:r>
          </w:p>
        </w:tc>
        <w:tc>
          <w:tcPr>
            <w:tcW w:w="1191" w:type="dxa"/>
          </w:tcPr>
          <w:p w14:paraId="651730FD" w14:textId="77777777" w:rsidR="00F608B4" w:rsidRPr="00905499" w:rsidRDefault="00F608B4" w:rsidP="00216C03">
            <w:pPr>
              <w:jc w:val="right"/>
              <w:rPr>
                <w:sz w:val="18"/>
                <w:szCs w:val="18"/>
                <w:lang w:val="en-US"/>
              </w:rPr>
            </w:pPr>
            <w:r w:rsidRPr="00905499">
              <w:rPr>
                <w:sz w:val="18"/>
                <w:szCs w:val="18"/>
                <w:lang w:val="en-US"/>
              </w:rPr>
              <w:t>529</w:t>
            </w:r>
          </w:p>
        </w:tc>
        <w:tc>
          <w:tcPr>
            <w:tcW w:w="1248" w:type="dxa"/>
            <w:vAlign w:val="center"/>
          </w:tcPr>
          <w:p w14:paraId="45BF498E" w14:textId="77777777" w:rsidR="00F608B4" w:rsidRPr="00905499" w:rsidRDefault="00F608B4" w:rsidP="00216C03">
            <w:pPr>
              <w:jc w:val="right"/>
              <w:rPr>
                <w:sz w:val="18"/>
                <w:szCs w:val="18"/>
                <w:lang w:val="en-US"/>
              </w:rPr>
            </w:pPr>
            <w:r w:rsidRPr="00905499">
              <w:rPr>
                <w:sz w:val="18"/>
                <w:szCs w:val="18"/>
                <w:lang w:val="en-US"/>
              </w:rPr>
              <w:t>490</w:t>
            </w:r>
          </w:p>
        </w:tc>
        <w:tc>
          <w:tcPr>
            <w:tcW w:w="1250" w:type="dxa"/>
            <w:vAlign w:val="center"/>
          </w:tcPr>
          <w:p w14:paraId="567598C9" w14:textId="77777777" w:rsidR="00F608B4" w:rsidRPr="00905499" w:rsidRDefault="00F608B4" w:rsidP="00216C03">
            <w:pPr>
              <w:jc w:val="right"/>
              <w:rPr>
                <w:sz w:val="18"/>
                <w:szCs w:val="18"/>
                <w:lang w:val="en-US"/>
              </w:rPr>
            </w:pPr>
            <w:r w:rsidRPr="00905499">
              <w:rPr>
                <w:sz w:val="18"/>
                <w:szCs w:val="18"/>
                <w:lang w:val="en-US"/>
              </w:rPr>
              <w:t>552</w:t>
            </w:r>
          </w:p>
        </w:tc>
        <w:tc>
          <w:tcPr>
            <w:tcW w:w="1061" w:type="dxa"/>
            <w:tcBorders>
              <w:left w:val="nil"/>
            </w:tcBorders>
            <w:vAlign w:val="center"/>
          </w:tcPr>
          <w:p w14:paraId="78734CCE" w14:textId="77777777" w:rsidR="00F608B4" w:rsidRPr="00905499" w:rsidRDefault="00F608B4" w:rsidP="00216C03">
            <w:pPr>
              <w:jc w:val="right"/>
              <w:rPr>
                <w:sz w:val="18"/>
                <w:szCs w:val="18"/>
                <w:lang w:val="en-US"/>
              </w:rPr>
            </w:pPr>
            <w:r w:rsidRPr="00905499">
              <w:rPr>
                <w:sz w:val="18"/>
                <w:szCs w:val="18"/>
                <w:lang w:val="en-US"/>
              </w:rPr>
              <w:t>494</w:t>
            </w:r>
          </w:p>
        </w:tc>
        <w:tc>
          <w:tcPr>
            <w:tcW w:w="1066" w:type="dxa"/>
            <w:vAlign w:val="center"/>
          </w:tcPr>
          <w:p w14:paraId="7A56695A" w14:textId="77777777" w:rsidR="00F608B4" w:rsidRPr="00905499" w:rsidRDefault="00F608B4" w:rsidP="00216C03">
            <w:pPr>
              <w:jc w:val="right"/>
              <w:rPr>
                <w:sz w:val="18"/>
                <w:szCs w:val="18"/>
                <w:lang w:val="en-US"/>
              </w:rPr>
            </w:pPr>
            <w:r w:rsidRPr="00905499">
              <w:rPr>
                <w:sz w:val="18"/>
                <w:szCs w:val="18"/>
                <w:lang w:val="en-US"/>
              </w:rPr>
              <w:t>578</w:t>
            </w:r>
          </w:p>
        </w:tc>
        <w:tc>
          <w:tcPr>
            <w:tcW w:w="1212" w:type="dxa"/>
            <w:tcBorders>
              <w:left w:val="nil"/>
            </w:tcBorders>
            <w:vAlign w:val="center"/>
          </w:tcPr>
          <w:p w14:paraId="60149EE6" w14:textId="77777777" w:rsidR="00F608B4" w:rsidRPr="00905499" w:rsidRDefault="00F608B4" w:rsidP="00216C03">
            <w:pPr>
              <w:jc w:val="right"/>
              <w:rPr>
                <w:sz w:val="18"/>
                <w:szCs w:val="18"/>
                <w:lang w:val="en-US"/>
              </w:rPr>
            </w:pPr>
            <w:r w:rsidRPr="00905499">
              <w:rPr>
                <w:sz w:val="18"/>
                <w:szCs w:val="18"/>
                <w:lang w:val="en-US"/>
              </w:rPr>
              <w:t>566</w:t>
            </w:r>
          </w:p>
        </w:tc>
        <w:tc>
          <w:tcPr>
            <w:tcW w:w="1276" w:type="dxa"/>
            <w:vAlign w:val="center"/>
          </w:tcPr>
          <w:p w14:paraId="1220CB7A" w14:textId="77777777" w:rsidR="00F608B4" w:rsidRPr="00905499" w:rsidRDefault="00F608B4" w:rsidP="00216C03">
            <w:pPr>
              <w:jc w:val="right"/>
              <w:rPr>
                <w:sz w:val="18"/>
                <w:szCs w:val="18"/>
                <w:lang w:val="en-US"/>
              </w:rPr>
            </w:pPr>
            <w:r w:rsidRPr="00905499">
              <w:rPr>
                <w:sz w:val="18"/>
                <w:szCs w:val="18"/>
                <w:lang w:val="en-US"/>
              </w:rPr>
              <w:t>599</w:t>
            </w:r>
          </w:p>
        </w:tc>
        <w:tc>
          <w:tcPr>
            <w:tcW w:w="992" w:type="dxa"/>
          </w:tcPr>
          <w:p w14:paraId="0F2ACCB5" w14:textId="77777777" w:rsidR="00F608B4" w:rsidRPr="00905499" w:rsidRDefault="00F608B4" w:rsidP="00216C03">
            <w:pPr>
              <w:jc w:val="right"/>
              <w:rPr>
                <w:sz w:val="18"/>
                <w:szCs w:val="18"/>
                <w:lang w:val="en-US"/>
              </w:rPr>
            </w:pPr>
            <w:r w:rsidRPr="00905499">
              <w:rPr>
                <w:sz w:val="18"/>
                <w:szCs w:val="18"/>
                <w:lang w:val="en-US"/>
              </w:rPr>
              <w:t>500</w:t>
            </w:r>
          </w:p>
        </w:tc>
        <w:tc>
          <w:tcPr>
            <w:tcW w:w="1134" w:type="dxa"/>
          </w:tcPr>
          <w:p w14:paraId="77FBF6DF" w14:textId="77777777" w:rsidR="00F608B4" w:rsidRPr="00905499" w:rsidRDefault="00F608B4" w:rsidP="00216C03">
            <w:pPr>
              <w:jc w:val="right"/>
              <w:rPr>
                <w:sz w:val="18"/>
                <w:szCs w:val="18"/>
                <w:lang w:val="en-US"/>
              </w:rPr>
            </w:pPr>
            <w:r w:rsidRPr="00905499">
              <w:rPr>
                <w:sz w:val="18"/>
                <w:szCs w:val="18"/>
                <w:lang w:val="en-US"/>
              </w:rPr>
              <w:t>543</w:t>
            </w:r>
          </w:p>
        </w:tc>
        <w:tc>
          <w:tcPr>
            <w:tcW w:w="850" w:type="dxa"/>
          </w:tcPr>
          <w:p w14:paraId="183AAEEB" w14:textId="77777777" w:rsidR="00F608B4" w:rsidRPr="00905499" w:rsidRDefault="00F608B4" w:rsidP="00216C03">
            <w:pPr>
              <w:jc w:val="right"/>
              <w:rPr>
                <w:sz w:val="18"/>
                <w:szCs w:val="18"/>
                <w:lang w:val="en-US"/>
              </w:rPr>
            </w:pPr>
            <w:r w:rsidRPr="00905499">
              <w:rPr>
                <w:sz w:val="18"/>
                <w:szCs w:val="18"/>
                <w:lang w:val="en-US"/>
              </w:rPr>
              <w:t>0</w:t>
            </w:r>
          </w:p>
        </w:tc>
      </w:tr>
      <w:tr w:rsidR="00F608B4" w:rsidRPr="00905499" w14:paraId="4FEED429" w14:textId="77777777" w:rsidTr="00216C03">
        <w:trPr>
          <w:trHeight w:val="242"/>
        </w:trPr>
        <w:tc>
          <w:tcPr>
            <w:tcW w:w="2895" w:type="dxa"/>
          </w:tcPr>
          <w:p w14:paraId="4307F46F" w14:textId="77777777" w:rsidR="00F608B4" w:rsidRPr="00905499" w:rsidRDefault="00F608B4" w:rsidP="00216C03">
            <w:pPr>
              <w:rPr>
                <w:sz w:val="18"/>
                <w:szCs w:val="18"/>
                <w:lang w:val="en-US"/>
              </w:rPr>
            </w:pPr>
            <w:r w:rsidRPr="00905499">
              <w:rPr>
                <w:sz w:val="18"/>
                <w:szCs w:val="18"/>
                <w:lang w:val="en-US"/>
              </w:rPr>
              <w:t xml:space="preserve">% </w:t>
            </w:r>
            <w:proofErr w:type="gramStart"/>
            <w:r w:rsidRPr="00905499">
              <w:rPr>
                <w:sz w:val="18"/>
                <w:szCs w:val="18"/>
                <w:lang w:val="en-US"/>
              </w:rPr>
              <w:t>indigenous</w:t>
            </w:r>
            <w:proofErr w:type="gramEnd"/>
          </w:p>
        </w:tc>
        <w:tc>
          <w:tcPr>
            <w:tcW w:w="1191" w:type="dxa"/>
          </w:tcPr>
          <w:p w14:paraId="23392A81" w14:textId="77777777" w:rsidR="00F608B4" w:rsidRPr="00905499" w:rsidRDefault="00F608B4" w:rsidP="00216C03">
            <w:pPr>
              <w:jc w:val="right"/>
              <w:rPr>
                <w:sz w:val="18"/>
                <w:szCs w:val="18"/>
                <w:lang w:val="en-US"/>
              </w:rPr>
            </w:pPr>
            <w:r w:rsidRPr="00905499">
              <w:rPr>
                <w:sz w:val="18"/>
                <w:szCs w:val="18"/>
                <w:lang w:val="en-US"/>
              </w:rPr>
              <w:t>2.24</w:t>
            </w:r>
          </w:p>
        </w:tc>
        <w:tc>
          <w:tcPr>
            <w:tcW w:w="1248" w:type="dxa"/>
            <w:vAlign w:val="center"/>
          </w:tcPr>
          <w:p w14:paraId="63206B15" w14:textId="77777777" w:rsidR="00F608B4" w:rsidRPr="00905499" w:rsidRDefault="00F608B4" w:rsidP="00216C03">
            <w:pPr>
              <w:jc w:val="right"/>
              <w:rPr>
                <w:sz w:val="18"/>
                <w:szCs w:val="18"/>
                <w:lang w:val="en-US"/>
              </w:rPr>
            </w:pPr>
            <w:r w:rsidRPr="00905499">
              <w:rPr>
                <w:sz w:val="18"/>
                <w:szCs w:val="18"/>
                <w:lang w:val="en-US"/>
              </w:rPr>
              <w:t>1.48</w:t>
            </w:r>
          </w:p>
        </w:tc>
        <w:tc>
          <w:tcPr>
            <w:tcW w:w="1250" w:type="dxa"/>
            <w:vAlign w:val="center"/>
          </w:tcPr>
          <w:p w14:paraId="6DB8E4C2" w14:textId="77777777" w:rsidR="00F608B4" w:rsidRPr="00905499" w:rsidRDefault="00F608B4" w:rsidP="00216C03">
            <w:pPr>
              <w:jc w:val="right"/>
              <w:rPr>
                <w:sz w:val="18"/>
                <w:szCs w:val="18"/>
                <w:lang w:val="en-US"/>
              </w:rPr>
            </w:pPr>
            <w:r w:rsidRPr="00905499">
              <w:rPr>
                <w:sz w:val="18"/>
                <w:szCs w:val="18"/>
                <w:lang w:val="en-US"/>
              </w:rPr>
              <w:t>.76</w:t>
            </w:r>
          </w:p>
        </w:tc>
        <w:tc>
          <w:tcPr>
            <w:tcW w:w="1061" w:type="dxa"/>
            <w:tcBorders>
              <w:left w:val="nil"/>
            </w:tcBorders>
            <w:vAlign w:val="center"/>
          </w:tcPr>
          <w:p w14:paraId="692CE866" w14:textId="77777777" w:rsidR="00F608B4" w:rsidRPr="00905499" w:rsidRDefault="00F608B4" w:rsidP="00216C03">
            <w:pPr>
              <w:jc w:val="right"/>
              <w:rPr>
                <w:sz w:val="18"/>
                <w:szCs w:val="18"/>
                <w:lang w:val="en-US"/>
              </w:rPr>
            </w:pPr>
            <w:r w:rsidRPr="00905499">
              <w:rPr>
                <w:sz w:val="18"/>
                <w:szCs w:val="18"/>
                <w:lang w:val="en-US"/>
              </w:rPr>
              <w:t>1.90</w:t>
            </w:r>
          </w:p>
        </w:tc>
        <w:tc>
          <w:tcPr>
            <w:tcW w:w="1066" w:type="dxa"/>
            <w:vAlign w:val="center"/>
          </w:tcPr>
          <w:p w14:paraId="7ADC900E" w14:textId="77777777" w:rsidR="00F608B4" w:rsidRPr="00905499" w:rsidRDefault="00F608B4" w:rsidP="00216C03">
            <w:pPr>
              <w:jc w:val="right"/>
              <w:rPr>
                <w:sz w:val="18"/>
                <w:szCs w:val="18"/>
                <w:lang w:val="en-US"/>
              </w:rPr>
            </w:pPr>
            <w:r w:rsidRPr="00905499">
              <w:rPr>
                <w:sz w:val="18"/>
                <w:szCs w:val="18"/>
                <w:lang w:val="en-US"/>
              </w:rPr>
              <w:t>.34</w:t>
            </w:r>
          </w:p>
        </w:tc>
        <w:tc>
          <w:tcPr>
            <w:tcW w:w="1212" w:type="dxa"/>
            <w:tcBorders>
              <w:left w:val="nil"/>
            </w:tcBorders>
            <w:vAlign w:val="center"/>
          </w:tcPr>
          <w:p w14:paraId="7A8F64B7" w14:textId="77777777" w:rsidR="00F608B4" w:rsidRPr="00905499" w:rsidRDefault="00F608B4" w:rsidP="00216C03">
            <w:pPr>
              <w:jc w:val="right"/>
              <w:rPr>
                <w:sz w:val="18"/>
                <w:szCs w:val="18"/>
                <w:lang w:val="en-US"/>
              </w:rPr>
            </w:pPr>
            <w:r w:rsidRPr="00905499">
              <w:rPr>
                <w:sz w:val="18"/>
                <w:szCs w:val="18"/>
                <w:lang w:val="en-US"/>
              </w:rPr>
              <w:t>.78</w:t>
            </w:r>
          </w:p>
        </w:tc>
        <w:tc>
          <w:tcPr>
            <w:tcW w:w="1276" w:type="dxa"/>
            <w:vAlign w:val="center"/>
          </w:tcPr>
          <w:p w14:paraId="6A17B597" w14:textId="77777777" w:rsidR="00F608B4" w:rsidRPr="00905499" w:rsidRDefault="00F608B4" w:rsidP="00216C03">
            <w:pPr>
              <w:jc w:val="right"/>
              <w:rPr>
                <w:sz w:val="18"/>
                <w:szCs w:val="18"/>
                <w:lang w:val="en-US"/>
              </w:rPr>
            </w:pPr>
            <w:r w:rsidRPr="00905499">
              <w:rPr>
                <w:sz w:val="18"/>
                <w:szCs w:val="18"/>
                <w:lang w:val="en-US"/>
              </w:rPr>
              <w:t>.20</w:t>
            </w:r>
          </w:p>
        </w:tc>
        <w:tc>
          <w:tcPr>
            <w:tcW w:w="992" w:type="dxa"/>
          </w:tcPr>
          <w:p w14:paraId="2A9E5E76" w14:textId="77777777" w:rsidR="00F608B4" w:rsidRPr="00905499" w:rsidRDefault="00F608B4" w:rsidP="00216C03">
            <w:pPr>
              <w:jc w:val="right"/>
              <w:rPr>
                <w:sz w:val="18"/>
                <w:szCs w:val="18"/>
                <w:lang w:val="en-US"/>
              </w:rPr>
            </w:pPr>
            <w:r w:rsidRPr="00905499">
              <w:rPr>
                <w:sz w:val="18"/>
                <w:szCs w:val="18"/>
                <w:lang w:val="en-US"/>
              </w:rPr>
              <w:t>1.74</w:t>
            </w:r>
          </w:p>
        </w:tc>
        <w:tc>
          <w:tcPr>
            <w:tcW w:w="1134" w:type="dxa"/>
          </w:tcPr>
          <w:p w14:paraId="189AB155" w14:textId="77777777" w:rsidR="00F608B4" w:rsidRPr="00905499" w:rsidRDefault="00F608B4" w:rsidP="00216C03">
            <w:pPr>
              <w:jc w:val="right"/>
              <w:rPr>
                <w:sz w:val="18"/>
                <w:szCs w:val="18"/>
                <w:lang w:val="en-US"/>
              </w:rPr>
            </w:pPr>
            <w:r w:rsidRPr="00905499">
              <w:rPr>
                <w:sz w:val="18"/>
                <w:szCs w:val="18"/>
                <w:lang w:val="en-US"/>
              </w:rPr>
              <w:t>.93</w:t>
            </w:r>
          </w:p>
        </w:tc>
        <w:tc>
          <w:tcPr>
            <w:tcW w:w="850" w:type="dxa"/>
          </w:tcPr>
          <w:p w14:paraId="0191C2E7" w14:textId="77777777" w:rsidR="00F608B4" w:rsidRPr="00905499" w:rsidRDefault="00F608B4" w:rsidP="00216C03">
            <w:pPr>
              <w:jc w:val="right"/>
              <w:rPr>
                <w:sz w:val="18"/>
                <w:szCs w:val="18"/>
                <w:lang w:val="en-US"/>
              </w:rPr>
            </w:pPr>
            <w:r w:rsidRPr="00905499">
              <w:rPr>
                <w:sz w:val="18"/>
                <w:szCs w:val="18"/>
                <w:lang w:val="en-US"/>
              </w:rPr>
              <w:t>0</w:t>
            </w:r>
          </w:p>
        </w:tc>
      </w:tr>
      <w:tr w:rsidR="00F608B4" w:rsidRPr="00905499" w14:paraId="6A80F8CE" w14:textId="77777777" w:rsidTr="00216C03">
        <w:trPr>
          <w:trHeight w:val="242"/>
        </w:trPr>
        <w:tc>
          <w:tcPr>
            <w:tcW w:w="2895" w:type="dxa"/>
          </w:tcPr>
          <w:p w14:paraId="184E043C" w14:textId="77777777" w:rsidR="00F608B4" w:rsidRPr="00905499" w:rsidRDefault="00F608B4" w:rsidP="00216C03">
            <w:pPr>
              <w:rPr>
                <w:sz w:val="18"/>
                <w:szCs w:val="18"/>
                <w:lang w:val="en-US"/>
              </w:rPr>
            </w:pPr>
            <w:r w:rsidRPr="00905499">
              <w:rPr>
                <w:sz w:val="18"/>
                <w:szCs w:val="18"/>
                <w:lang w:val="en-US"/>
              </w:rPr>
              <w:t>%</w:t>
            </w:r>
            <w:proofErr w:type="gramStart"/>
            <w:r w:rsidRPr="00905499">
              <w:rPr>
                <w:sz w:val="18"/>
                <w:szCs w:val="18"/>
                <w:lang w:val="en-US"/>
              </w:rPr>
              <w:t>cohort</w:t>
            </w:r>
            <w:proofErr w:type="gramEnd"/>
            <w:r w:rsidRPr="00905499">
              <w:rPr>
                <w:sz w:val="18"/>
                <w:szCs w:val="18"/>
                <w:lang w:val="en-US"/>
              </w:rPr>
              <w:t xml:space="preserve"> 2003</w:t>
            </w:r>
          </w:p>
        </w:tc>
        <w:tc>
          <w:tcPr>
            <w:tcW w:w="1191" w:type="dxa"/>
          </w:tcPr>
          <w:p w14:paraId="040540DA" w14:textId="77777777" w:rsidR="00F608B4" w:rsidRPr="00905499" w:rsidRDefault="00F608B4" w:rsidP="00216C03">
            <w:pPr>
              <w:jc w:val="right"/>
              <w:rPr>
                <w:sz w:val="18"/>
                <w:szCs w:val="18"/>
                <w:lang w:val="en-US"/>
              </w:rPr>
            </w:pPr>
            <w:r w:rsidRPr="00905499">
              <w:rPr>
                <w:sz w:val="18"/>
                <w:szCs w:val="18"/>
                <w:lang w:val="en-US"/>
              </w:rPr>
              <w:t>50.07</w:t>
            </w:r>
          </w:p>
        </w:tc>
        <w:tc>
          <w:tcPr>
            <w:tcW w:w="1248" w:type="dxa"/>
            <w:vAlign w:val="center"/>
          </w:tcPr>
          <w:p w14:paraId="58959082" w14:textId="77777777" w:rsidR="00F608B4" w:rsidRPr="00905499" w:rsidRDefault="00F608B4" w:rsidP="00216C03">
            <w:pPr>
              <w:jc w:val="right"/>
              <w:rPr>
                <w:sz w:val="18"/>
                <w:szCs w:val="18"/>
                <w:lang w:val="en-US"/>
              </w:rPr>
            </w:pPr>
            <w:r w:rsidRPr="00905499">
              <w:rPr>
                <w:sz w:val="18"/>
                <w:szCs w:val="18"/>
                <w:lang w:val="en-US"/>
              </w:rPr>
              <w:t>22.43</w:t>
            </w:r>
          </w:p>
        </w:tc>
        <w:tc>
          <w:tcPr>
            <w:tcW w:w="1250" w:type="dxa"/>
            <w:vAlign w:val="center"/>
          </w:tcPr>
          <w:p w14:paraId="7CD5B698" w14:textId="77777777" w:rsidR="00F608B4" w:rsidRPr="00905499" w:rsidRDefault="00F608B4" w:rsidP="00216C03">
            <w:pPr>
              <w:jc w:val="right"/>
              <w:rPr>
                <w:sz w:val="18"/>
                <w:szCs w:val="18"/>
                <w:lang w:val="en-US"/>
              </w:rPr>
            </w:pPr>
            <w:r w:rsidRPr="00905499">
              <w:rPr>
                <w:sz w:val="18"/>
                <w:szCs w:val="18"/>
                <w:lang w:val="en-US"/>
              </w:rPr>
              <w:t>27.64</w:t>
            </w:r>
          </w:p>
        </w:tc>
        <w:tc>
          <w:tcPr>
            <w:tcW w:w="1061" w:type="dxa"/>
            <w:tcBorders>
              <w:left w:val="nil"/>
            </w:tcBorders>
            <w:vAlign w:val="center"/>
          </w:tcPr>
          <w:p w14:paraId="2DCAF096" w14:textId="77777777" w:rsidR="00F608B4" w:rsidRPr="00905499" w:rsidRDefault="00F608B4" w:rsidP="00216C03">
            <w:pPr>
              <w:jc w:val="right"/>
              <w:rPr>
                <w:sz w:val="18"/>
                <w:szCs w:val="18"/>
                <w:lang w:val="en-US"/>
              </w:rPr>
            </w:pPr>
            <w:r w:rsidRPr="00905499">
              <w:rPr>
                <w:sz w:val="18"/>
                <w:szCs w:val="18"/>
                <w:lang w:val="en-US"/>
              </w:rPr>
              <w:t>33.50</w:t>
            </w:r>
          </w:p>
        </w:tc>
        <w:tc>
          <w:tcPr>
            <w:tcW w:w="1066" w:type="dxa"/>
            <w:vAlign w:val="center"/>
          </w:tcPr>
          <w:p w14:paraId="5D7C7EA3" w14:textId="77777777" w:rsidR="00F608B4" w:rsidRPr="00905499" w:rsidRDefault="00F608B4" w:rsidP="00216C03">
            <w:pPr>
              <w:jc w:val="right"/>
              <w:rPr>
                <w:sz w:val="18"/>
                <w:szCs w:val="18"/>
                <w:lang w:val="en-US"/>
              </w:rPr>
            </w:pPr>
            <w:r w:rsidRPr="00905499">
              <w:rPr>
                <w:sz w:val="18"/>
                <w:szCs w:val="18"/>
                <w:lang w:val="en-US"/>
              </w:rPr>
              <w:t>16.57</w:t>
            </w:r>
          </w:p>
        </w:tc>
        <w:tc>
          <w:tcPr>
            <w:tcW w:w="1212" w:type="dxa"/>
            <w:tcBorders>
              <w:left w:val="nil"/>
            </w:tcBorders>
            <w:vAlign w:val="center"/>
          </w:tcPr>
          <w:p w14:paraId="0C130C62" w14:textId="77777777" w:rsidR="00F608B4" w:rsidRPr="00905499" w:rsidRDefault="00F608B4" w:rsidP="00216C03">
            <w:pPr>
              <w:jc w:val="right"/>
              <w:rPr>
                <w:sz w:val="18"/>
                <w:szCs w:val="18"/>
                <w:lang w:val="en-US"/>
              </w:rPr>
            </w:pPr>
            <w:r w:rsidRPr="00905499">
              <w:rPr>
                <w:sz w:val="18"/>
                <w:szCs w:val="18"/>
                <w:lang w:val="en-US"/>
              </w:rPr>
              <w:t>31.33</w:t>
            </w:r>
          </w:p>
        </w:tc>
        <w:tc>
          <w:tcPr>
            <w:tcW w:w="1276" w:type="dxa"/>
            <w:vAlign w:val="center"/>
          </w:tcPr>
          <w:p w14:paraId="51CEC4EC" w14:textId="77777777" w:rsidR="00F608B4" w:rsidRPr="00905499" w:rsidRDefault="00F608B4" w:rsidP="00216C03">
            <w:pPr>
              <w:jc w:val="right"/>
              <w:rPr>
                <w:sz w:val="18"/>
                <w:szCs w:val="18"/>
                <w:lang w:val="en-US"/>
              </w:rPr>
            </w:pPr>
            <w:r w:rsidRPr="00905499">
              <w:rPr>
                <w:sz w:val="18"/>
                <w:szCs w:val="18"/>
                <w:lang w:val="en-US"/>
              </w:rPr>
              <w:t>16.75</w:t>
            </w:r>
          </w:p>
        </w:tc>
        <w:tc>
          <w:tcPr>
            <w:tcW w:w="992" w:type="dxa"/>
          </w:tcPr>
          <w:p w14:paraId="046569DB" w14:textId="77777777" w:rsidR="00F608B4" w:rsidRPr="00905499" w:rsidRDefault="00F608B4" w:rsidP="00216C03">
            <w:pPr>
              <w:jc w:val="right"/>
              <w:rPr>
                <w:sz w:val="18"/>
                <w:szCs w:val="18"/>
                <w:lang w:val="en-US"/>
              </w:rPr>
            </w:pPr>
            <w:r w:rsidRPr="00905499">
              <w:rPr>
                <w:sz w:val="18"/>
                <w:szCs w:val="18"/>
                <w:lang w:val="en-US"/>
              </w:rPr>
              <w:t>NA</w:t>
            </w:r>
          </w:p>
        </w:tc>
        <w:tc>
          <w:tcPr>
            <w:tcW w:w="1134" w:type="dxa"/>
          </w:tcPr>
          <w:p w14:paraId="419A9B0D" w14:textId="77777777" w:rsidR="00F608B4" w:rsidRPr="00905499" w:rsidRDefault="00F608B4" w:rsidP="00216C03">
            <w:pPr>
              <w:jc w:val="right"/>
              <w:rPr>
                <w:sz w:val="18"/>
                <w:szCs w:val="18"/>
                <w:lang w:val="en-US"/>
              </w:rPr>
            </w:pPr>
            <w:r w:rsidRPr="00905499">
              <w:rPr>
                <w:sz w:val="18"/>
                <w:szCs w:val="18"/>
                <w:lang w:val="en-US"/>
              </w:rPr>
              <w:t>NA</w:t>
            </w:r>
          </w:p>
        </w:tc>
        <w:tc>
          <w:tcPr>
            <w:tcW w:w="850" w:type="dxa"/>
          </w:tcPr>
          <w:p w14:paraId="633B06CE" w14:textId="77777777" w:rsidR="00F608B4" w:rsidRPr="00905499" w:rsidRDefault="00F608B4" w:rsidP="00216C03">
            <w:pPr>
              <w:jc w:val="right"/>
              <w:rPr>
                <w:sz w:val="18"/>
                <w:szCs w:val="18"/>
                <w:lang w:val="en-US"/>
              </w:rPr>
            </w:pPr>
            <w:r w:rsidRPr="00905499">
              <w:rPr>
                <w:sz w:val="18"/>
                <w:szCs w:val="18"/>
                <w:lang w:val="en-US"/>
              </w:rPr>
              <w:t>0</w:t>
            </w:r>
          </w:p>
        </w:tc>
      </w:tr>
      <w:tr w:rsidR="00F608B4" w:rsidRPr="00905499" w14:paraId="45DA6FA1" w14:textId="77777777" w:rsidTr="00216C03">
        <w:trPr>
          <w:trHeight w:val="242"/>
        </w:trPr>
        <w:tc>
          <w:tcPr>
            <w:tcW w:w="2895" w:type="dxa"/>
            <w:tcBorders>
              <w:bottom w:val="single" w:sz="6" w:space="0" w:color="BFBFBF" w:themeColor="background1" w:themeShade="BF"/>
            </w:tcBorders>
          </w:tcPr>
          <w:p w14:paraId="70D5ED38" w14:textId="77777777" w:rsidR="00F608B4" w:rsidRPr="00905499" w:rsidRDefault="00F608B4" w:rsidP="00216C03">
            <w:pPr>
              <w:rPr>
                <w:sz w:val="18"/>
                <w:szCs w:val="18"/>
                <w:lang w:val="en-US"/>
              </w:rPr>
            </w:pPr>
            <w:r w:rsidRPr="00905499">
              <w:rPr>
                <w:sz w:val="18"/>
                <w:szCs w:val="18"/>
                <w:lang w:val="en-US"/>
              </w:rPr>
              <w:t xml:space="preserve">% </w:t>
            </w:r>
            <w:proofErr w:type="gramStart"/>
            <w:r w:rsidRPr="00905499">
              <w:rPr>
                <w:sz w:val="18"/>
                <w:szCs w:val="18"/>
                <w:lang w:val="en-US"/>
              </w:rPr>
              <w:t>cohort</w:t>
            </w:r>
            <w:proofErr w:type="gramEnd"/>
            <w:r w:rsidRPr="00905499">
              <w:rPr>
                <w:sz w:val="18"/>
                <w:szCs w:val="18"/>
                <w:lang w:val="en-US"/>
              </w:rPr>
              <w:t xml:space="preserve"> 2006</w:t>
            </w:r>
          </w:p>
        </w:tc>
        <w:tc>
          <w:tcPr>
            <w:tcW w:w="1191" w:type="dxa"/>
            <w:tcBorders>
              <w:bottom w:val="single" w:sz="6" w:space="0" w:color="BFBFBF" w:themeColor="background1" w:themeShade="BF"/>
            </w:tcBorders>
          </w:tcPr>
          <w:p w14:paraId="59FA7D3F" w14:textId="77777777" w:rsidR="00F608B4" w:rsidRPr="00905499" w:rsidRDefault="00F608B4" w:rsidP="00216C03">
            <w:pPr>
              <w:jc w:val="right"/>
              <w:rPr>
                <w:sz w:val="18"/>
                <w:szCs w:val="18"/>
                <w:lang w:val="en-US"/>
              </w:rPr>
            </w:pPr>
            <w:r w:rsidRPr="00905499">
              <w:rPr>
                <w:sz w:val="18"/>
                <w:szCs w:val="18"/>
                <w:lang w:val="en-US"/>
              </w:rPr>
              <w:t>49.93</w:t>
            </w:r>
          </w:p>
        </w:tc>
        <w:tc>
          <w:tcPr>
            <w:tcW w:w="1248" w:type="dxa"/>
            <w:tcBorders>
              <w:bottom w:val="single" w:sz="6" w:space="0" w:color="BFBFBF" w:themeColor="background1" w:themeShade="BF"/>
            </w:tcBorders>
            <w:vAlign w:val="center"/>
          </w:tcPr>
          <w:p w14:paraId="79A3B61F" w14:textId="77777777" w:rsidR="00F608B4" w:rsidRPr="00905499" w:rsidRDefault="00F608B4" w:rsidP="00216C03">
            <w:pPr>
              <w:jc w:val="right"/>
              <w:rPr>
                <w:sz w:val="18"/>
                <w:szCs w:val="18"/>
                <w:lang w:val="en-US"/>
              </w:rPr>
            </w:pPr>
            <w:r w:rsidRPr="00905499">
              <w:rPr>
                <w:sz w:val="18"/>
                <w:szCs w:val="18"/>
                <w:lang w:val="en-US"/>
              </w:rPr>
              <w:t>25.31</w:t>
            </w:r>
          </w:p>
        </w:tc>
        <w:tc>
          <w:tcPr>
            <w:tcW w:w="1250" w:type="dxa"/>
            <w:tcBorders>
              <w:bottom w:val="single" w:sz="6" w:space="0" w:color="BFBFBF" w:themeColor="background1" w:themeShade="BF"/>
            </w:tcBorders>
            <w:vAlign w:val="center"/>
          </w:tcPr>
          <w:p w14:paraId="188EB41B" w14:textId="77777777" w:rsidR="00F608B4" w:rsidRPr="00905499" w:rsidRDefault="00F608B4" w:rsidP="00216C03">
            <w:pPr>
              <w:jc w:val="right"/>
              <w:rPr>
                <w:sz w:val="18"/>
                <w:szCs w:val="18"/>
                <w:lang w:val="en-US"/>
              </w:rPr>
            </w:pPr>
            <w:r w:rsidRPr="00905499">
              <w:rPr>
                <w:sz w:val="18"/>
                <w:szCs w:val="18"/>
                <w:lang w:val="en-US"/>
              </w:rPr>
              <w:t>24.62</w:t>
            </w:r>
          </w:p>
        </w:tc>
        <w:tc>
          <w:tcPr>
            <w:tcW w:w="1061" w:type="dxa"/>
            <w:tcBorders>
              <w:left w:val="nil"/>
              <w:bottom w:val="single" w:sz="6" w:space="0" w:color="BFBFBF" w:themeColor="background1" w:themeShade="BF"/>
            </w:tcBorders>
            <w:vAlign w:val="center"/>
          </w:tcPr>
          <w:p w14:paraId="35A03891" w14:textId="77777777" w:rsidR="00F608B4" w:rsidRPr="00905499" w:rsidRDefault="00F608B4" w:rsidP="00216C03">
            <w:pPr>
              <w:jc w:val="right"/>
              <w:rPr>
                <w:sz w:val="18"/>
                <w:szCs w:val="18"/>
                <w:lang w:val="en-US"/>
              </w:rPr>
            </w:pPr>
            <w:r w:rsidRPr="00905499">
              <w:rPr>
                <w:sz w:val="18"/>
                <w:szCs w:val="18"/>
                <w:lang w:val="en-US"/>
              </w:rPr>
              <w:t>32.03</w:t>
            </w:r>
          </w:p>
        </w:tc>
        <w:tc>
          <w:tcPr>
            <w:tcW w:w="1066" w:type="dxa"/>
            <w:tcBorders>
              <w:bottom w:val="single" w:sz="6" w:space="0" w:color="BFBFBF" w:themeColor="background1" w:themeShade="BF"/>
            </w:tcBorders>
            <w:vAlign w:val="center"/>
          </w:tcPr>
          <w:p w14:paraId="5EA6D476" w14:textId="77777777" w:rsidR="00F608B4" w:rsidRPr="00905499" w:rsidRDefault="00F608B4" w:rsidP="00216C03">
            <w:pPr>
              <w:jc w:val="right"/>
              <w:rPr>
                <w:sz w:val="18"/>
                <w:szCs w:val="18"/>
                <w:lang w:val="en-US"/>
              </w:rPr>
            </w:pPr>
            <w:r w:rsidRPr="00905499">
              <w:rPr>
                <w:sz w:val="18"/>
                <w:szCs w:val="18"/>
                <w:lang w:val="en-US"/>
              </w:rPr>
              <w:t>17.90</w:t>
            </w:r>
          </w:p>
        </w:tc>
        <w:tc>
          <w:tcPr>
            <w:tcW w:w="1212" w:type="dxa"/>
            <w:tcBorders>
              <w:left w:val="nil"/>
              <w:bottom w:val="single" w:sz="6" w:space="0" w:color="BFBFBF" w:themeColor="background1" w:themeShade="BF"/>
            </w:tcBorders>
            <w:vAlign w:val="center"/>
          </w:tcPr>
          <w:p w14:paraId="41319F24" w14:textId="77777777" w:rsidR="00F608B4" w:rsidRPr="00905499" w:rsidRDefault="00F608B4" w:rsidP="00216C03">
            <w:pPr>
              <w:jc w:val="right"/>
              <w:rPr>
                <w:sz w:val="18"/>
                <w:szCs w:val="18"/>
                <w:lang w:val="en-US"/>
              </w:rPr>
            </w:pPr>
            <w:r w:rsidRPr="00905499">
              <w:rPr>
                <w:sz w:val="18"/>
                <w:szCs w:val="18"/>
                <w:lang w:val="en-US"/>
              </w:rPr>
              <w:t>32.82</w:t>
            </w:r>
          </w:p>
        </w:tc>
        <w:tc>
          <w:tcPr>
            <w:tcW w:w="1276" w:type="dxa"/>
            <w:tcBorders>
              <w:bottom w:val="single" w:sz="6" w:space="0" w:color="BFBFBF" w:themeColor="background1" w:themeShade="BF"/>
            </w:tcBorders>
            <w:vAlign w:val="center"/>
          </w:tcPr>
          <w:p w14:paraId="27B2ED9D" w14:textId="77777777" w:rsidR="00F608B4" w:rsidRPr="00905499" w:rsidRDefault="00F608B4" w:rsidP="00216C03">
            <w:pPr>
              <w:jc w:val="right"/>
              <w:rPr>
                <w:sz w:val="18"/>
                <w:szCs w:val="18"/>
                <w:lang w:val="en-US"/>
              </w:rPr>
            </w:pPr>
            <w:r w:rsidRPr="00905499">
              <w:rPr>
                <w:sz w:val="18"/>
                <w:szCs w:val="18"/>
                <w:lang w:val="en-US"/>
              </w:rPr>
              <w:t>19.11</w:t>
            </w:r>
          </w:p>
        </w:tc>
        <w:tc>
          <w:tcPr>
            <w:tcW w:w="992" w:type="dxa"/>
            <w:tcBorders>
              <w:bottom w:val="single" w:sz="6" w:space="0" w:color="BFBFBF" w:themeColor="background1" w:themeShade="BF"/>
            </w:tcBorders>
          </w:tcPr>
          <w:p w14:paraId="16526918" w14:textId="77777777" w:rsidR="00F608B4" w:rsidRPr="00905499" w:rsidRDefault="00F608B4" w:rsidP="00216C03">
            <w:pPr>
              <w:jc w:val="right"/>
              <w:rPr>
                <w:sz w:val="18"/>
                <w:szCs w:val="18"/>
                <w:lang w:val="en-US"/>
              </w:rPr>
            </w:pPr>
            <w:r w:rsidRPr="00905499">
              <w:rPr>
                <w:sz w:val="18"/>
                <w:szCs w:val="18"/>
                <w:lang w:val="en-US"/>
              </w:rPr>
              <w:t>100</w:t>
            </w:r>
          </w:p>
        </w:tc>
        <w:tc>
          <w:tcPr>
            <w:tcW w:w="1134" w:type="dxa"/>
            <w:tcBorders>
              <w:bottom w:val="single" w:sz="6" w:space="0" w:color="BFBFBF" w:themeColor="background1" w:themeShade="BF"/>
            </w:tcBorders>
          </w:tcPr>
          <w:p w14:paraId="72967503" w14:textId="77777777" w:rsidR="00F608B4" w:rsidRPr="00905499" w:rsidRDefault="00F608B4" w:rsidP="00216C03">
            <w:pPr>
              <w:jc w:val="right"/>
              <w:rPr>
                <w:sz w:val="18"/>
                <w:szCs w:val="18"/>
                <w:lang w:val="en-US"/>
              </w:rPr>
            </w:pPr>
            <w:r w:rsidRPr="00905499">
              <w:rPr>
                <w:sz w:val="18"/>
                <w:szCs w:val="18"/>
                <w:lang w:val="en-US"/>
              </w:rPr>
              <w:t>100</w:t>
            </w:r>
          </w:p>
        </w:tc>
        <w:tc>
          <w:tcPr>
            <w:tcW w:w="850" w:type="dxa"/>
            <w:tcBorders>
              <w:bottom w:val="single" w:sz="6" w:space="0" w:color="BFBFBF" w:themeColor="background1" w:themeShade="BF"/>
            </w:tcBorders>
          </w:tcPr>
          <w:p w14:paraId="1113F63E" w14:textId="77777777" w:rsidR="00F608B4" w:rsidRPr="00905499" w:rsidRDefault="00F608B4" w:rsidP="00216C03">
            <w:pPr>
              <w:jc w:val="right"/>
              <w:rPr>
                <w:sz w:val="18"/>
                <w:szCs w:val="18"/>
                <w:lang w:val="en-US"/>
              </w:rPr>
            </w:pPr>
            <w:r w:rsidRPr="00905499">
              <w:rPr>
                <w:sz w:val="18"/>
                <w:szCs w:val="18"/>
                <w:lang w:val="en-US"/>
              </w:rPr>
              <w:t>0</w:t>
            </w:r>
          </w:p>
        </w:tc>
      </w:tr>
      <w:tr w:rsidR="00F608B4" w:rsidRPr="00905499" w14:paraId="7CED37A5" w14:textId="77777777" w:rsidTr="00216C03">
        <w:trPr>
          <w:trHeight w:val="242"/>
        </w:trPr>
        <w:tc>
          <w:tcPr>
            <w:tcW w:w="2895" w:type="dxa"/>
            <w:tcBorders>
              <w:top w:val="single" w:sz="6" w:space="0" w:color="BFBFBF" w:themeColor="background1" w:themeShade="BF"/>
            </w:tcBorders>
          </w:tcPr>
          <w:p w14:paraId="67F95BC9" w14:textId="77777777" w:rsidR="00F608B4" w:rsidRPr="00905499" w:rsidRDefault="00F608B4" w:rsidP="00216C03">
            <w:pPr>
              <w:rPr>
                <w:sz w:val="18"/>
                <w:szCs w:val="18"/>
                <w:lang w:val="en-US"/>
              </w:rPr>
            </w:pPr>
            <w:r w:rsidRPr="00905499">
              <w:rPr>
                <w:sz w:val="18"/>
                <w:szCs w:val="18"/>
                <w:lang w:val="en-US"/>
              </w:rPr>
              <w:t>%Urban</w:t>
            </w:r>
          </w:p>
        </w:tc>
        <w:tc>
          <w:tcPr>
            <w:tcW w:w="1191" w:type="dxa"/>
            <w:tcBorders>
              <w:top w:val="single" w:sz="6" w:space="0" w:color="BFBFBF" w:themeColor="background1" w:themeShade="BF"/>
            </w:tcBorders>
          </w:tcPr>
          <w:p w14:paraId="6443283A" w14:textId="77777777" w:rsidR="00F608B4" w:rsidRPr="00905499" w:rsidRDefault="00F608B4" w:rsidP="00216C03">
            <w:pPr>
              <w:jc w:val="right"/>
              <w:rPr>
                <w:sz w:val="18"/>
                <w:szCs w:val="18"/>
                <w:lang w:val="en-US"/>
              </w:rPr>
            </w:pPr>
            <w:r w:rsidRPr="00905499">
              <w:rPr>
                <w:sz w:val="18"/>
                <w:szCs w:val="18"/>
                <w:lang w:val="en-US"/>
              </w:rPr>
              <w:t>71.63</w:t>
            </w:r>
          </w:p>
        </w:tc>
        <w:tc>
          <w:tcPr>
            <w:tcW w:w="1248" w:type="dxa"/>
            <w:tcBorders>
              <w:top w:val="single" w:sz="6" w:space="0" w:color="BFBFBF" w:themeColor="background1" w:themeShade="BF"/>
            </w:tcBorders>
          </w:tcPr>
          <w:p w14:paraId="7F6B1CB9" w14:textId="77777777" w:rsidR="00F608B4" w:rsidRPr="00905499" w:rsidRDefault="00F608B4" w:rsidP="00216C03">
            <w:pPr>
              <w:jc w:val="right"/>
              <w:rPr>
                <w:sz w:val="18"/>
                <w:szCs w:val="18"/>
                <w:lang w:val="en-US"/>
              </w:rPr>
            </w:pPr>
            <w:r w:rsidRPr="00905499">
              <w:rPr>
                <w:sz w:val="18"/>
                <w:szCs w:val="18"/>
                <w:lang w:val="en-US"/>
              </w:rPr>
              <w:t>31.11</w:t>
            </w:r>
          </w:p>
        </w:tc>
        <w:tc>
          <w:tcPr>
            <w:tcW w:w="1250" w:type="dxa"/>
            <w:tcBorders>
              <w:top w:val="single" w:sz="6" w:space="0" w:color="BFBFBF" w:themeColor="background1" w:themeShade="BF"/>
            </w:tcBorders>
          </w:tcPr>
          <w:p w14:paraId="4B39D560" w14:textId="77777777" w:rsidR="00F608B4" w:rsidRPr="00905499" w:rsidRDefault="00F608B4" w:rsidP="00216C03">
            <w:pPr>
              <w:jc w:val="right"/>
              <w:rPr>
                <w:sz w:val="18"/>
                <w:szCs w:val="18"/>
                <w:lang w:val="en-US"/>
              </w:rPr>
            </w:pPr>
            <w:r w:rsidRPr="00905499">
              <w:rPr>
                <w:sz w:val="18"/>
                <w:szCs w:val="18"/>
                <w:lang w:val="en-US"/>
              </w:rPr>
              <w:t>40.52</w:t>
            </w:r>
          </w:p>
        </w:tc>
        <w:tc>
          <w:tcPr>
            <w:tcW w:w="1061" w:type="dxa"/>
            <w:tcBorders>
              <w:top w:val="single" w:sz="6" w:space="0" w:color="BFBFBF" w:themeColor="background1" w:themeShade="BF"/>
              <w:left w:val="nil"/>
            </w:tcBorders>
          </w:tcPr>
          <w:p w14:paraId="04BB9A92" w14:textId="77777777" w:rsidR="00F608B4" w:rsidRPr="00905499" w:rsidRDefault="00F608B4" w:rsidP="00216C03">
            <w:pPr>
              <w:jc w:val="right"/>
              <w:rPr>
                <w:sz w:val="18"/>
                <w:szCs w:val="18"/>
                <w:lang w:val="en-US"/>
              </w:rPr>
            </w:pPr>
            <w:r w:rsidRPr="00905499">
              <w:rPr>
                <w:sz w:val="18"/>
                <w:szCs w:val="18"/>
                <w:lang w:val="en-US"/>
              </w:rPr>
              <w:t>43.43</w:t>
            </w:r>
          </w:p>
        </w:tc>
        <w:tc>
          <w:tcPr>
            <w:tcW w:w="1066" w:type="dxa"/>
            <w:tcBorders>
              <w:top w:val="single" w:sz="6" w:space="0" w:color="BFBFBF" w:themeColor="background1" w:themeShade="BF"/>
              <w:left w:val="nil"/>
            </w:tcBorders>
          </w:tcPr>
          <w:p w14:paraId="2C258C96" w14:textId="77777777" w:rsidR="00F608B4" w:rsidRPr="00905499" w:rsidRDefault="00F608B4" w:rsidP="00216C03">
            <w:pPr>
              <w:jc w:val="right"/>
              <w:rPr>
                <w:sz w:val="18"/>
                <w:szCs w:val="18"/>
                <w:lang w:val="en-US"/>
              </w:rPr>
            </w:pPr>
            <w:r w:rsidRPr="00905499">
              <w:rPr>
                <w:sz w:val="18"/>
                <w:szCs w:val="18"/>
                <w:lang w:val="en-US"/>
              </w:rPr>
              <w:t>28.20</w:t>
            </w:r>
          </w:p>
        </w:tc>
        <w:tc>
          <w:tcPr>
            <w:tcW w:w="1212" w:type="dxa"/>
            <w:tcBorders>
              <w:top w:val="single" w:sz="6" w:space="0" w:color="BFBFBF" w:themeColor="background1" w:themeShade="BF"/>
              <w:left w:val="nil"/>
            </w:tcBorders>
          </w:tcPr>
          <w:p w14:paraId="378F1D27" w14:textId="77777777" w:rsidR="00F608B4" w:rsidRPr="00905499" w:rsidRDefault="00F608B4" w:rsidP="00216C03">
            <w:pPr>
              <w:jc w:val="right"/>
              <w:rPr>
                <w:sz w:val="18"/>
                <w:szCs w:val="18"/>
                <w:lang w:val="en-US"/>
              </w:rPr>
            </w:pPr>
            <w:r w:rsidRPr="00905499">
              <w:rPr>
                <w:sz w:val="18"/>
                <w:szCs w:val="18"/>
                <w:lang w:val="en-US"/>
              </w:rPr>
              <w:t>50.24</w:t>
            </w:r>
          </w:p>
        </w:tc>
        <w:tc>
          <w:tcPr>
            <w:tcW w:w="1276" w:type="dxa"/>
            <w:tcBorders>
              <w:top w:val="single" w:sz="6" w:space="0" w:color="BFBFBF" w:themeColor="background1" w:themeShade="BF"/>
              <w:left w:val="nil"/>
            </w:tcBorders>
          </w:tcPr>
          <w:p w14:paraId="085E1FA9" w14:textId="77777777" w:rsidR="00F608B4" w:rsidRPr="00905499" w:rsidRDefault="00F608B4" w:rsidP="00216C03">
            <w:pPr>
              <w:jc w:val="right"/>
              <w:rPr>
                <w:sz w:val="18"/>
                <w:szCs w:val="18"/>
                <w:lang w:val="en-US"/>
              </w:rPr>
            </w:pPr>
            <w:r w:rsidRPr="00905499">
              <w:rPr>
                <w:sz w:val="18"/>
                <w:szCs w:val="18"/>
                <w:lang w:val="en-US"/>
              </w:rPr>
              <w:t>31.56</w:t>
            </w:r>
          </w:p>
        </w:tc>
        <w:tc>
          <w:tcPr>
            <w:tcW w:w="992" w:type="dxa"/>
            <w:tcBorders>
              <w:top w:val="single" w:sz="6" w:space="0" w:color="BFBFBF" w:themeColor="background1" w:themeShade="BF"/>
            </w:tcBorders>
          </w:tcPr>
          <w:p w14:paraId="1DF15C9B" w14:textId="77777777" w:rsidR="00F608B4" w:rsidRPr="00905499" w:rsidRDefault="00F608B4" w:rsidP="00216C03">
            <w:pPr>
              <w:jc w:val="right"/>
              <w:rPr>
                <w:sz w:val="18"/>
                <w:szCs w:val="18"/>
                <w:lang w:val="en-US"/>
              </w:rPr>
            </w:pPr>
            <w:r w:rsidRPr="00905499">
              <w:rPr>
                <w:sz w:val="18"/>
                <w:szCs w:val="18"/>
                <w:lang w:val="en-US"/>
              </w:rPr>
              <w:t xml:space="preserve">37.47 </w:t>
            </w:r>
          </w:p>
        </w:tc>
        <w:tc>
          <w:tcPr>
            <w:tcW w:w="1134" w:type="dxa"/>
            <w:tcBorders>
              <w:top w:val="single" w:sz="6" w:space="0" w:color="BFBFBF" w:themeColor="background1" w:themeShade="BF"/>
            </w:tcBorders>
          </w:tcPr>
          <w:p w14:paraId="4F7A615A" w14:textId="77777777" w:rsidR="00F608B4" w:rsidRPr="00905499" w:rsidRDefault="00F608B4" w:rsidP="00216C03">
            <w:pPr>
              <w:jc w:val="right"/>
              <w:rPr>
                <w:sz w:val="18"/>
                <w:szCs w:val="18"/>
                <w:lang w:val="en-US"/>
              </w:rPr>
            </w:pPr>
            <w:r w:rsidRPr="00905499">
              <w:rPr>
                <w:sz w:val="18"/>
                <w:szCs w:val="18"/>
                <w:lang w:val="en-US"/>
              </w:rPr>
              <w:t>33.96</w:t>
            </w:r>
          </w:p>
        </w:tc>
        <w:tc>
          <w:tcPr>
            <w:tcW w:w="850" w:type="dxa"/>
            <w:tcBorders>
              <w:top w:val="single" w:sz="6" w:space="0" w:color="BFBFBF" w:themeColor="background1" w:themeShade="BF"/>
            </w:tcBorders>
          </w:tcPr>
          <w:p w14:paraId="24F598A2" w14:textId="77777777" w:rsidR="00F608B4" w:rsidRPr="00905499" w:rsidRDefault="00F608B4" w:rsidP="00216C03">
            <w:pPr>
              <w:jc w:val="right"/>
              <w:rPr>
                <w:sz w:val="18"/>
                <w:szCs w:val="18"/>
                <w:lang w:val="en-US"/>
              </w:rPr>
            </w:pPr>
            <w:r w:rsidRPr="00905499">
              <w:rPr>
                <w:sz w:val="18"/>
                <w:szCs w:val="18"/>
                <w:lang w:val="en-US"/>
              </w:rPr>
              <w:t>0</w:t>
            </w:r>
          </w:p>
        </w:tc>
      </w:tr>
      <w:tr w:rsidR="00F608B4" w:rsidRPr="00905499" w14:paraId="4667814E" w14:textId="77777777" w:rsidTr="00216C03">
        <w:trPr>
          <w:trHeight w:val="242"/>
        </w:trPr>
        <w:tc>
          <w:tcPr>
            <w:tcW w:w="2895" w:type="dxa"/>
          </w:tcPr>
          <w:p w14:paraId="337CA902" w14:textId="77777777" w:rsidR="00F608B4" w:rsidRPr="00905499" w:rsidRDefault="00F608B4" w:rsidP="00216C03">
            <w:pPr>
              <w:rPr>
                <w:sz w:val="18"/>
                <w:szCs w:val="18"/>
                <w:lang w:val="en-US"/>
              </w:rPr>
            </w:pPr>
            <w:r w:rsidRPr="00905499">
              <w:rPr>
                <w:sz w:val="18"/>
                <w:szCs w:val="18"/>
                <w:lang w:val="en-US"/>
              </w:rPr>
              <w:t>%Provincial</w:t>
            </w:r>
          </w:p>
        </w:tc>
        <w:tc>
          <w:tcPr>
            <w:tcW w:w="1191" w:type="dxa"/>
          </w:tcPr>
          <w:p w14:paraId="506C7323" w14:textId="77777777" w:rsidR="00F608B4" w:rsidRPr="00905499" w:rsidRDefault="00F608B4" w:rsidP="00216C03">
            <w:pPr>
              <w:jc w:val="right"/>
              <w:rPr>
                <w:sz w:val="18"/>
                <w:szCs w:val="18"/>
                <w:lang w:val="en-US"/>
              </w:rPr>
            </w:pPr>
            <w:r w:rsidRPr="00905499">
              <w:rPr>
                <w:sz w:val="18"/>
                <w:szCs w:val="18"/>
                <w:lang w:val="en-US"/>
              </w:rPr>
              <w:t>26.05</w:t>
            </w:r>
          </w:p>
        </w:tc>
        <w:tc>
          <w:tcPr>
            <w:tcW w:w="1248" w:type="dxa"/>
          </w:tcPr>
          <w:p w14:paraId="6B89F581" w14:textId="77777777" w:rsidR="00F608B4" w:rsidRPr="00905499" w:rsidRDefault="00F608B4" w:rsidP="00216C03">
            <w:pPr>
              <w:jc w:val="right"/>
              <w:rPr>
                <w:sz w:val="18"/>
                <w:szCs w:val="18"/>
                <w:lang w:val="en-US"/>
              </w:rPr>
            </w:pPr>
            <w:r w:rsidRPr="00905499">
              <w:rPr>
                <w:sz w:val="18"/>
                <w:szCs w:val="18"/>
                <w:lang w:val="en-US"/>
              </w:rPr>
              <w:t>15.67</w:t>
            </w:r>
          </w:p>
        </w:tc>
        <w:tc>
          <w:tcPr>
            <w:tcW w:w="1250" w:type="dxa"/>
          </w:tcPr>
          <w:p w14:paraId="269C565E" w14:textId="77777777" w:rsidR="00F608B4" w:rsidRPr="00905499" w:rsidRDefault="00F608B4" w:rsidP="00216C03">
            <w:pPr>
              <w:jc w:val="right"/>
              <w:rPr>
                <w:sz w:val="18"/>
                <w:szCs w:val="18"/>
                <w:lang w:val="en-US"/>
              </w:rPr>
            </w:pPr>
            <w:r w:rsidRPr="00905499">
              <w:rPr>
                <w:sz w:val="18"/>
                <w:szCs w:val="18"/>
                <w:lang w:val="en-US"/>
              </w:rPr>
              <w:t>11.38</w:t>
            </w:r>
          </w:p>
        </w:tc>
        <w:tc>
          <w:tcPr>
            <w:tcW w:w="1061" w:type="dxa"/>
            <w:tcBorders>
              <w:left w:val="nil"/>
            </w:tcBorders>
          </w:tcPr>
          <w:p w14:paraId="56AA1B67" w14:textId="77777777" w:rsidR="00F608B4" w:rsidRPr="00905499" w:rsidRDefault="00F608B4" w:rsidP="00216C03">
            <w:pPr>
              <w:jc w:val="right"/>
              <w:rPr>
                <w:sz w:val="18"/>
                <w:szCs w:val="18"/>
                <w:lang w:val="en-US"/>
              </w:rPr>
            </w:pPr>
            <w:r w:rsidRPr="00905499">
              <w:rPr>
                <w:sz w:val="18"/>
                <w:szCs w:val="18"/>
                <w:lang w:val="en-US"/>
              </w:rPr>
              <w:t>21.08</w:t>
            </w:r>
          </w:p>
        </w:tc>
        <w:tc>
          <w:tcPr>
            <w:tcW w:w="1066" w:type="dxa"/>
            <w:tcBorders>
              <w:left w:val="nil"/>
            </w:tcBorders>
          </w:tcPr>
          <w:p w14:paraId="56EA34A7" w14:textId="77777777" w:rsidR="00F608B4" w:rsidRPr="00905499" w:rsidRDefault="00F608B4" w:rsidP="00216C03">
            <w:pPr>
              <w:jc w:val="right"/>
              <w:rPr>
                <w:sz w:val="18"/>
                <w:szCs w:val="18"/>
                <w:lang w:val="en-US"/>
              </w:rPr>
            </w:pPr>
            <w:r w:rsidRPr="00905499">
              <w:rPr>
                <w:sz w:val="18"/>
                <w:szCs w:val="18"/>
                <w:lang w:val="en-US"/>
              </w:rPr>
              <w:t>5.97</w:t>
            </w:r>
          </w:p>
        </w:tc>
        <w:tc>
          <w:tcPr>
            <w:tcW w:w="1212" w:type="dxa"/>
            <w:tcBorders>
              <w:left w:val="nil"/>
            </w:tcBorders>
          </w:tcPr>
          <w:p w14:paraId="71F2DCA2" w14:textId="77777777" w:rsidR="00F608B4" w:rsidRPr="00905499" w:rsidRDefault="00F608B4" w:rsidP="00216C03">
            <w:pPr>
              <w:jc w:val="right"/>
              <w:rPr>
                <w:sz w:val="18"/>
                <w:szCs w:val="18"/>
                <w:lang w:val="en-US"/>
              </w:rPr>
            </w:pPr>
            <w:r w:rsidRPr="00905499">
              <w:rPr>
                <w:sz w:val="18"/>
                <w:szCs w:val="18"/>
                <w:lang w:val="en-US"/>
              </w:rPr>
              <w:t>13.16</w:t>
            </w:r>
          </w:p>
        </w:tc>
        <w:tc>
          <w:tcPr>
            <w:tcW w:w="1276" w:type="dxa"/>
            <w:tcBorders>
              <w:left w:val="nil"/>
            </w:tcBorders>
          </w:tcPr>
          <w:p w14:paraId="0D071742" w14:textId="77777777" w:rsidR="00F608B4" w:rsidRPr="00905499" w:rsidRDefault="00F608B4" w:rsidP="00216C03">
            <w:pPr>
              <w:jc w:val="right"/>
              <w:rPr>
                <w:sz w:val="18"/>
                <w:szCs w:val="18"/>
                <w:lang w:val="en-US"/>
              </w:rPr>
            </w:pPr>
            <w:r w:rsidRPr="00905499">
              <w:rPr>
                <w:sz w:val="18"/>
                <w:szCs w:val="18"/>
                <w:lang w:val="en-US"/>
              </w:rPr>
              <w:t>4.15</w:t>
            </w:r>
          </w:p>
        </w:tc>
        <w:tc>
          <w:tcPr>
            <w:tcW w:w="992" w:type="dxa"/>
          </w:tcPr>
          <w:p w14:paraId="641401BC" w14:textId="77777777" w:rsidR="00F608B4" w:rsidRPr="00905499" w:rsidRDefault="00F608B4" w:rsidP="00216C03">
            <w:pPr>
              <w:jc w:val="right"/>
              <w:rPr>
                <w:sz w:val="18"/>
                <w:szCs w:val="18"/>
                <w:lang w:val="en-US"/>
              </w:rPr>
            </w:pPr>
            <w:r w:rsidRPr="00905499">
              <w:rPr>
                <w:sz w:val="18"/>
                <w:szCs w:val="18"/>
                <w:lang w:val="en-US"/>
              </w:rPr>
              <w:t xml:space="preserve">14.46 </w:t>
            </w:r>
          </w:p>
        </w:tc>
        <w:tc>
          <w:tcPr>
            <w:tcW w:w="1134" w:type="dxa"/>
          </w:tcPr>
          <w:p w14:paraId="6E93836D" w14:textId="77777777" w:rsidR="00F608B4" w:rsidRPr="00905499" w:rsidRDefault="00F608B4" w:rsidP="00216C03">
            <w:pPr>
              <w:jc w:val="right"/>
              <w:rPr>
                <w:sz w:val="18"/>
                <w:szCs w:val="18"/>
                <w:lang w:val="en-US"/>
              </w:rPr>
            </w:pPr>
            <w:r w:rsidRPr="00905499">
              <w:rPr>
                <w:sz w:val="18"/>
                <w:szCs w:val="18"/>
                <w:lang w:val="en-US"/>
              </w:rPr>
              <w:t>12.05</w:t>
            </w:r>
          </w:p>
        </w:tc>
        <w:tc>
          <w:tcPr>
            <w:tcW w:w="850" w:type="dxa"/>
          </w:tcPr>
          <w:p w14:paraId="2C25EFA6" w14:textId="77777777" w:rsidR="00F608B4" w:rsidRPr="00905499" w:rsidRDefault="00F608B4" w:rsidP="00216C03">
            <w:pPr>
              <w:jc w:val="right"/>
              <w:rPr>
                <w:sz w:val="18"/>
                <w:szCs w:val="18"/>
                <w:lang w:val="en-US"/>
              </w:rPr>
            </w:pPr>
            <w:r w:rsidRPr="00905499">
              <w:rPr>
                <w:sz w:val="18"/>
                <w:szCs w:val="18"/>
                <w:lang w:val="en-US"/>
              </w:rPr>
              <w:t>0</w:t>
            </w:r>
          </w:p>
        </w:tc>
      </w:tr>
      <w:tr w:rsidR="00F608B4" w:rsidRPr="00905499" w14:paraId="3D33CF22" w14:textId="77777777" w:rsidTr="00216C03">
        <w:trPr>
          <w:trHeight w:val="242"/>
        </w:trPr>
        <w:tc>
          <w:tcPr>
            <w:tcW w:w="2895" w:type="dxa"/>
            <w:tcBorders>
              <w:bottom w:val="single" w:sz="6" w:space="0" w:color="BFBFBF" w:themeColor="background1" w:themeShade="BF"/>
            </w:tcBorders>
          </w:tcPr>
          <w:p w14:paraId="0BD86A8D" w14:textId="77777777" w:rsidR="00F608B4" w:rsidRPr="00905499" w:rsidRDefault="00F608B4" w:rsidP="00216C03">
            <w:pPr>
              <w:rPr>
                <w:sz w:val="18"/>
                <w:szCs w:val="18"/>
                <w:lang w:val="en-US"/>
              </w:rPr>
            </w:pPr>
            <w:r w:rsidRPr="00905499">
              <w:rPr>
                <w:sz w:val="18"/>
                <w:szCs w:val="18"/>
                <w:lang w:val="en-US"/>
              </w:rPr>
              <w:t>%Rural</w:t>
            </w:r>
          </w:p>
        </w:tc>
        <w:tc>
          <w:tcPr>
            <w:tcW w:w="1191" w:type="dxa"/>
            <w:tcBorders>
              <w:bottom w:val="single" w:sz="6" w:space="0" w:color="BFBFBF" w:themeColor="background1" w:themeShade="BF"/>
            </w:tcBorders>
          </w:tcPr>
          <w:p w14:paraId="087C5534" w14:textId="77777777" w:rsidR="00F608B4" w:rsidRPr="00905499" w:rsidRDefault="00F608B4" w:rsidP="00216C03">
            <w:pPr>
              <w:jc w:val="right"/>
              <w:rPr>
                <w:sz w:val="18"/>
                <w:szCs w:val="18"/>
                <w:lang w:val="en-US"/>
              </w:rPr>
            </w:pPr>
            <w:r w:rsidRPr="00905499">
              <w:rPr>
                <w:sz w:val="18"/>
                <w:szCs w:val="18"/>
                <w:lang w:val="en-US"/>
              </w:rPr>
              <w:t>1.41</w:t>
            </w:r>
          </w:p>
        </w:tc>
        <w:tc>
          <w:tcPr>
            <w:tcW w:w="1248" w:type="dxa"/>
            <w:tcBorders>
              <w:bottom w:val="single" w:sz="6" w:space="0" w:color="BFBFBF" w:themeColor="background1" w:themeShade="BF"/>
            </w:tcBorders>
          </w:tcPr>
          <w:p w14:paraId="24DD654A" w14:textId="77777777" w:rsidR="00F608B4" w:rsidRPr="00905499" w:rsidRDefault="00F608B4" w:rsidP="00216C03">
            <w:pPr>
              <w:jc w:val="right"/>
              <w:rPr>
                <w:sz w:val="18"/>
                <w:szCs w:val="18"/>
                <w:lang w:val="en-US"/>
              </w:rPr>
            </w:pPr>
            <w:r w:rsidRPr="00905499">
              <w:rPr>
                <w:sz w:val="18"/>
                <w:szCs w:val="18"/>
                <w:lang w:val="en-US"/>
              </w:rPr>
              <w:t>.96</w:t>
            </w:r>
          </w:p>
        </w:tc>
        <w:tc>
          <w:tcPr>
            <w:tcW w:w="1250" w:type="dxa"/>
            <w:tcBorders>
              <w:bottom w:val="single" w:sz="6" w:space="0" w:color="BFBFBF" w:themeColor="background1" w:themeShade="BF"/>
            </w:tcBorders>
          </w:tcPr>
          <w:p w14:paraId="5C83809A" w14:textId="77777777" w:rsidR="00F608B4" w:rsidRPr="00905499" w:rsidRDefault="00F608B4" w:rsidP="00216C03">
            <w:pPr>
              <w:jc w:val="right"/>
              <w:rPr>
                <w:sz w:val="18"/>
                <w:szCs w:val="18"/>
                <w:lang w:val="en-US"/>
              </w:rPr>
            </w:pPr>
            <w:r w:rsidRPr="00905499">
              <w:rPr>
                <w:sz w:val="18"/>
                <w:szCs w:val="18"/>
                <w:lang w:val="en-US"/>
              </w:rPr>
              <w:t>.36</w:t>
            </w:r>
          </w:p>
        </w:tc>
        <w:tc>
          <w:tcPr>
            <w:tcW w:w="1061" w:type="dxa"/>
            <w:tcBorders>
              <w:left w:val="nil"/>
              <w:bottom w:val="single" w:sz="6" w:space="0" w:color="BFBFBF" w:themeColor="background1" w:themeShade="BF"/>
            </w:tcBorders>
          </w:tcPr>
          <w:p w14:paraId="3BE9810B" w14:textId="77777777" w:rsidR="00F608B4" w:rsidRPr="00905499" w:rsidRDefault="00F608B4" w:rsidP="00216C03">
            <w:pPr>
              <w:jc w:val="right"/>
              <w:rPr>
                <w:sz w:val="18"/>
                <w:szCs w:val="18"/>
                <w:lang w:val="en-US"/>
              </w:rPr>
            </w:pPr>
            <w:r w:rsidRPr="00905499">
              <w:rPr>
                <w:sz w:val="18"/>
                <w:szCs w:val="18"/>
                <w:lang w:val="en-US"/>
              </w:rPr>
              <w:t>1.02</w:t>
            </w:r>
          </w:p>
        </w:tc>
        <w:tc>
          <w:tcPr>
            <w:tcW w:w="1066" w:type="dxa"/>
            <w:tcBorders>
              <w:left w:val="nil"/>
              <w:bottom w:val="single" w:sz="6" w:space="0" w:color="BFBFBF" w:themeColor="background1" w:themeShade="BF"/>
            </w:tcBorders>
          </w:tcPr>
          <w:p w14:paraId="08084875" w14:textId="77777777" w:rsidR="00F608B4" w:rsidRPr="00905499" w:rsidRDefault="00F608B4" w:rsidP="00216C03">
            <w:pPr>
              <w:jc w:val="right"/>
              <w:rPr>
                <w:sz w:val="18"/>
                <w:szCs w:val="18"/>
                <w:lang w:val="en-US"/>
              </w:rPr>
            </w:pPr>
            <w:r w:rsidRPr="00905499">
              <w:rPr>
                <w:sz w:val="18"/>
                <w:szCs w:val="18"/>
                <w:lang w:val="en-US"/>
              </w:rPr>
              <w:t>.31</w:t>
            </w:r>
          </w:p>
        </w:tc>
        <w:tc>
          <w:tcPr>
            <w:tcW w:w="1212" w:type="dxa"/>
            <w:tcBorders>
              <w:left w:val="nil"/>
              <w:bottom w:val="single" w:sz="6" w:space="0" w:color="BFBFBF" w:themeColor="background1" w:themeShade="BF"/>
            </w:tcBorders>
          </w:tcPr>
          <w:p w14:paraId="40D07297" w14:textId="77777777" w:rsidR="00F608B4" w:rsidRPr="00905499" w:rsidRDefault="00F608B4" w:rsidP="00216C03">
            <w:pPr>
              <w:jc w:val="right"/>
              <w:rPr>
                <w:sz w:val="18"/>
                <w:szCs w:val="18"/>
                <w:lang w:val="en-US"/>
              </w:rPr>
            </w:pPr>
            <w:r w:rsidRPr="00905499">
              <w:rPr>
                <w:sz w:val="18"/>
                <w:szCs w:val="18"/>
                <w:lang w:val="en-US"/>
              </w:rPr>
              <w:t>.75</w:t>
            </w:r>
          </w:p>
        </w:tc>
        <w:tc>
          <w:tcPr>
            <w:tcW w:w="1276" w:type="dxa"/>
            <w:tcBorders>
              <w:left w:val="nil"/>
              <w:bottom w:val="single" w:sz="6" w:space="0" w:color="BFBFBF" w:themeColor="background1" w:themeShade="BF"/>
            </w:tcBorders>
          </w:tcPr>
          <w:p w14:paraId="17C8ECA4" w14:textId="77777777" w:rsidR="00F608B4" w:rsidRPr="00905499" w:rsidRDefault="00F608B4" w:rsidP="00216C03">
            <w:pPr>
              <w:jc w:val="right"/>
              <w:rPr>
                <w:sz w:val="18"/>
                <w:szCs w:val="18"/>
                <w:lang w:val="en-US"/>
              </w:rPr>
            </w:pPr>
            <w:r w:rsidRPr="00905499">
              <w:rPr>
                <w:sz w:val="18"/>
                <w:szCs w:val="18"/>
                <w:lang w:val="en-US"/>
              </w:rPr>
              <w:t>.14</w:t>
            </w:r>
          </w:p>
        </w:tc>
        <w:tc>
          <w:tcPr>
            <w:tcW w:w="992" w:type="dxa"/>
            <w:tcBorders>
              <w:bottom w:val="single" w:sz="6" w:space="0" w:color="BFBFBF" w:themeColor="background1" w:themeShade="BF"/>
            </w:tcBorders>
          </w:tcPr>
          <w:p w14:paraId="122B04A1" w14:textId="77777777" w:rsidR="00F608B4" w:rsidRPr="00905499" w:rsidRDefault="00F608B4" w:rsidP="00216C03">
            <w:pPr>
              <w:jc w:val="right"/>
              <w:rPr>
                <w:sz w:val="18"/>
                <w:szCs w:val="18"/>
                <w:lang w:val="en-US"/>
              </w:rPr>
            </w:pPr>
            <w:r w:rsidRPr="00905499">
              <w:rPr>
                <w:sz w:val="18"/>
                <w:szCs w:val="18"/>
                <w:lang w:val="en-US"/>
              </w:rPr>
              <w:t xml:space="preserve">1.11 </w:t>
            </w:r>
          </w:p>
        </w:tc>
        <w:tc>
          <w:tcPr>
            <w:tcW w:w="1134" w:type="dxa"/>
            <w:tcBorders>
              <w:bottom w:val="single" w:sz="6" w:space="0" w:color="BFBFBF" w:themeColor="background1" w:themeShade="BF"/>
            </w:tcBorders>
          </w:tcPr>
          <w:p w14:paraId="175D5F0B" w14:textId="77777777" w:rsidR="00F608B4" w:rsidRPr="00905499" w:rsidRDefault="00F608B4" w:rsidP="00216C03">
            <w:pPr>
              <w:jc w:val="right"/>
              <w:rPr>
                <w:sz w:val="18"/>
                <w:szCs w:val="18"/>
                <w:lang w:val="en-US"/>
              </w:rPr>
            </w:pPr>
            <w:r w:rsidRPr="00905499">
              <w:rPr>
                <w:sz w:val="18"/>
                <w:szCs w:val="18"/>
                <w:lang w:val="en-US"/>
              </w:rPr>
              <w:t>0.95</w:t>
            </w:r>
          </w:p>
        </w:tc>
        <w:tc>
          <w:tcPr>
            <w:tcW w:w="850" w:type="dxa"/>
            <w:tcBorders>
              <w:bottom w:val="single" w:sz="6" w:space="0" w:color="BFBFBF" w:themeColor="background1" w:themeShade="BF"/>
            </w:tcBorders>
          </w:tcPr>
          <w:p w14:paraId="7413F891" w14:textId="77777777" w:rsidR="00F608B4" w:rsidRPr="00905499" w:rsidRDefault="00F608B4" w:rsidP="00216C03">
            <w:pPr>
              <w:jc w:val="right"/>
              <w:rPr>
                <w:sz w:val="18"/>
                <w:szCs w:val="18"/>
                <w:lang w:val="en-US"/>
              </w:rPr>
            </w:pPr>
            <w:r w:rsidRPr="00905499">
              <w:rPr>
                <w:sz w:val="18"/>
                <w:szCs w:val="18"/>
                <w:lang w:val="en-US"/>
              </w:rPr>
              <w:t>0</w:t>
            </w:r>
          </w:p>
        </w:tc>
      </w:tr>
      <w:tr w:rsidR="00F608B4" w:rsidRPr="00905499" w14:paraId="3DB406F6" w14:textId="77777777" w:rsidTr="00216C03">
        <w:trPr>
          <w:trHeight w:val="242"/>
        </w:trPr>
        <w:tc>
          <w:tcPr>
            <w:tcW w:w="2895" w:type="dxa"/>
            <w:tcBorders>
              <w:top w:val="single" w:sz="6" w:space="0" w:color="BFBFBF" w:themeColor="background1" w:themeShade="BF"/>
              <w:bottom w:val="single" w:sz="6" w:space="0" w:color="auto"/>
            </w:tcBorders>
          </w:tcPr>
          <w:p w14:paraId="079E19F5" w14:textId="77777777" w:rsidR="00F608B4" w:rsidRPr="00905499" w:rsidRDefault="00F608B4" w:rsidP="00216C03">
            <w:pPr>
              <w:rPr>
                <w:sz w:val="18"/>
                <w:szCs w:val="18"/>
                <w:lang w:val="en-US"/>
              </w:rPr>
            </w:pPr>
            <w:r w:rsidRPr="00905499">
              <w:rPr>
                <w:sz w:val="18"/>
                <w:szCs w:val="18"/>
                <w:lang w:val="en-US"/>
              </w:rPr>
              <w:t>% Missing</w:t>
            </w:r>
          </w:p>
        </w:tc>
        <w:tc>
          <w:tcPr>
            <w:tcW w:w="1191" w:type="dxa"/>
            <w:tcBorders>
              <w:top w:val="single" w:sz="6" w:space="0" w:color="BFBFBF" w:themeColor="background1" w:themeShade="BF"/>
              <w:bottom w:val="single" w:sz="6" w:space="0" w:color="auto"/>
            </w:tcBorders>
          </w:tcPr>
          <w:p w14:paraId="57566DDF" w14:textId="77777777" w:rsidR="00F608B4" w:rsidRPr="00905499" w:rsidRDefault="00F608B4" w:rsidP="00216C03">
            <w:pPr>
              <w:jc w:val="right"/>
              <w:rPr>
                <w:sz w:val="18"/>
                <w:szCs w:val="18"/>
                <w:lang w:val="en-US"/>
              </w:rPr>
            </w:pPr>
            <w:r w:rsidRPr="00905499">
              <w:rPr>
                <w:sz w:val="18"/>
                <w:szCs w:val="18"/>
                <w:lang w:val="en-US"/>
              </w:rPr>
              <w:t>NA</w:t>
            </w:r>
          </w:p>
        </w:tc>
        <w:tc>
          <w:tcPr>
            <w:tcW w:w="2498" w:type="dxa"/>
            <w:gridSpan w:val="2"/>
            <w:tcBorders>
              <w:top w:val="single" w:sz="6" w:space="0" w:color="BFBFBF" w:themeColor="background1" w:themeShade="BF"/>
              <w:bottom w:val="single" w:sz="6" w:space="0" w:color="auto"/>
            </w:tcBorders>
          </w:tcPr>
          <w:p w14:paraId="29C1E1C0" w14:textId="77777777" w:rsidR="00F608B4" w:rsidRPr="00905499" w:rsidRDefault="00F608B4" w:rsidP="00216C03">
            <w:pPr>
              <w:jc w:val="center"/>
              <w:rPr>
                <w:sz w:val="18"/>
                <w:szCs w:val="18"/>
                <w:lang w:val="en-US"/>
              </w:rPr>
            </w:pPr>
            <w:r w:rsidRPr="00905499">
              <w:rPr>
                <w:sz w:val="18"/>
                <w:szCs w:val="18"/>
                <w:lang w:val="en-US"/>
              </w:rPr>
              <w:t>1.61</w:t>
            </w:r>
          </w:p>
        </w:tc>
        <w:tc>
          <w:tcPr>
            <w:tcW w:w="2127" w:type="dxa"/>
            <w:gridSpan w:val="2"/>
            <w:tcBorders>
              <w:top w:val="single" w:sz="6" w:space="0" w:color="BFBFBF" w:themeColor="background1" w:themeShade="BF"/>
              <w:left w:val="nil"/>
              <w:bottom w:val="single" w:sz="6" w:space="0" w:color="auto"/>
            </w:tcBorders>
          </w:tcPr>
          <w:p w14:paraId="0DFE3F25" w14:textId="77777777" w:rsidR="00F608B4" w:rsidRPr="00905499" w:rsidRDefault="00F608B4" w:rsidP="00216C03">
            <w:pPr>
              <w:jc w:val="center"/>
              <w:rPr>
                <w:sz w:val="18"/>
                <w:szCs w:val="18"/>
                <w:lang w:val="en-US"/>
              </w:rPr>
            </w:pPr>
            <w:r w:rsidRPr="00905499">
              <w:rPr>
                <w:sz w:val="18"/>
                <w:szCs w:val="18"/>
                <w:lang w:val="en-US"/>
              </w:rPr>
              <w:t>.90</w:t>
            </w:r>
          </w:p>
        </w:tc>
        <w:tc>
          <w:tcPr>
            <w:tcW w:w="2488" w:type="dxa"/>
            <w:gridSpan w:val="2"/>
            <w:tcBorders>
              <w:top w:val="single" w:sz="6" w:space="0" w:color="BFBFBF" w:themeColor="background1" w:themeShade="BF"/>
              <w:left w:val="nil"/>
              <w:bottom w:val="single" w:sz="6" w:space="0" w:color="auto"/>
            </w:tcBorders>
          </w:tcPr>
          <w:p w14:paraId="6DC9315A" w14:textId="77777777" w:rsidR="00F608B4" w:rsidRPr="00905499" w:rsidRDefault="00F608B4" w:rsidP="00216C03">
            <w:pPr>
              <w:jc w:val="center"/>
              <w:rPr>
                <w:sz w:val="18"/>
                <w:szCs w:val="18"/>
                <w:lang w:val="en-US"/>
              </w:rPr>
            </w:pPr>
            <w:r w:rsidRPr="00905499">
              <w:rPr>
                <w:sz w:val="18"/>
                <w:szCs w:val="18"/>
                <w:lang w:val="en-US"/>
              </w:rPr>
              <w:t>2.46</w:t>
            </w:r>
          </w:p>
        </w:tc>
        <w:tc>
          <w:tcPr>
            <w:tcW w:w="2126" w:type="dxa"/>
            <w:gridSpan w:val="2"/>
            <w:tcBorders>
              <w:top w:val="single" w:sz="6" w:space="0" w:color="BFBFBF" w:themeColor="background1" w:themeShade="BF"/>
              <w:bottom w:val="single" w:sz="6" w:space="0" w:color="auto"/>
            </w:tcBorders>
          </w:tcPr>
          <w:p w14:paraId="5A772B67" w14:textId="77777777" w:rsidR="00F608B4" w:rsidRPr="00905499" w:rsidRDefault="00F608B4" w:rsidP="00216C03">
            <w:pPr>
              <w:jc w:val="center"/>
              <w:rPr>
                <w:sz w:val="18"/>
                <w:szCs w:val="18"/>
                <w:lang w:val="en-US"/>
              </w:rPr>
            </w:pPr>
            <w:r w:rsidRPr="00905499">
              <w:rPr>
                <w:sz w:val="18"/>
                <w:szCs w:val="18"/>
                <w:lang w:val="en-US"/>
              </w:rPr>
              <w:t>0</w:t>
            </w:r>
          </w:p>
        </w:tc>
        <w:tc>
          <w:tcPr>
            <w:tcW w:w="850" w:type="dxa"/>
            <w:tcBorders>
              <w:top w:val="single" w:sz="6" w:space="0" w:color="BFBFBF" w:themeColor="background1" w:themeShade="BF"/>
              <w:bottom w:val="single" w:sz="6" w:space="0" w:color="auto"/>
            </w:tcBorders>
          </w:tcPr>
          <w:p w14:paraId="28C8E2DD" w14:textId="77777777" w:rsidR="00F608B4" w:rsidRPr="00905499" w:rsidRDefault="00F608B4" w:rsidP="00216C03">
            <w:pPr>
              <w:jc w:val="right"/>
              <w:rPr>
                <w:sz w:val="18"/>
                <w:szCs w:val="18"/>
                <w:lang w:val="en-US"/>
              </w:rPr>
            </w:pPr>
          </w:p>
        </w:tc>
      </w:tr>
    </w:tbl>
    <w:p w14:paraId="3E7BDA91" w14:textId="34DA54AB" w:rsidR="00F608B4" w:rsidRPr="00905499" w:rsidRDefault="00F608B4" w:rsidP="00F608B4">
      <w:pPr>
        <w:rPr>
          <w:sz w:val="20"/>
          <w:szCs w:val="20"/>
          <w:lang w:val="en-US"/>
        </w:rPr>
      </w:pPr>
      <w:r w:rsidRPr="00905499">
        <w:rPr>
          <w:i/>
          <w:sz w:val="20"/>
          <w:szCs w:val="20"/>
          <w:lang w:val="en-US"/>
        </w:rPr>
        <w:t>Notes.</w:t>
      </w:r>
      <w:r w:rsidRPr="00905499">
        <w:rPr>
          <w:sz w:val="20"/>
          <w:szCs w:val="20"/>
          <w:lang w:val="en-US"/>
        </w:rPr>
        <w:t xml:space="preserve"> No. = number. Go8 = represents the eight most elite universities in Australia. Analysis variabl</w:t>
      </w:r>
      <w:r w:rsidR="004F6D92">
        <w:rPr>
          <w:sz w:val="20"/>
          <w:szCs w:val="20"/>
          <w:lang w:val="en-US"/>
        </w:rPr>
        <w:t>es are represented above the gra</w:t>
      </w:r>
      <w:r w:rsidRPr="00905499">
        <w:rPr>
          <w:sz w:val="20"/>
          <w:szCs w:val="20"/>
          <w:lang w:val="en-US"/>
        </w:rPr>
        <w:t>y line while covariates are presented below. ESCS has an international mean value of zero and a standard deviation of 1. Likewise the math, science, and achievement tests have an international mean of 500 and a standard deviation of 100.  IEO is the Australian Bureau of Statistics index of educational and occupational level. It has an Australian mean of 1000. ^ Attendance at a university led information session was only asked for the LSAY2006 cohort.</w:t>
      </w:r>
    </w:p>
    <w:p w14:paraId="307CC64B" w14:textId="77777777" w:rsidR="00F608B4" w:rsidRPr="00905499" w:rsidRDefault="00F608B4" w:rsidP="00F608B4">
      <w:pPr>
        <w:rPr>
          <w:sz w:val="20"/>
          <w:szCs w:val="20"/>
          <w:lang w:val="en-US"/>
        </w:rPr>
      </w:pPr>
    </w:p>
    <w:p w14:paraId="3DCFE803" w14:textId="77777777" w:rsidR="00F608B4" w:rsidRPr="00905499" w:rsidRDefault="00F608B4" w:rsidP="00F608B4">
      <w:pPr>
        <w:rPr>
          <w:b/>
          <w:lang w:val="en-US"/>
        </w:rPr>
      </w:pPr>
      <w:r w:rsidRPr="00905499">
        <w:rPr>
          <w:b/>
          <w:lang w:val="en-US"/>
        </w:rPr>
        <w:br w:type="page"/>
      </w:r>
    </w:p>
    <w:p w14:paraId="17B40758" w14:textId="77777777" w:rsidR="00B42A56" w:rsidRPr="00905499" w:rsidRDefault="00B42A56" w:rsidP="00F608B4">
      <w:pPr>
        <w:rPr>
          <w:b/>
          <w:lang w:val="en-US"/>
        </w:rPr>
        <w:sectPr w:rsidR="00B42A56" w:rsidRPr="00905499" w:rsidSect="00F608B4">
          <w:pgSz w:w="16840" w:h="11901" w:orient="landscape"/>
          <w:pgMar w:top="1797" w:right="1440" w:bottom="1797" w:left="1440" w:header="709" w:footer="709" w:gutter="0"/>
          <w:cols w:space="708"/>
          <w:docGrid w:linePitch="360"/>
        </w:sectPr>
      </w:pPr>
    </w:p>
    <w:p w14:paraId="6C04A0D7" w14:textId="005489CA" w:rsidR="00F608B4" w:rsidRPr="00905499" w:rsidRDefault="00F608B4" w:rsidP="00F608B4">
      <w:pPr>
        <w:rPr>
          <w:b/>
          <w:lang w:val="en-US"/>
        </w:rPr>
      </w:pPr>
      <w:r w:rsidRPr="00905499">
        <w:rPr>
          <w:b/>
          <w:lang w:val="en-US"/>
        </w:rPr>
        <w:lastRenderedPageBreak/>
        <w:t>Table 3</w:t>
      </w:r>
    </w:p>
    <w:p w14:paraId="0FBD00B8" w14:textId="5FFB637F" w:rsidR="004D49BB" w:rsidRPr="00905499" w:rsidRDefault="00F608B4" w:rsidP="00F608B4">
      <w:pPr>
        <w:rPr>
          <w:lang w:val="en-US"/>
        </w:rPr>
      </w:pPr>
      <w:r w:rsidRPr="00905499">
        <w:rPr>
          <w:lang w:val="en-US"/>
        </w:rPr>
        <w:t>Log Odd Estimates of the Effect of Proximity on University Expectations</w:t>
      </w:r>
    </w:p>
    <w:tbl>
      <w:tblPr>
        <w:tblStyle w:val="TableGrid"/>
        <w:tblpPr w:leftFromText="180" w:rightFromText="180" w:vertAnchor="text" w:tblpX="-1365" w:tblpY="1"/>
        <w:tblOverlap w:val="never"/>
        <w:tblW w:w="11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668"/>
        <w:gridCol w:w="1686"/>
        <w:gridCol w:w="1644"/>
        <w:gridCol w:w="1639"/>
        <w:gridCol w:w="1649"/>
        <w:gridCol w:w="1647"/>
      </w:tblGrid>
      <w:tr w:rsidR="00C84B37" w:rsidRPr="00905499" w14:paraId="233C44CC" w14:textId="424EAD57" w:rsidTr="00C84B37">
        <w:trPr>
          <w:trHeight w:val="461"/>
        </w:trPr>
        <w:tc>
          <w:tcPr>
            <w:tcW w:w="1242" w:type="dxa"/>
            <w:vMerge w:val="restart"/>
            <w:tcBorders>
              <w:top w:val="single" w:sz="12" w:space="0" w:color="auto"/>
            </w:tcBorders>
          </w:tcPr>
          <w:p w14:paraId="73670863" w14:textId="77777777" w:rsidR="00282687" w:rsidRPr="00905499" w:rsidRDefault="00282687" w:rsidP="00282687">
            <w:pPr>
              <w:ind w:left="142" w:hanging="142"/>
              <w:rPr>
                <w:rFonts w:ascii="Times New Roman" w:hAnsi="Times New Roman" w:cs="Times New Roman"/>
                <w:sz w:val="15"/>
                <w:szCs w:val="15"/>
                <w:lang w:val="en-US"/>
              </w:rPr>
            </w:pPr>
          </w:p>
        </w:tc>
        <w:tc>
          <w:tcPr>
            <w:tcW w:w="3354" w:type="dxa"/>
            <w:gridSpan w:val="2"/>
            <w:tcBorders>
              <w:top w:val="single" w:sz="12" w:space="0" w:color="auto"/>
              <w:bottom w:val="single" w:sz="6" w:space="0" w:color="auto"/>
            </w:tcBorders>
            <w:vAlign w:val="center"/>
          </w:tcPr>
          <w:p w14:paraId="5B394207" w14:textId="6B89E0FD" w:rsidR="00282687" w:rsidRPr="00905499" w:rsidRDefault="00282687" w:rsidP="00282687">
            <w:pPr>
              <w:ind w:left="142" w:hanging="142"/>
              <w:jc w:val="center"/>
              <w:rPr>
                <w:rFonts w:ascii="Times New Roman" w:hAnsi="Times New Roman" w:cs="Times New Roman"/>
                <w:sz w:val="15"/>
                <w:szCs w:val="15"/>
                <w:lang w:val="en-US"/>
              </w:rPr>
            </w:pPr>
            <w:r w:rsidRPr="00905499">
              <w:rPr>
                <w:rFonts w:ascii="Times New Roman" w:hAnsi="Times New Roman" w:cs="Times New Roman"/>
                <w:sz w:val="15"/>
                <w:szCs w:val="15"/>
                <w:lang w:val="en-US"/>
              </w:rPr>
              <w:t>At least one campus</w:t>
            </w:r>
          </w:p>
        </w:tc>
        <w:tc>
          <w:tcPr>
            <w:tcW w:w="3283" w:type="dxa"/>
            <w:gridSpan w:val="2"/>
            <w:tcBorders>
              <w:top w:val="single" w:sz="12" w:space="0" w:color="auto"/>
              <w:bottom w:val="single" w:sz="6" w:space="0" w:color="auto"/>
            </w:tcBorders>
            <w:vAlign w:val="center"/>
          </w:tcPr>
          <w:p w14:paraId="5F5CC356" w14:textId="30FAAD6F" w:rsidR="00282687" w:rsidRPr="00905499" w:rsidRDefault="00282687" w:rsidP="00282687">
            <w:pPr>
              <w:ind w:left="142" w:hanging="142"/>
              <w:jc w:val="center"/>
              <w:rPr>
                <w:rFonts w:ascii="Times New Roman" w:hAnsi="Times New Roman" w:cs="Times New Roman"/>
                <w:sz w:val="15"/>
                <w:szCs w:val="15"/>
                <w:lang w:val="en-US"/>
              </w:rPr>
            </w:pPr>
            <w:r w:rsidRPr="00905499">
              <w:rPr>
                <w:rFonts w:ascii="Times New Roman" w:hAnsi="Times New Roman" w:cs="Times New Roman"/>
                <w:sz w:val="15"/>
                <w:szCs w:val="15"/>
                <w:lang w:val="en-US"/>
              </w:rPr>
              <w:t>Number of Campuses</w:t>
            </w:r>
          </w:p>
        </w:tc>
        <w:tc>
          <w:tcPr>
            <w:tcW w:w="3296" w:type="dxa"/>
            <w:gridSpan w:val="2"/>
            <w:tcBorders>
              <w:top w:val="single" w:sz="12" w:space="0" w:color="auto"/>
              <w:bottom w:val="single" w:sz="6" w:space="0" w:color="auto"/>
            </w:tcBorders>
            <w:vAlign w:val="center"/>
          </w:tcPr>
          <w:p w14:paraId="2120BA53" w14:textId="7F020A2D" w:rsidR="00282687" w:rsidRPr="00905499" w:rsidRDefault="00282687" w:rsidP="00282687">
            <w:pPr>
              <w:ind w:left="142" w:hanging="142"/>
              <w:jc w:val="center"/>
              <w:rPr>
                <w:rFonts w:ascii="Times New Roman" w:hAnsi="Times New Roman" w:cs="Times New Roman"/>
                <w:sz w:val="15"/>
                <w:szCs w:val="15"/>
                <w:lang w:val="en-US"/>
              </w:rPr>
            </w:pPr>
            <w:r w:rsidRPr="00905499">
              <w:rPr>
                <w:rFonts w:ascii="Times New Roman" w:hAnsi="Times New Roman" w:cs="Times New Roman"/>
                <w:sz w:val="15"/>
                <w:szCs w:val="15"/>
                <w:lang w:val="en-US"/>
              </w:rPr>
              <w:t>Number of Campuses: Polynomial</w:t>
            </w:r>
          </w:p>
        </w:tc>
      </w:tr>
      <w:tr w:rsidR="00C84B37" w:rsidRPr="00905499" w14:paraId="5795A219" w14:textId="77777777" w:rsidTr="00C84B37">
        <w:trPr>
          <w:trHeight w:val="224"/>
        </w:trPr>
        <w:tc>
          <w:tcPr>
            <w:tcW w:w="1242" w:type="dxa"/>
            <w:vMerge/>
            <w:tcBorders>
              <w:bottom w:val="single" w:sz="4" w:space="0" w:color="auto"/>
            </w:tcBorders>
          </w:tcPr>
          <w:p w14:paraId="61D84368" w14:textId="77777777" w:rsidR="00282687" w:rsidRPr="00905499" w:rsidRDefault="00282687" w:rsidP="00282687">
            <w:pPr>
              <w:ind w:left="142" w:hanging="142"/>
              <w:rPr>
                <w:sz w:val="15"/>
                <w:szCs w:val="15"/>
                <w:lang w:val="en-US"/>
              </w:rPr>
            </w:pPr>
          </w:p>
        </w:tc>
        <w:tc>
          <w:tcPr>
            <w:tcW w:w="1668" w:type="dxa"/>
            <w:tcBorders>
              <w:bottom w:val="single" w:sz="4" w:space="0" w:color="auto"/>
            </w:tcBorders>
            <w:vAlign w:val="center"/>
          </w:tcPr>
          <w:p w14:paraId="409EC8B8" w14:textId="3F092844" w:rsidR="00282687" w:rsidRPr="00905499" w:rsidRDefault="00282687"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Model 1</w:t>
            </w:r>
          </w:p>
        </w:tc>
        <w:tc>
          <w:tcPr>
            <w:tcW w:w="1686" w:type="dxa"/>
            <w:tcBorders>
              <w:bottom w:val="single" w:sz="4" w:space="0" w:color="auto"/>
            </w:tcBorders>
            <w:vAlign w:val="center"/>
          </w:tcPr>
          <w:p w14:paraId="26870FD0" w14:textId="441043E3" w:rsidR="00282687" w:rsidRPr="00905499" w:rsidRDefault="00282687"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Model 2</w:t>
            </w:r>
          </w:p>
        </w:tc>
        <w:tc>
          <w:tcPr>
            <w:tcW w:w="1644" w:type="dxa"/>
            <w:tcBorders>
              <w:bottom w:val="single" w:sz="4" w:space="0" w:color="auto"/>
            </w:tcBorders>
            <w:vAlign w:val="center"/>
          </w:tcPr>
          <w:p w14:paraId="267677A7" w14:textId="2E963312" w:rsidR="00282687" w:rsidRPr="00905499" w:rsidRDefault="00282687"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Model 1</w:t>
            </w:r>
          </w:p>
        </w:tc>
        <w:tc>
          <w:tcPr>
            <w:tcW w:w="1639" w:type="dxa"/>
            <w:tcBorders>
              <w:bottom w:val="single" w:sz="4" w:space="0" w:color="auto"/>
            </w:tcBorders>
            <w:vAlign w:val="center"/>
          </w:tcPr>
          <w:p w14:paraId="29D91A62" w14:textId="4127388B" w:rsidR="00282687" w:rsidRPr="00905499" w:rsidRDefault="00282687"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Model 2</w:t>
            </w:r>
          </w:p>
        </w:tc>
        <w:tc>
          <w:tcPr>
            <w:tcW w:w="1649" w:type="dxa"/>
            <w:tcBorders>
              <w:bottom w:val="single" w:sz="4" w:space="0" w:color="auto"/>
            </w:tcBorders>
            <w:vAlign w:val="center"/>
          </w:tcPr>
          <w:p w14:paraId="08D5FDD8" w14:textId="59139102" w:rsidR="00282687" w:rsidRPr="00905499" w:rsidRDefault="00282687"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Model 1</w:t>
            </w:r>
          </w:p>
        </w:tc>
        <w:tc>
          <w:tcPr>
            <w:tcW w:w="1647" w:type="dxa"/>
            <w:tcBorders>
              <w:bottom w:val="single" w:sz="4" w:space="0" w:color="auto"/>
            </w:tcBorders>
            <w:vAlign w:val="center"/>
          </w:tcPr>
          <w:p w14:paraId="1477EB96" w14:textId="77F9652D" w:rsidR="00282687" w:rsidRPr="00905499" w:rsidRDefault="00282687"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Model 2</w:t>
            </w:r>
          </w:p>
        </w:tc>
      </w:tr>
      <w:tr w:rsidR="00C84B37" w:rsidRPr="00905499" w14:paraId="67BCF57B" w14:textId="7F98CC7A" w:rsidTr="00C84B37">
        <w:trPr>
          <w:trHeight w:val="224"/>
        </w:trPr>
        <w:tc>
          <w:tcPr>
            <w:tcW w:w="1242" w:type="dxa"/>
            <w:tcBorders>
              <w:top w:val="single" w:sz="4" w:space="0" w:color="auto"/>
            </w:tcBorders>
          </w:tcPr>
          <w:p w14:paraId="5A28135C" w14:textId="46021512" w:rsidR="00282687" w:rsidRPr="00905499" w:rsidRDefault="00282687" w:rsidP="00282687">
            <w:pPr>
              <w:ind w:left="142" w:hanging="142"/>
              <w:rPr>
                <w:rFonts w:ascii="Times New Roman" w:hAnsi="Times New Roman" w:cs="Times New Roman"/>
                <w:sz w:val="15"/>
                <w:szCs w:val="15"/>
                <w:lang w:val="en-US"/>
              </w:rPr>
            </w:pPr>
            <w:r w:rsidRPr="00905499">
              <w:rPr>
                <w:sz w:val="15"/>
                <w:szCs w:val="15"/>
                <w:lang w:val="en-US"/>
              </w:rPr>
              <w:t>Distance</w:t>
            </w:r>
          </w:p>
        </w:tc>
        <w:tc>
          <w:tcPr>
            <w:tcW w:w="1668" w:type="dxa"/>
            <w:tcBorders>
              <w:top w:val="single" w:sz="4" w:space="0" w:color="auto"/>
            </w:tcBorders>
            <w:vAlign w:val="center"/>
          </w:tcPr>
          <w:p w14:paraId="4E7B94AD" w14:textId="6808F4E0" w:rsidR="00282687" w:rsidRPr="00905499" w:rsidRDefault="00282687"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.473[.359, .586]*</w:t>
            </w:r>
            <w:r w:rsidR="00C84B37" w:rsidRPr="00905499">
              <w:rPr>
                <w:rFonts w:ascii="Times New Roman" w:hAnsi="Times New Roman" w:cs="Times New Roman"/>
                <w:sz w:val="15"/>
                <w:szCs w:val="15"/>
                <w:lang w:val="en-US"/>
              </w:rPr>
              <w:t>**</w:t>
            </w:r>
          </w:p>
        </w:tc>
        <w:tc>
          <w:tcPr>
            <w:tcW w:w="1686" w:type="dxa"/>
            <w:tcBorders>
              <w:top w:val="single" w:sz="4" w:space="0" w:color="auto"/>
            </w:tcBorders>
            <w:vAlign w:val="bottom"/>
          </w:tcPr>
          <w:p w14:paraId="01201149" w14:textId="1168BF50" w:rsidR="00282687" w:rsidRPr="00905499" w:rsidRDefault="00282687"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.417[.305,</w:t>
            </w:r>
            <w:r w:rsidR="007F1B40" w:rsidRPr="00905499">
              <w:rPr>
                <w:rFonts w:ascii="Times New Roman" w:hAnsi="Times New Roman" w:cs="Times New Roman"/>
                <w:sz w:val="15"/>
                <w:szCs w:val="15"/>
                <w:lang w:val="en-US"/>
              </w:rPr>
              <w:t xml:space="preserve"> </w:t>
            </w:r>
            <w:r w:rsidRPr="00905499">
              <w:rPr>
                <w:rFonts w:ascii="Times New Roman" w:hAnsi="Times New Roman" w:cs="Times New Roman"/>
                <w:sz w:val="15"/>
                <w:szCs w:val="15"/>
                <w:lang w:val="en-US"/>
              </w:rPr>
              <w:t>.530]*</w:t>
            </w:r>
            <w:r w:rsidR="007F1B40" w:rsidRPr="00905499">
              <w:rPr>
                <w:rFonts w:ascii="Times New Roman" w:hAnsi="Times New Roman" w:cs="Times New Roman"/>
                <w:sz w:val="15"/>
                <w:szCs w:val="15"/>
                <w:lang w:val="en-US"/>
              </w:rPr>
              <w:t>**</w:t>
            </w:r>
          </w:p>
        </w:tc>
        <w:tc>
          <w:tcPr>
            <w:tcW w:w="1644" w:type="dxa"/>
            <w:tcBorders>
              <w:top w:val="single" w:sz="4" w:space="0" w:color="auto"/>
            </w:tcBorders>
            <w:vAlign w:val="center"/>
          </w:tcPr>
          <w:p w14:paraId="330614B1" w14:textId="5EC24011" w:rsidR="00282687" w:rsidRPr="00905499" w:rsidRDefault="00282687"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.022[.016, .029]*</w:t>
            </w:r>
            <w:r w:rsidR="00A36905" w:rsidRPr="00905499">
              <w:rPr>
                <w:rFonts w:ascii="Times New Roman" w:hAnsi="Times New Roman" w:cs="Times New Roman"/>
                <w:sz w:val="15"/>
                <w:szCs w:val="15"/>
                <w:lang w:val="en-US"/>
              </w:rPr>
              <w:t>**</w:t>
            </w:r>
          </w:p>
        </w:tc>
        <w:tc>
          <w:tcPr>
            <w:tcW w:w="1639" w:type="dxa"/>
            <w:tcBorders>
              <w:top w:val="single" w:sz="4" w:space="0" w:color="auto"/>
            </w:tcBorders>
            <w:vAlign w:val="bottom"/>
          </w:tcPr>
          <w:p w14:paraId="23E96BB8" w14:textId="5754637C" w:rsidR="00282687" w:rsidRPr="00905499" w:rsidRDefault="00282687"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.020[.013, .026]*</w:t>
            </w:r>
            <w:r w:rsidR="00DD63FB" w:rsidRPr="00905499">
              <w:rPr>
                <w:rFonts w:ascii="Times New Roman" w:hAnsi="Times New Roman" w:cs="Times New Roman"/>
                <w:sz w:val="15"/>
                <w:szCs w:val="15"/>
                <w:lang w:val="en-US"/>
              </w:rPr>
              <w:t>**</w:t>
            </w:r>
          </w:p>
        </w:tc>
        <w:tc>
          <w:tcPr>
            <w:tcW w:w="1649" w:type="dxa"/>
            <w:tcBorders>
              <w:top w:val="single" w:sz="4" w:space="0" w:color="auto"/>
            </w:tcBorders>
            <w:vAlign w:val="center"/>
          </w:tcPr>
          <w:p w14:paraId="4CD62E03" w14:textId="4C5F4EBC" w:rsidR="00282687" w:rsidRPr="00905499" w:rsidRDefault="00282687"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.085[.063, .106]*</w:t>
            </w:r>
            <w:r w:rsidR="00AC3751" w:rsidRPr="00905499">
              <w:rPr>
                <w:rFonts w:ascii="Times New Roman" w:hAnsi="Times New Roman" w:cs="Times New Roman"/>
                <w:sz w:val="15"/>
                <w:szCs w:val="15"/>
                <w:lang w:val="en-US"/>
              </w:rPr>
              <w:t>**</w:t>
            </w:r>
          </w:p>
        </w:tc>
        <w:tc>
          <w:tcPr>
            <w:tcW w:w="1647" w:type="dxa"/>
            <w:tcBorders>
              <w:top w:val="single" w:sz="4" w:space="0" w:color="auto"/>
            </w:tcBorders>
          </w:tcPr>
          <w:p w14:paraId="4FAFFD75" w14:textId="0D55B44F" w:rsidR="00282687" w:rsidRPr="00905499" w:rsidRDefault="00282687"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.074[.053, .096]*</w:t>
            </w:r>
            <w:r w:rsidR="002C35D9" w:rsidRPr="00905499">
              <w:rPr>
                <w:rFonts w:ascii="Times New Roman" w:hAnsi="Times New Roman" w:cs="Times New Roman"/>
                <w:sz w:val="15"/>
                <w:szCs w:val="15"/>
                <w:lang w:val="en-US"/>
              </w:rPr>
              <w:t>**</w:t>
            </w:r>
          </w:p>
        </w:tc>
      </w:tr>
      <w:tr w:rsidR="00C84B37" w:rsidRPr="00905499" w14:paraId="240176B7" w14:textId="2D9B5F93" w:rsidTr="00C84B37">
        <w:trPr>
          <w:trHeight w:val="224"/>
        </w:trPr>
        <w:tc>
          <w:tcPr>
            <w:tcW w:w="1242" w:type="dxa"/>
          </w:tcPr>
          <w:p w14:paraId="57225D01" w14:textId="2CEFE2A5" w:rsidR="00282687" w:rsidRPr="00905499" w:rsidRDefault="00282687" w:rsidP="00282687">
            <w:pPr>
              <w:ind w:left="142" w:hanging="142"/>
              <w:rPr>
                <w:sz w:val="15"/>
                <w:szCs w:val="15"/>
                <w:lang w:val="en-US"/>
              </w:rPr>
            </w:pPr>
            <w:r w:rsidRPr="00905499">
              <w:rPr>
                <w:sz w:val="15"/>
                <w:szCs w:val="15"/>
                <w:lang w:val="en-US"/>
              </w:rPr>
              <w:t>Distance</w:t>
            </w:r>
            <w:r w:rsidRPr="00905499">
              <w:rPr>
                <w:sz w:val="15"/>
                <w:szCs w:val="15"/>
                <w:vertAlign w:val="superscript"/>
                <w:lang w:val="en-US"/>
              </w:rPr>
              <w:t xml:space="preserve"> 2</w:t>
            </w:r>
          </w:p>
        </w:tc>
        <w:tc>
          <w:tcPr>
            <w:tcW w:w="1668" w:type="dxa"/>
            <w:vAlign w:val="center"/>
          </w:tcPr>
          <w:p w14:paraId="5C56C9BA" w14:textId="77777777" w:rsidR="00282687" w:rsidRPr="00905499" w:rsidRDefault="00282687" w:rsidP="00282687">
            <w:pPr>
              <w:ind w:left="142" w:hanging="142"/>
              <w:rPr>
                <w:rFonts w:ascii="Times New Roman" w:hAnsi="Times New Roman" w:cs="Times New Roman"/>
                <w:sz w:val="15"/>
                <w:szCs w:val="15"/>
                <w:lang w:val="en-US"/>
              </w:rPr>
            </w:pPr>
          </w:p>
        </w:tc>
        <w:tc>
          <w:tcPr>
            <w:tcW w:w="1686" w:type="dxa"/>
            <w:vAlign w:val="bottom"/>
          </w:tcPr>
          <w:p w14:paraId="0E3CCFF1" w14:textId="77777777" w:rsidR="00282687" w:rsidRPr="00905499" w:rsidRDefault="00282687" w:rsidP="00282687">
            <w:pPr>
              <w:ind w:left="142" w:hanging="142"/>
              <w:rPr>
                <w:rFonts w:ascii="Times New Roman" w:hAnsi="Times New Roman" w:cs="Times New Roman"/>
                <w:sz w:val="15"/>
                <w:szCs w:val="15"/>
                <w:lang w:val="en-US"/>
              </w:rPr>
            </w:pPr>
          </w:p>
        </w:tc>
        <w:tc>
          <w:tcPr>
            <w:tcW w:w="1644" w:type="dxa"/>
            <w:vAlign w:val="center"/>
          </w:tcPr>
          <w:p w14:paraId="3D0861BC" w14:textId="32D03E57" w:rsidR="00282687" w:rsidRPr="00905499" w:rsidRDefault="00282687" w:rsidP="00282687">
            <w:pPr>
              <w:ind w:left="142" w:hanging="142"/>
              <w:rPr>
                <w:rFonts w:ascii="Times New Roman" w:hAnsi="Times New Roman" w:cs="Times New Roman"/>
                <w:sz w:val="15"/>
                <w:szCs w:val="15"/>
                <w:lang w:val="en-US"/>
              </w:rPr>
            </w:pPr>
          </w:p>
        </w:tc>
        <w:tc>
          <w:tcPr>
            <w:tcW w:w="1639" w:type="dxa"/>
            <w:vAlign w:val="bottom"/>
          </w:tcPr>
          <w:p w14:paraId="3CAE5DB9" w14:textId="77777777" w:rsidR="00282687" w:rsidRPr="00905499" w:rsidRDefault="00282687" w:rsidP="00282687">
            <w:pPr>
              <w:ind w:left="142" w:hanging="142"/>
              <w:rPr>
                <w:rFonts w:ascii="Times New Roman" w:hAnsi="Times New Roman" w:cs="Times New Roman"/>
                <w:sz w:val="15"/>
                <w:szCs w:val="15"/>
                <w:lang w:val="en-US"/>
              </w:rPr>
            </w:pPr>
          </w:p>
        </w:tc>
        <w:tc>
          <w:tcPr>
            <w:tcW w:w="1649" w:type="dxa"/>
            <w:vAlign w:val="center"/>
          </w:tcPr>
          <w:p w14:paraId="084E5B73" w14:textId="7F5C7156" w:rsidR="00282687" w:rsidRPr="00905499" w:rsidRDefault="00282687"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-.002[-.002</w:t>
            </w:r>
            <w:proofErr w:type="gramStart"/>
            <w:r w:rsidRPr="00905499">
              <w:rPr>
                <w:rFonts w:ascii="Times New Roman" w:hAnsi="Times New Roman" w:cs="Times New Roman"/>
                <w:sz w:val="15"/>
                <w:szCs w:val="15"/>
                <w:lang w:val="en-US"/>
              </w:rPr>
              <w:t>,-</w:t>
            </w:r>
            <w:proofErr w:type="gramEnd"/>
            <w:r w:rsidRPr="00905499">
              <w:rPr>
                <w:rFonts w:ascii="Times New Roman" w:hAnsi="Times New Roman" w:cs="Times New Roman"/>
                <w:sz w:val="15"/>
                <w:szCs w:val="15"/>
                <w:lang w:val="en-US"/>
              </w:rPr>
              <w:t>.001]*</w:t>
            </w:r>
            <w:r w:rsidR="00AC3751" w:rsidRPr="00905499">
              <w:rPr>
                <w:rFonts w:ascii="Times New Roman" w:hAnsi="Times New Roman" w:cs="Times New Roman"/>
                <w:sz w:val="15"/>
                <w:szCs w:val="15"/>
                <w:lang w:val="en-US"/>
              </w:rPr>
              <w:t>**</w:t>
            </w:r>
          </w:p>
        </w:tc>
        <w:tc>
          <w:tcPr>
            <w:tcW w:w="1647" w:type="dxa"/>
          </w:tcPr>
          <w:p w14:paraId="41170B11" w14:textId="2BF2EBEE" w:rsidR="00282687" w:rsidRPr="00905499" w:rsidRDefault="00282687"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-.002[-.</w:t>
            </w:r>
            <w:proofErr w:type="gramStart"/>
            <w:r w:rsidRPr="00905499">
              <w:rPr>
                <w:rFonts w:ascii="Times New Roman" w:hAnsi="Times New Roman" w:cs="Times New Roman"/>
                <w:sz w:val="15"/>
                <w:szCs w:val="15"/>
                <w:lang w:val="en-US"/>
              </w:rPr>
              <w:t>002 ,-</w:t>
            </w:r>
            <w:proofErr w:type="gramEnd"/>
            <w:r w:rsidRPr="00905499">
              <w:rPr>
                <w:rFonts w:ascii="Times New Roman" w:hAnsi="Times New Roman" w:cs="Times New Roman"/>
                <w:sz w:val="15"/>
                <w:szCs w:val="15"/>
                <w:lang w:val="en-US"/>
              </w:rPr>
              <w:t>.001]*</w:t>
            </w:r>
            <w:r w:rsidR="002C35D9" w:rsidRPr="00905499">
              <w:rPr>
                <w:rFonts w:ascii="Times New Roman" w:hAnsi="Times New Roman" w:cs="Times New Roman"/>
                <w:sz w:val="15"/>
                <w:szCs w:val="15"/>
                <w:lang w:val="en-US"/>
              </w:rPr>
              <w:t>***</w:t>
            </w:r>
          </w:p>
        </w:tc>
      </w:tr>
      <w:tr w:rsidR="00C84B37" w:rsidRPr="00905499" w14:paraId="201E23F7" w14:textId="2C105F2C" w:rsidTr="00C84B37">
        <w:trPr>
          <w:trHeight w:val="241"/>
        </w:trPr>
        <w:tc>
          <w:tcPr>
            <w:tcW w:w="1242" w:type="dxa"/>
          </w:tcPr>
          <w:p w14:paraId="67340A64" w14:textId="77777777" w:rsidR="00282687" w:rsidRPr="00905499" w:rsidRDefault="00282687" w:rsidP="00282687">
            <w:pPr>
              <w:ind w:left="142" w:hanging="142"/>
              <w:rPr>
                <w:rFonts w:ascii="Times New Roman" w:hAnsi="Times New Roman" w:cs="Times New Roman"/>
                <w:sz w:val="15"/>
                <w:szCs w:val="15"/>
                <w:lang w:val="en-US"/>
              </w:rPr>
            </w:pPr>
            <w:proofErr w:type="gramStart"/>
            <w:r w:rsidRPr="00905499">
              <w:rPr>
                <w:rFonts w:ascii="Times New Roman" w:hAnsi="Times New Roman" w:cs="Times New Roman"/>
                <w:sz w:val="15"/>
                <w:szCs w:val="15"/>
                <w:lang w:val="en-US"/>
              </w:rPr>
              <w:t>z</w:t>
            </w:r>
            <w:proofErr w:type="gramEnd"/>
            <w:r w:rsidRPr="00905499">
              <w:rPr>
                <w:rFonts w:ascii="Times New Roman" w:hAnsi="Times New Roman" w:cs="Times New Roman"/>
                <w:sz w:val="15"/>
                <w:szCs w:val="15"/>
                <w:lang w:val="en-US"/>
              </w:rPr>
              <w:t>-score ESCS</w:t>
            </w:r>
          </w:p>
        </w:tc>
        <w:tc>
          <w:tcPr>
            <w:tcW w:w="1668" w:type="dxa"/>
            <w:vAlign w:val="center"/>
          </w:tcPr>
          <w:p w14:paraId="527F9C35" w14:textId="3AA73547" w:rsidR="00282687" w:rsidRPr="00905499" w:rsidRDefault="00282687"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.180[.132, .229]*</w:t>
            </w:r>
            <w:r w:rsidR="00C84B37" w:rsidRPr="00905499">
              <w:rPr>
                <w:rFonts w:ascii="Times New Roman" w:hAnsi="Times New Roman" w:cs="Times New Roman"/>
                <w:sz w:val="15"/>
                <w:szCs w:val="15"/>
                <w:lang w:val="en-US"/>
              </w:rPr>
              <w:t>***</w:t>
            </w:r>
          </w:p>
        </w:tc>
        <w:tc>
          <w:tcPr>
            <w:tcW w:w="1686" w:type="dxa"/>
            <w:vAlign w:val="bottom"/>
          </w:tcPr>
          <w:p w14:paraId="69039B0B" w14:textId="132CBF79" w:rsidR="00282687" w:rsidRPr="00905499" w:rsidRDefault="00282687"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.312[.204, .420]*</w:t>
            </w:r>
            <w:r w:rsidR="007F1B40" w:rsidRPr="00905499">
              <w:rPr>
                <w:rFonts w:ascii="Times New Roman" w:hAnsi="Times New Roman" w:cs="Times New Roman"/>
                <w:sz w:val="15"/>
                <w:szCs w:val="15"/>
                <w:lang w:val="en-US"/>
              </w:rPr>
              <w:t>**</w:t>
            </w:r>
          </w:p>
        </w:tc>
        <w:tc>
          <w:tcPr>
            <w:tcW w:w="1644" w:type="dxa"/>
            <w:vAlign w:val="center"/>
          </w:tcPr>
          <w:p w14:paraId="5AD35F4A" w14:textId="5D20BF6A" w:rsidR="00282687" w:rsidRPr="00905499" w:rsidRDefault="00282687"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.196 [.147, .246]*</w:t>
            </w:r>
            <w:r w:rsidR="00A36905" w:rsidRPr="00905499">
              <w:rPr>
                <w:rFonts w:ascii="Times New Roman" w:hAnsi="Times New Roman" w:cs="Times New Roman"/>
                <w:sz w:val="15"/>
                <w:szCs w:val="15"/>
                <w:lang w:val="en-US"/>
              </w:rPr>
              <w:t>**</w:t>
            </w:r>
          </w:p>
        </w:tc>
        <w:tc>
          <w:tcPr>
            <w:tcW w:w="1639" w:type="dxa"/>
            <w:vAlign w:val="bottom"/>
          </w:tcPr>
          <w:p w14:paraId="0B1FE637" w14:textId="5B797386" w:rsidR="00282687" w:rsidRPr="00905499" w:rsidRDefault="00282687"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.297[.235, .359]*</w:t>
            </w:r>
            <w:r w:rsidR="00DD63FB" w:rsidRPr="00905499">
              <w:rPr>
                <w:rFonts w:ascii="Times New Roman" w:hAnsi="Times New Roman" w:cs="Times New Roman"/>
                <w:sz w:val="15"/>
                <w:szCs w:val="15"/>
                <w:lang w:val="en-US"/>
              </w:rPr>
              <w:t>**</w:t>
            </w:r>
          </w:p>
        </w:tc>
        <w:tc>
          <w:tcPr>
            <w:tcW w:w="1649" w:type="dxa"/>
            <w:vAlign w:val="center"/>
          </w:tcPr>
          <w:p w14:paraId="61CF8D8A" w14:textId="1874F7CA" w:rsidR="00282687" w:rsidRPr="00905499" w:rsidRDefault="00282687"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.197[.147, .246]*</w:t>
            </w:r>
            <w:r w:rsidR="00AC3751" w:rsidRPr="00905499">
              <w:rPr>
                <w:rFonts w:ascii="Times New Roman" w:hAnsi="Times New Roman" w:cs="Times New Roman"/>
                <w:sz w:val="15"/>
                <w:szCs w:val="15"/>
                <w:lang w:val="en-US"/>
              </w:rPr>
              <w:t>**</w:t>
            </w:r>
          </w:p>
        </w:tc>
        <w:tc>
          <w:tcPr>
            <w:tcW w:w="1647" w:type="dxa"/>
          </w:tcPr>
          <w:p w14:paraId="7275E4DC" w14:textId="2151C9E7" w:rsidR="00282687" w:rsidRPr="00905499" w:rsidRDefault="00282687"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.322[.247, .397]*</w:t>
            </w:r>
            <w:r w:rsidR="002C35D9" w:rsidRPr="00905499">
              <w:rPr>
                <w:rFonts w:ascii="Times New Roman" w:hAnsi="Times New Roman" w:cs="Times New Roman"/>
                <w:sz w:val="15"/>
                <w:szCs w:val="15"/>
                <w:lang w:val="en-US"/>
              </w:rPr>
              <w:t>**</w:t>
            </w:r>
          </w:p>
        </w:tc>
      </w:tr>
      <w:tr w:rsidR="00C84B37" w:rsidRPr="00905499" w14:paraId="37E1859D" w14:textId="2FD9C42F" w:rsidTr="00C84B37">
        <w:trPr>
          <w:trHeight w:val="241"/>
        </w:trPr>
        <w:tc>
          <w:tcPr>
            <w:tcW w:w="1242" w:type="dxa"/>
          </w:tcPr>
          <w:p w14:paraId="703EDFB7" w14:textId="225551E2" w:rsidR="00282687" w:rsidRPr="00905499" w:rsidRDefault="00282687" w:rsidP="00282687">
            <w:pPr>
              <w:ind w:left="142" w:hanging="142"/>
              <w:rPr>
                <w:rFonts w:ascii="Times New Roman" w:hAnsi="Times New Roman" w:cs="Times New Roman"/>
                <w:sz w:val="15"/>
                <w:szCs w:val="15"/>
                <w:lang w:val="en-US"/>
              </w:rPr>
            </w:pPr>
            <w:r w:rsidRPr="00905499">
              <w:rPr>
                <w:sz w:val="15"/>
                <w:szCs w:val="15"/>
                <w:lang w:val="en-US"/>
              </w:rPr>
              <w:t>Distance *ESCS</w:t>
            </w:r>
          </w:p>
        </w:tc>
        <w:tc>
          <w:tcPr>
            <w:tcW w:w="1668" w:type="dxa"/>
            <w:vAlign w:val="center"/>
          </w:tcPr>
          <w:p w14:paraId="37195F46" w14:textId="77777777" w:rsidR="00282687" w:rsidRPr="00905499" w:rsidRDefault="00282687" w:rsidP="00282687">
            <w:pPr>
              <w:ind w:left="142" w:hanging="142"/>
              <w:rPr>
                <w:rFonts w:ascii="Times New Roman" w:hAnsi="Times New Roman" w:cs="Times New Roman"/>
                <w:sz w:val="15"/>
                <w:szCs w:val="15"/>
                <w:lang w:val="en-US"/>
              </w:rPr>
            </w:pPr>
          </w:p>
        </w:tc>
        <w:tc>
          <w:tcPr>
            <w:tcW w:w="1686" w:type="dxa"/>
            <w:vAlign w:val="center"/>
          </w:tcPr>
          <w:p w14:paraId="6368DA91" w14:textId="0F095A9A" w:rsidR="00282687" w:rsidRPr="00905499" w:rsidRDefault="00282687"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-.178[-.299, -.057]*</w:t>
            </w:r>
            <w:r w:rsidR="00B923FE" w:rsidRPr="00905499">
              <w:rPr>
                <w:rFonts w:ascii="Times New Roman" w:hAnsi="Times New Roman" w:cs="Times New Roman"/>
                <w:sz w:val="15"/>
                <w:szCs w:val="15"/>
                <w:lang w:val="en-US"/>
              </w:rPr>
              <w:t>*</w:t>
            </w:r>
          </w:p>
        </w:tc>
        <w:tc>
          <w:tcPr>
            <w:tcW w:w="1644" w:type="dxa"/>
            <w:vAlign w:val="center"/>
          </w:tcPr>
          <w:p w14:paraId="4895DA39" w14:textId="77777777" w:rsidR="00282687" w:rsidRPr="00905499" w:rsidRDefault="00282687" w:rsidP="00282687">
            <w:pPr>
              <w:ind w:left="142" w:hanging="142"/>
              <w:rPr>
                <w:rFonts w:ascii="Times New Roman" w:hAnsi="Times New Roman" w:cs="Times New Roman"/>
                <w:sz w:val="15"/>
                <w:szCs w:val="15"/>
                <w:lang w:val="en-US"/>
              </w:rPr>
            </w:pPr>
          </w:p>
        </w:tc>
        <w:tc>
          <w:tcPr>
            <w:tcW w:w="1639" w:type="dxa"/>
            <w:vAlign w:val="center"/>
          </w:tcPr>
          <w:p w14:paraId="50480714" w14:textId="5D51AF99" w:rsidR="00282687" w:rsidRPr="00905499" w:rsidRDefault="00282687"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-.015[-.020, -.009]*</w:t>
            </w:r>
            <w:r w:rsidR="00DD63FB" w:rsidRPr="00905499">
              <w:rPr>
                <w:rFonts w:ascii="Times New Roman" w:hAnsi="Times New Roman" w:cs="Times New Roman"/>
                <w:sz w:val="15"/>
                <w:szCs w:val="15"/>
                <w:lang w:val="en-US"/>
              </w:rPr>
              <w:t>**</w:t>
            </w:r>
          </w:p>
        </w:tc>
        <w:tc>
          <w:tcPr>
            <w:tcW w:w="1649" w:type="dxa"/>
            <w:vAlign w:val="center"/>
          </w:tcPr>
          <w:p w14:paraId="76447975" w14:textId="11A62AC0" w:rsidR="00282687" w:rsidRPr="00905499" w:rsidRDefault="00282687" w:rsidP="00282687">
            <w:pPr>
              <w:ind w:left="142" w:hanging="142"/>
              <w:rPr>
                <w:rFonts w:ascii="Times New Roman" w:hAnsi="Times New Roman" w:cs="Times New Roman"/>
                <w:sz w:val="15"/>
                <w:szCs w:val="15"/>
                <w:lang w:val="en-US"/>
              </w:rPr>
            </w:pPr>
          </w:p>
        </w:tc>
        <w:tc>
          <w:tcPr>
            <w:tcW w:w="1647" w:type="dxa"/>
          </w:tcPr>
          <w:p w14:paraId="3BF46CA0" w14:textId="0424A466" w:rsidR="00282687" w:rsidRPr="00905499" w:rsidRDefault="0065017E"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-.027[-.046</w:t>
            </w:r>
            <w:proofErr w:type="gramStart"/>
            <w:r w:rsidR="00980627" w:rsidRPr="00905499">
              <w:rPr>
                <w:rFonts w:ascii="Times New Roman" w:hAnsi="Times New Roman" w:cs="Times New Roman"/>
                <w:sz w:val="15"/>
                <w:szCs w:val="15"/>
                <w:lang w:val="en-US"/>
              </w:rPr>
              <w:t>,-</w:t>
            </w:r>
            <w:proofErr w:type="gramEnd"/>
            <w:r w:rsidR="00980627" w:rsidRPr="00905499">
              <w:rPr>
                <w:rFonts w:ascii="Times New Roman" w:hAnsi="Times New Roman" w:cs="Times New Roman"/>
                <w:sz w:val="15"/>
                <w:szCs w:val="15"/>
                <w:lang w:val="en-US"/>
              </w:rPr>
              <w:t>.008]*</w:t>
            </w:r>
            <w:r w:rsidR="002C35D9" w:rsidRPr="00905499">
              <w:rPr>
                <w:rFonts w:ascii="Times New Roman" w:hAnsi="Times New Roman" w:cs="Times New Roman"/>
                <w:sz w:val="15"/>
                <w:szCs w:val="15"/>
                <w:lang w:val="en-US"/>
              </w:rPr>
              <w:t>*</w:t>
            </w:r>
          </w:p>
        </w:tc>
      </w:tr>
      <w:tr w:rsidR="00C84B37" w:rsidRPr="00905499" w14:paraId="5E6DF968" w14:textId="2AF7F7FD" w:rsidTr="00C84B37">
        <w:trPr>
          <w:trHeight w:val="241"/>
        </w:trPr>
        <w:tc>
          <w:tcPr>
            <w:tcW w:w="1242" w:type="dxa"/>
          </w:tcPr>
          <w:p w14:paraId="38A9D380" w14:textId="3E32FD27" w:rsidR="00282687" w:rsidRPr="00905499" w:rsidRDefault="00282687" w:rsidP="00282687">
            <w:pPr>
              <w:ind w:left="142" w:hanging="142"/>
              <w:rPr>
                <w:rFonts w:ascii="Times New Roman" w:hAnsi="Times New Roman" w:cs="Times New Roman"/>
                <w:sz w:val="15"/>
                <w:szCs w:val="15"/>
                <w:lang w:val="en-US"/>
              </w:rPr>
            </w:pPr>
            <w:r w:rsidRPr="00905499">
              <w:rPr>
                <w:sz w:val="15"/>
                <w:szCs w:val="15"/>
                <w:lang w:val="en-US"/>
              </w:rPr>
              <w:t>Distance</w:t>
            </w:r>
            <w:r w:rsidRPr="00905499">
              <w:rPr>
                <w:sz w:val="15"/>
                <w:szCs w:val="15"/>
                <w:vertAlign w:val="superscript"/>
                <w:lang w:val="en-US"/>
              </w:rPr>
              <w:t xml:space="preserve"> 2</w:t>
            </w:r>
            <w:r w:rsidRPr="00905499">
              <w:rPr>
                <w:sz w:val="15"/>
                <w:szCs w:val="15"/>
                <w:lang w:val="en-US"/>
              </w:rPr>
              <w:t>*ESCS</w:t>
            </w:r>
          </w:p>
        </w:tc>
        <w:tc>
          <w:tcPr>
            <w:tcW w:w="1668" w:type="dxa"/>
            <w:vAlign w:val="center"/>
          </w:tcPr>
          <w:p w14:paraId="6623ACCA" w14:textId="77777777" w:rsidR="00282687" w:rsidRPr="00905499" w:rsidRDefault="00282687" w:rsidP="00282687">
            <w:pPr>
              <w:ind w:left="142" w:hanging="142"/>
              <w:rPr>
                <w:rFonts w:ascii="Times New Roman" w:hAnsi="Times New Roman" w:cs="Times New Roman"/>
                <w:sz w:val="15"/>
                <w:szCs w:val="15"/>
                <w:lang w:val="en-US"/>
              </w:rPr>
            </w:pPr>
          </w:p>
        </w:tc>
        <w:tc>
          <w:tcPr>
            <w:tcW w:w="1686" w:type="dxa"/>
            <w:vAlign w:val="center"/>
          </w:tcPr>
          <w:p w14:paraId="01A8B2AE" w14:textId="77777777" w:rsidR="00282687" w:rsidRPr="00905499" w:rsidRDefault="00282687" w:rsidP="00282687">
            <w:pPr>
              <w:ind w:left="142" w:hanging="142"/>
              <w:rPr>
                <w:rFonts w:ascii="Times New Roman" w:hAnsi="Times New Roman" w:cs="Times New Roman"/>
                <w:sz w:val="15"/>
                <w:szCs w:val="15"/>
                <w:lang w:val="en-US"/>
              </w:rPr>
            </w:pPr>
          </w:p>
        </w:tc>
        <w:tc>
          <w:tcPr>
            <w:tcW w:w="1644" w:type="dxa"/>
            <w:vAlign w:val="center"/>
          </w:tcPr>
          <w:p w14:paraId="3FDB62E6" w14:textId="77777777" w:rsidR="00282687" w:rsidRPr="00905499" w:rsidRDefault="00282687" w:rsidP="00282687">
            <w:pPr>
              <w:ind w:left="142" w:hanging="142"/>
              <w:rPr>
                <w:rFonts w:ascii="Times New Roman" w:hAnsi="Times New Roman" w:cs="Times New Roman"/>
                <w:sz w:val="15"/>
                <w:szCs w:val="15"/>
                <w:lang w:val="en-US"/>
              </w:rPr>
            </w:pPr>
          </w:p>
        </w:tc>
        <w:tc>
          <w:tcPr>
            <w:tcW w:w="1639" w:type="dxa"/>
            <w:vAlign w:val="center"/>
          </w:tcPr>
          <w:p w14:paraId="05F171CA" w14:textId="77777777" w:rsidR="00282687" w:rsidRPr="00905499" w:rsidRDefault="00282687" w:rsidP="00282687">
            <w:pPr>
              <w:ind w:left="142" w:hanging="142"/>
              <w:rPr>
                <w:rFonts w:ascii="Times New Roman" w:hAnsi="Times New Roman" w:cs="Times New Roman"/>
                <w:sz w:val="15"/>
                <w:szCs w:val="15"/>
                <w:lang w:val="en-US"/>
              </w:rPr>
            </w:pPr>
          </w:p>
        </w:tc>
        <w:tc>
          <w:tcPr>
            <w:tcW w:w="1649" w:type="dxa"/>
            <w:vAlign w:val="center"/>
          </w:tcPr>
          <w:p w14:paraId="1AA713CC" w14:textId="77777777" w:rsidR="00282687" w:rsidRPr="00905499" w:rsidRDefault="00282687" w:rsidP="00282687">
            <w:pPr>
              <w:ind w:left="142" w:hanging="142"/>
              <w:rPr>
                <w:rFonts w:ascii="Times New Roman" w:hAnsi="Times New Roman" w:cs="Times New Roman"/>
                <w:sz w:val="15"/>
                <w:szCs w:val="15"/>
                <w:lang w:val="en-US"/>
              </w:rPr>
            </w:pPr>
          </w:p>
        </w:tc>
        <w:tc>
          <w:tcPr>
            <w:tcW w:w="1647" w:type="dxa"/>
          </w:tcPr>
          <w:p w14:paraId="16AF428B" w14:textId="6125C27A" w:rsidR="00282687" w:rsidRPr="00905499" w:rsidRDefault="00980627"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.000[.000, .001]</w:t>
            </w:r>
          </w:p>
        </w:tc>
      </w:tr>
      <w:tr w:rsidR="00C84B37" w:rsidRPr="00905499" w14:paraId="365B1792" w14:textId="77777777" w:rsidTr="00C84B37">
        <w:trPr>
          <w:trHeight w:val="241"/>
        </w:trPr>
        <w:tc>
          <w:tcPr>
            <w:tcW w:w="1242" w:type="dxa"/>
          </w:tcPr>
          <w:p w14:paraId="41804FBC" w14:textId="5EF7D521" w:rsidR="00763412" w:rsidRPr="00905499" w:rsidRDefault="00763412" w:rsidP="00763412">
            <w:pPr>
              <w:ind w:left="142" w:hanging="142"/>
              <w:rPr>
                <w:sz w:val="15"/>
                <w:szCs w:val="15"/>
                <w:lang w:val="en-US"/>
              </w:rPr>
            </w:pPr>
            <w:r w:rsidRPr="00905499">
              <w:rPr>
                <w:sz w:val="15"/>
                <w:szCs w:val="15"/>
                <w:lang w:val="en-US"/>
              </w:rPr>
              <w:t>Distance *Indigenous</w:t>
            </w:r>
          </w:p>
        </w:tc>
        <w:tc>
          <w:tcPr>
            <w:tcW w:w="1668" w:type="dxa"/>
            <w:vAlign w:val="center"/>
          </w:tcPr>
          <w:p w14:paraId="727FA7C0" w14:textId="77777777" w:rsidR="00763412" w:rsidRPr="00905499" w:rsidRDefault="00763412" w:rsidP="00763412">
            <w:pPr>
              <w:ind w:left="142" w:hanging="142"/>
              <w:rPr>
                <w:rFonts w:ascii="Times New Roman" w:hAnsi="Times New Roman" w:cs="Times New Roman"/>
                <w:sz w:val="15"/>
                <w:szCs w:val="15"/>
                <w:lang w:val="en-US"/>
              </w:rPr>
            </w:pPr>
          </w:p>
        </w:tc>
        <w:tc>
          <w:tcPr>
            <w:tcW w:w="1686" w:type="dxa"/>
            <w:vAlign w:val="center"/>
          </w:tcPr>
          <w:p w14:paraId="26536364" w14:textId="1DECCF10" w:rsidR="00763412" w:rsidRPr="00905499" w:rsidRDefault="00763412" w:rsidP="00AB775B">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w:t>
            </w:r>
            <w:r w:rsidR="00AB775B" w:rsidRPr="00905499">
              <w:rPr>
                <w:rFonts w:ascii="Times New Roman" w:hAnsi="Times New Roman" w:cs="Times New Roman"/>
                <w:sz w:val="15"/>
                <w:szCs w:val="15"/>
                <w:lang w:val="en-US"/>
              </w:rPr>
              <w:t>32</w:t>
            </w:r>
            <w:r w:rsidRPr="00905499">
              <w:rPr>
                <w:rFonts w:ascii="Times New Roman" w:hAnsi="Times New Roman" w:cs="Times New Roman"/>
                <w:sz w:val="15"/>
                <w:szCs w:val="15"/>
                <w:lang w:val="en-US"/>
              </w:rPr>
              <w:t>[-.</w:t>
            </w:r>
            <w:r w:rsidR="00AB775B" w:rsidRPr="00905499">
              <w:rPr>
                <w:rFonts w:ascii="Times New Roman" w:hAnsi="Times New Roman" w:cs="Times New Roman"/>
                <w:sz w:val="15"/>
                <w:szCs w:val="15"/>
                <w:lang w:val="en-US"/>
              </w:rPr>
              <w:t>528</w:t>
            </w:r>
            <w:r w:rsidRPr="00905499">
              <w:rPr>
                <w:rFonts w:ascii="Times New Roman" w:hAnsi="Times New Roman" w:cs="Times New Roman"/>
                <w:sz w:val="15"/>
                <w:szCs w:val="15"/>
                <w:lang w:val="en-US"/>
              </w:rPr>
              <w:t>, .5</w:t>
            </w:r>
            <w:r w:rsidR="00AB775B" w:rsidRPr="00905499">
              <w:rPr>
                <w:rFonts w:ascii="Times New Roman" w:hAnsi="Times New Roman" w:cs="Times New Roman"/>
                <w:sz w:val="15"/>
                <w:szCs w:val="15"/>
                <w:lang w:val="en-US"/>
              </w:rPr>
              <w:t>92</w:t>
            </w:r>
            <w:r w:rsidRPr="00905499">
              <w:rPr>
                <w:rFonts w:ascii="Times New Roman" w:hAnsi="Times New Roman" w:cs="Times New Roman"/>
                <w:sz w:val="15"/>
                <w:szCs w:val="15"/>
                <w:lang w:val="en-US"/>
              </w:rPr>
              <w:t>]</w:t>
            </w:r>
          </w:p>
        </w:tc>
        <w:tc>
          <w:tcPr>
            <w:tcW w:w="1644" w:type="dxa"/>
            <w:vAlign w:val="center"/>
          </w:tcPr>
          <w:p w14:paraId="6818C9DE" w14:textId="77777777" w:rsidR="00763412" w:rsidRPr="00905499" w:rsidRDefault="00763412" w:rsidP="00763412">
            <w:pPr>
              <w:ind w:left="142" w:hanging="142"/>
              <w:rPr>
                <w:rFonts w:ascii="Times New Roman" w:hAnsi="Times New Roman" w:cs="Times New Roman"/>
                <w:sz w:val="15"/>
                <w:szCs w:val="15"/>
                <w:lang w:val="en-US"/>
              </w:rPr>
            </w:pPr>
          </w:p>
        </w:tc>
        <w:tc>
          <w:tcPr>
            <w:tcW w:w="1639" w:type="dxa"/>
            <w:vAlign w:val="center"/>
          </w:tcPr>
          <w:p w14:paraId="1A0541FC" w14:textId="239741CA" w:rsidR="00763412" w:rsidRPr="00905499" w:rsidRDefault="0065017E" w:rsidP="00763412">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.011[-.041, .063]</w:t>
            </w:r>
          </w:p>
        </w:tc>
        <w:tc>
          <w:tcPr>
            <w:tcW w:w="1649" w:type="dxa"/>
            <w:vAlign w:val="center"/>
          </w:tcPr>
          <w:p w14:paraId="56C12F72" w14:textId="77777777" w:rsidR="00763412" w:rsidRPr="00905499" w:rsidRDefault="00763412" w:rsidP="00763412">
            <w:pPr>
              <w:ind w:left="142" w:hanging="142"/>
              <w:rPr>
                <w:rFonts w:ascii="Times New Roman" w:hAnsi="Times New Roman" w:cs="Times New Roman"/>
                <w:sz w:val="15"/>
                <w:szCs w:val="15"/>
                <w:lang w:val="en-US"/>
              </w:rPr>
            </w:pPr>
          </w:p>
        </w:tc>
        <w:tc>
          <w:tcPr>
            <w:tcW w:w="1647" w:type="dxa"/>
          </w:tcPr>
          <w:p w14:paraId="4C460C85" w14:textId="49A8E3FB" w:rsidR="00763412" w:rsidRPr="00905499" w:rsidRDefault="0065017E" w:rsidP="00763412">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.003[-.106, .112]</w:t>
            </w:r>
          </w:p>
        </w:tc>
      </w:tr>
      <w:tr w:rsidR="00C84B37" w:rsidRPr="00905499" w14:paraId="59D9D121" w14:textId="77777777" w:rsidTr="00C84B37">
        <w:trPr>
          <w:trHeight w:val="241"/>
        </w:trPr>
        <w:tc>
          <w:tcPr>
            <w:tcW w:w="1242" w:type="dxa"/>
          </w:tcPr>
          <w:p w14:paraId="70CF738B" w14:textId="0865F526" w:rsidR="00763412" w:rsidRPr="00905499" w:rsidRDefault="00763412" w:rsidP="00763412">
            <w:pPr>
              <w:ind w:left="142" w:hanging="142"/>
              <w:rPr>
                <w:sz w:val="15"/>
                <w:szCs w:val="15"/>
                <w:lang w:val="en-US"/>
              </w:rPr>
            </w:pPr>
            <w:r w:rsidRPr="00905499">
              <w:rPr>
                <w:sz w:val="15"/>
                <w:szCs w:val="15"/>
                <w:lang w:val="en-US"/>
              </w:rPr>
              <w:t>Distance</w:t>
            </w:r>
            <w:r w:rsidRPr="00905499">
              <w:rPr>
                <w:sz w:val="15"/>
                <w:szCs w:val="15"/>
                <w:vertAlign w:val="superscript"/>
                <w:lang w:val="en-US"/>
              </w:rPr>
              <w:t xml:space="preserve"> 2</w:t>
            </w:r>
            <w:r w:rsidRPr="00905499">
              <w:rPr>
                <w:sz w:val="15"/>
                <w:szCs w:val="15"/>
                <w:lang w:val="en-US"/>
              </w:rPr>
              <w:t>*Indigenous</w:t>
            </w:r>
          </w:p>
        </w:tc>
        <w:tc>
          <w:tcPr>
            <w:tcW w:w="1668" w:type="dxa"/>
            <w:vAlign w:val="center"/>
          </w:tcPr>
          <w:p w14:paraId="61908C56" w14:textId="77777777" w:rsidR="00763412" w:rsidRPr="00905499" w:rsidRDefault="00763412" w:rsidP="00763412">
            <w:pPr>
              <w:ind w:left="142" w:hanging="142"/>
              <w:rPr>
                <w:rFonts w:ascii="Times New Roman" w:hAnsi="Times New Roman" w:cs="Times New Roman"/>
                <w:sz w:val="15"/>
                <w:szCs w:val="15"/>
                <w:lang w:val="en-US"/>
              </w:rPr>
            </w:pPr>
          </w:p>
        </w:tc>
        <w:tc>
          <w:tcPr>
            <w:tcW w:w="1686" w:type="dxa"/>
            <w:vAlign w:val="center"/>
          </w:tcPr>
          <w:p w14:paraId="0164AE5D" w14:textId="77777777" w:rsidR="00763412" w:rsidRPr="00905499" w:rsidRDefault="00763412" w:rsidP="00763412">
            <w:pPr>
              <w:ind w:left="142" w:hanging="142"/>
              <w:rPr>
                <w:rFonts w:ascii="Times New Roman" w:hAnsi="Times New Roman" w:cs="Times New Roman"/>
                <w:sz w:val="15"/>
                <w:szCs w:val="15"/>
                <w:lang w:val="en-US"/>
              </w:rPr>
            </w:pPr>
          </w:p>
        </w:tc>
        <w:tc>
          <w:tcPr>
            <w:tcW w:w="1644" w:type="dxa"/>
            <w:vAlign w:val="center"/>
          </w:tcPr>
          <w:p w14:paraId="0E81E793" w14:textId="77777777" w:rsidR="00763412" w:rsidRPr="00905499" w:rsidRDefault="00763412" w:rsidP="00763412">
            <w:pPr>
              <w:ind w:left="142" w:hanging="142"/>
              <w:rPr>
                <w:rFonts w:ascii="Times New Roman" w:hAnsi="Times New Roman" w:cs="Times New Roman"/>
                <w:sz w:val="15"/>
                <w:szCs w:val="15"/>
                <w:lang w:val="en-US"/>
              </w:rPr>
            </w:pPr>
          </w:p>
        </w:tc>
        <w:tc>
          <w:tcPr>
            <w:tcW w:w="1639" w:type="dxa"/>
            <w:vAlign w:val="center"/>
          </w:tcPr>
          <w:p w14:paraId="289DB850" w14:textId="77777777" w:rsidR="00763412" w:rsidRPr="00905499" w:rsidRDefault="00763412" w:rsidP="00763412">
            <w:pPr>
              <w:ind w:left="142" w:hanging="142"/>
              <w:rPr>
                <w:rFonts w:ascii="Times New Roman" w:hAnsi="Times New Roman" w:cs="Times New Roman"/>
                <w:sz w:val="15"/>
                <w:szCs w:val="15"/>
                <w:lang w:val="en-US"/>
              </w:rPr>
            </w:pPr>
          </w:p>
        </w:tc>
        <w:tc>
          <w:tcPr>
            <w:tcW w:w="1649" w:type="dxa"/>
            <w:vAlign w:val="center"/>
          </w:tcPr>
          <w:p w14:paraId="45B4A619" w14:textId="77777777" w:rsidR="00763412" w:rsidRPr="00905499" w:rsidRDefault="00763412" w:rsidP="00763412">
            <w:pPr>
              <w:ind w:left="142" w:hanging="142"/>
              <w:rPr>
                <w:rFonts w:ascii="Times New Roman" w:hAnsi="Times New Roman" w:cs="Times New Roman"/>
                <w:sz w:val="15"/>
                <w:szCs w:val="15"/>
                <w:lang w:val="en-US"/>
              </w:rPr>
            </w:pPr>
          </w:p>
        </w:tc>
        <w:tc>
          <w:tcPr>
            <w:tcW w:w="1647" w:type="dxa"/>
          </w:tcPr>
          <w:p w14:paraId="3E54E4C9" w14:textId="6F3EEB53" w:rsidR="00763412" w:rsidRPr="00905499" w:rsidRDefault="0065017E" w:rsidP="00763412">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.000[-.003, .003]</w:t>
            </w:r>
          </w:p>
        </w:tc>
      </w:tr>
      <w:tr w:rsidR="00707AB4" w:rsidRPr="00905499" w14:paraId="465D2436" w14:textId="77777777" w:rsidTr="00C84B37">
        <w:trPr>
          <w:trHeight w:val="241"/>
        </w:trPr>
        <w:tc>
          <w:tcPr>
            <w:tcW w:w="1242" w:type="dxa"/>
          </w:tcPr>
          <w:p w14:paraId="3A1F61D7" w14:textId="77777777" w:rsidR="00707AB4" w:rsidRPr="00905499" w:rsidRDefault="00707AB4" w:rsidP="00282687">
            <w:pPr>
              <w:ind w:left="142" w:hanging="142"/>
              <w:rPr>
                <w:sz w:val="15"/>
                <w:szCs w:val="15"/>
                <w:lang w:val="en-US"/>
              </w:rPr>
            </w:pPr>
          </w:p>
        </w:tc>
        <w:tc>
          <w:tcPr>
            <w:tcW w:w="9933" w:type="dxa"/>
            <w:gridSpan w:val="6"/>
            <w:tcBorders>
              <w:bottom w:val="single" w:sz="4" w:space="0" w:color="auto"/>
            </w:tcBorders>
            <w:vAlign w:val="center"/>
          </w:tcPr>
          <w:p w14:paraId="6D007A35" w14:textId="48F10220" w:rsidR="00707AB4" w:rsidRPr="00905499" w:rsidRDefault="00707AB4" w:rsidP="00707AB4">
            <w:pPr>
              <w:ind w:left="142" w:hanging="142"/>
              <w:jc w:val="center"/>
              <w:rPr>
                <w:rFonts w:ascii="Times New Roman" w:hAnsi="Times New Roman" w:cs="Times New Roman"/>
                <w:sz w:val="15"/>
                <w:szCs w:val="15"/>
                <w:lang w:val="en-US"/>
              </w:rPr>
            </w:pPr>
            <w:r w:rsidRPr="00905499">
              <w:rPr>
                <w:rFonts w:ascii="Times New Roman" w:hAnsi="Times New Roman" w:cs="Times New Roman"/>
                <w:sz w:val="15"/>
                <w:szCs w:val="15"/>
                <w:lang w:val="en-US"/>
              </w:rPr>
              <w:t>Covariates</w:t>
            </w:r>
          </w:p>
        </w:tc>
      </w:tr>
      <w:tr w:rsidR="00C84B37" w:rsidRPr="00905499" w14:paraId="2FDE1C25" w14:textId="77777777" w:rsidTr="00C84B37">
        <w:trPr>
          <w:trHeight w:val="241"/>
        </w:trPr>
        <w:tc>
          <w:tcPr>
            <w:tcW w:w="1242" w:type="dxa"/>
          </w:tcPr>
          <w:p w14:paraId="5911221F" w14:textId="5F7DE68E" w:rsidR="00707AB4" w:rsidRPr="00905499" w:rsidRDefault="00707AB4" w:rsidP="00282687">
            <w:pPr>
              <w:ind w:left="142" w:hanging="142"/>
              <w:rPr>
                <w:sz w:val="15"/>
                <w:szCs w:val="15"/>
                <w:lang w:val="en-US"/>
              </w:rPr>
            </w:pPr>
            <w:r w:rsidRPr="00905499">
              <w:rPr>
                <w:rFonts w:ascii="Times New Roman" w:hAnsi="Times New Roman" w:cs="Times New Roman"/>
                <w:sz w:val="15"/>
                <w:szCs w:val="15"/>
                <w:lang w:val="en-US"/>
              </w:rPr>
              <w:t>IEO</w:t>
            </w:r>
          </w:p>
        </w:tc>
        <w:tc>
          <w:tcPr>
            <w:tcW w:w="1668" w:type="dxa"/>
            <w:tcBorders>
              <w:top w:val="single" w:sz="4" w:space="0" w:color="auto"/>
            </w:tcBorders>
            <w:vAlign w:val="center"/>
          </w:tcPr>
          <w:p w14:paraId="0156D9C7" w14:textId="3113A071" w:rsidR="00707AB4" w:rsidRPr="00905499" w:rsidRDefault="00707AB4" w:rsidP="002502C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w:t>
            </w:r>
            <w:r w:rsidR="002502C4" w:rsidRPr="00905499">
              <w:rPr>
                <w:rFonts w:ascii="Times New Roman" w:hAnsi="Times New Roman" w:cs="Times New Roman"/>
                <w:sz w:val="15"/>
                <w:szCs w:val="15"/>
                <w:lang w:val="en-US"/>
              </w:rPr>
              <w:t>92</w:t>
            </w:r>
            <w:r w:rsidRPr="00905499">
              <w:rPr>
                <w:rFonts w:ascii="Times New Roman" w:hAnsi="Times New Roman" w:cs="Times New Roman"/>
                <w:sz w:val="15"/>
                <w:szCs w:val="15"/>
                <w:lang w:val="en-US"/>
              </w:rPr>
              <w:t>[.0</w:t>
            </w:r>
            <w:r w:rsidR="002502C4" w:rsidRPr="00905499">
              <w:rPr>
                <w:rFonts w:ascii="Times New Roman" w:hAnsi="Times New Roman" w:cs="Times New Roman"/>
                <w:sz w:val="15"/>
                <w:szCs w:val="15"/>
                <w:lang w:val="en-US"/>
              </w:rPr>
              <w:t>25</w:t>
            </w:r>
            <w:r w:rsidRPr="00905499">
              <w:rPr>
                <w:rFonts w:ascii="Times New Roman" w:hAnsi="Times New Roman" w:cs="Times New Roman"/>
                <w:sz w:val="15"/>
                <w:szCs w:val="15"/>
                <w:lang w:val="en-US"/>
              </w:rPr>
              <w:t>, .1</w:t>
            </w:r>
            <w:r w:rsidR="002502C4" w:rsidRPr="00905499">
              <w:rPr>
                <w:rFonts w:ascii="Times New Roman" w:hAnsi="Times New Roman" w:cs="Times New Roman"/>
                <w:sz w:val="15"/>
                <w:szCs w:val="15"/>
                <w:lang w:val="en-US"/>
              </w:rPr>
              <w:t>58</w:t>
            </w:r>
            <w:r w:rsidRPr="00905499">
              <w:rPr>
                <w:rFonts w:ascii="Times New Roman" w:hAnsi="Times New Roman" w:cs="Times New Roman"/>
                <w:sz w:val="15"/>
                <w:szCs w:val="15"/>
                <w:lang w:val="en-US"/>
              </w:rPr>
              <w:t>]</w:t>
            </w:r>
            <w:r w:rsidR="002502C4" w:rsidRPr="00905499">
              <w:rPr>
                <w:rFonts w:ascii="Times New Roman" w:hAnsi="Times New Roman" w:cs="Times New Roman"/>
                <w:sz w:val="15"/>
                <w:szCs w:val="15"/>
                <w:lang w:val="en-US"/>
              </w:rPr>
              <w:t>**</w:t>
            </w:r>
          </w:p>
        </w:tc>
        <w:tc>
          <w:tcPr>
            <w:tcW w:w="1686" w:type="dxa"/>
            <w:tcBorders>
              <w:top w:val="single" w:sz="4" w:space="0" w:color="auto"/>
            </w:tcBorders>
            <w:vAlign w:val="center"/>
          </w:tcPr>
          <w:p w14:paraId="7BED6AF3" w14:textId="4CC35329" w:rsidR="00707AB4" w:rsidRPr="00905499" w:rsidRDefault="00707AB4" w:rsidP="004306D2">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w:t>
            </w:r>
            <w:r w:rsidR="004306D2" w:rsidRPr="00905499">
              <w:rPr>
                <w:rFonts w:ascii="Times New Roman" w:hAnsi="Times New Roman" w:cs="Times New Roman"/>
                <w:sz w:val="15"/>
                <w:szCs w:val="15"/>
                <w:lang w:val="en-US"/>
              </w:rPr>
              <w:t>103</w:t>
            </w:r>
            <w:r w:rsidRPr="00905499">
              <w:rPr>
                <w:rFonts w:ascii="Times New Roman" w:hAnsi="Times New Roman" w:cs="Times New Roman"/>
                <w:sz w:val="15"/>
                <w:szCs w:val="15"/>
                <w:lang w:val="en-US"/>
              </w:rPr>
              <w:t>[.0</w:t>
            </w:r>
            <w:r w:rsidR="004306D2" w:rsidRPr="00905499">
              <w:rPr>
                <w:rFonts w:ascii="Times New Roman" w:hAnsi="Times New Roman" w:cs="Times New Roman"/>
                <w:sz w:val="15"/>
                <w:szCs w:val="15"/>
                <w:lang w:val="en-US"/>
              </w:rPr>
              <w:t>36</w:t>
            </w:r>
            <w:r w:rsidRPr="00905499">
              <w:rPr>
                <w:rFonts w:ascii="Times New Roman" w:hAnsi="Times New Roman" w:cs="Times New Roman"/>
                <w:sz w:val="15"/>
                <w:szCs w:val="15"/>
                <w:lang w:val="en-US"/>
              </w:rPr>
              <w:t>, .1</w:t>
            </w:r>
            <w:r w:rsidR="004306D2" w:rsidRPr="00905499">
              <w:rPr>
                <w:rFonts w:ascii="Times New Roman" w:hAnsi="Times New Roman" w:cs="Times New Roman"/>
                <w:sz w:val="15"/>
                <w:szCs w:val="15"/>
                <w:lang w:val="en-US"/>
              </w:rPr>
              <w:t>71</w:t>
            </w:r>
            <w:r w:rsidRPr="00905499">
              <w:rPr>
                <w:rFonts w:ascii="Times New Roman" w:hAnsi="Times New Roman" w:cs="Times New Roman"/>
                <w:sz w:val="15"/>
                <w:szCs w:val="15"/>
                <w:lang w:val="en-US"/>
              </w:rPr>
              <w:t>]*</w:t>
            </w:r>
            <w:r w:rsidR="007F1B40" w:rsidRPr="00905499">
              <w:rPr>
                <w:rFonts w:ascii="Times New Roman" w:hAnsi="Times New Roman" w:cs="Times New Roman"/>
                <w:sz w:val="15"/>
                <w:szCs w:val="15"/>
                <w:lang w:val="en-US"/>
              </w:rPr>
              <w:t>*</w:t>
            </w:r>
          </w:p>
        </w:tc>
        <w:tc>
          <w:tcPr>
            <w:tcW w:w="1644" w:type="dxa"/>
            <w:tcBorders>
              <w:top w:val="single" w:sz="4" w:space="0" w:color="auto"/>
            </w:tcBorders>
            <w:vAlign w:val="center"/>
          </w:tcPr>
          <w:p w14:paraId="5E2CED4E" w14:textId="1CD03D45" w:rsidR="00707AB4" w:rsidRPr="00905499" w:rsidRDefault="00724F36"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.036[-.043, .114]</w:t>
            </w:r>
          </w:p>
        </w:tc>
        <w:tc>
          <w:tcPr>
            <w:tcW w:w="1639" w:type="dxa"/>
            <w:tcBorders>
              <w:top w:val="single" w:sz="4" w:space="0" w:color="auto"/>
            </w:tcBorders>
            <w:vAlign w:val="center"/>
          </w:tcPr>
          <w:p w14:paraId="7C98A678" w14:textId="7CC3AF08" w:rsidR="00707AB4" w:rsidRPr="00905499" w:rsidRDefault="0065017E"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.064[-.015, .143]</w:t>
            </w:r>
          </w:p>
        </w:tc>
        <w:tc>
          <w:tcPr>
            <w:tcW w:w="1649" w:type="dxa"/>
            <w:tcBorders>
              <w:top w:val="single" w:sz="4" w:space="0" w:color="auto"/>
            </w:tcBorders>
            <w:vAlign w:val="center"/>
          </w:tcPr>
          <w:p w14:paraId="07374155" w14:textId="72CB0EE3" w:rsidR="00707AB4" w:rsidRPr="00905499" w:rsidRDefault="0065017E"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-.035[-.113</w:t>
            </w:r>
            <w:proofErr w:type="gramStart"/>
            <w:r w:rsidRPr="00905499">
              <w:rPr>
                <w:rFonts w:ascii="Times New Roman" w:hAnsi="Times New Roman" w:cs="Times New Roman"/>
                <w:sz w:val="15"/>
                <w:szCs w:val="15"/>
                <w:lang w:val="en-US"/>
              </w:rPr>
              <w:t>,.</w:t>
            </w:r>
            <w:proofErr w:type="gramEnd"/>
            <w:r w:rsidRPr="00905499">
              <w:rPr>
                <w:rFonts w:ascii="Times New Roman" w:hAnsi="Times New Roman" w:cs="Times New Roman"/>
                <w:sz w:val="15"/>
                <w:szCs w:val="15"/>
                <w:lang w:val="en-US"/>
              </w:rPr>
              <w:t>044]</w:t>
            </w:r>
          </w:p>
        </w:tc>
        <w:tc>
          <w:tcPr>
            <w:tcW w:w="1647" w:type="dxa"/>
            <w:tcBorders>
              <w:top w:val="single" w:sz="4" w:space="0" w:color="auto"/>
            </w:tcBorders>
          </w:tcPr>
          <w:p w14:paraId="6DD2178B" w14:textId="60278F52" w:rsidR="00707AB4" w:rsidRPr="00905499" w:rsidRDefault="00736D17"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.004[-.076, .085]</w:t>
            </w:r>
          </w:p>
        </w:tc>
      </w:tr>
      <w:tr w:rsidR="00C84B37" w:rsidRPr="00905499" w14:paraId="5F6028F9" w14:textId="77777777" w:rsidTr="00C84B37">
        <w:trPr>
          <w:trHeight w:val="241"/>
        </w:trPr>
        <w:tc>
          <w:tcPr>
            <w:tcW w:w="1242" w:type="dxa"/>
          </w:tcPr>
          <w:p w14:paraId="01BCCC52" w14:textId="7C02BD6F" w:rsidR="00707AB4" w:rsidRPr="00905499" w:rsidRDefault="00707AB4" w:rsidP="00282687">
            <w:pPr>
              <w:ind w:left="142" w:hanging="142"/>
              <w:rPr>
                <w:sz w:val="15"/>
                <w:szCs w:val="15"/>
                <w:lang w:val="en-US"/>
              </w:rPr>
            </w:pPr>
            <w:r w:rsidRPr="00905499">
              <w:rPr>
                <w:rFonts w:ascii="Times New Roman" w:hAnsi="Times New Roman" w:cs="Times New Roman"/>
                <w:sz w:val="15"/>
                <w:szCs w:val="15"/>
                <w:lang w:val="en-US"/>
              </w:rPr>
              <w:t>Math Achievement</w:t>
            </w:r>
          </w:p>
        </w:tc>
        <w:tc>
          <w:tcPr>
            <w:tcW w:w="1668" w:type="dxa"/>
            <w:vAlign w:val="center"/>
          </w:tcPr>
          <w:p w14:paraId="42F70B1A" w14:textId="33DDC393" w:rsidR="00707AB4" w:rsidRPr="00905499" w:rsidRDefault="00707AB4" w:rsidP="002502C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.2</w:t>
            </w:r>
            <w:r w:rsidR="002502C4" w:rsidRPr="00905499">
              <w:rPr>
                <w:rFonts w:ascii="Times New Roman" w:hAnsi="Times New Roman" w:cs="Times New Roman"/>
                <w:sz w:val="15"/>
                <w:szCs w:val="15"/>
                <w:lang w:val="en-US"/>
              </w:rPr>
              <w:t>77</w:t>
            </w:r>
            <w:r w:rsidRPr="00905499">
              <w:rPr>
                <w:rFonts w:ascii="Times New Roman" w:hAnsi="Times New Roman" w:cs="Times New Roman"/>
                <w:sz w:val="15"/>
                <w:szCs w:val="15"/>
                <w:lang w:val="en-US"/>
              </w:rPr>
              <w:t>[.1</w:t>
            </w:r>
            <w:r w:rsidR="002502C4" w:rsidRPr="00905499">
              <w:rPr>
                <w:rFonts w:ascii="Times New Roman" w:hAnsi="Times New Roman" w:cs="Times New Roman"/>
                <w:sz w:val="15"/>
                <w:szCs w:val="15"/>
                <w:lang w:val="en-US"/>
              </w:rPr>
              <w:t>49</w:t>
            </w:r>
            <w:r w:rsidRPr="00905499">
              <w:rPr>
                <w:rFonts w:ascii="Times New Roman" w:hAnsi="Times New Roman" w:cs="Times New Roman"/>
                <w:sz w:val="15"/>
                <w:szCs w:val="15"/>
                <w:lang w:val="en-US"/>
              </w:rPr>
              <w:t>, .4</w:t>
            </w:r>
            <w:r w:rsidR="002502C4" w:rsidRPr="00905499">
              <w:rPr>
                <w:rFonts w:ascii="Times New Roman" w:hAnsi="Times New Roman" w:cs="Times New Roman"/>
                <w:sz w:val="15"/>
                <w:szCs w:val="15"/>
                <w:lang w:val="en-US"/>
              </w:rPr>
              <w:t>05</w:t>
            </w:r>
            <w:r w:rsidRPr="00905499">
              <w:rPr>
                <w:rFonts w:ascii="Times New Roman" w:hAnsi="Times New Roman" w:cs="Times New Roman"/>
                <w:sz w:val="15"/>
                <w:szCs w:val="15"/>
                <w:lang w:val="en-US"/>
              </w:rPr>
              <w:t>]*</w:t>
            </w:r>
            <w:r w:rsidR="00C84B37" w:rsidRPr="00905499">
              <w:rPr>
                <w:rFonts w:ascii="Times New Roman" w:hAnsi="Times New Roman" w:cs="Times New Roman"/>
                <w:sz w:val="15"/>
                <w:szCs w:val="15"/>
                <w:lang w:val="en-US"/>
              </w:rPr>
              <w:t>**</w:t>
            </w:r>
          </w:p>
        </w:tc>
        <w:tc>
          <w:tcPr>
            <w:tcW w:w="1686" w:type="dxa"/>
            <w:vAlign w:val="center"/>
          </w:tcPr>
          <w:p w14:paraId="1A71CFD3" w14:textId="5326C559" w:rsidR="00707AB4" w:rsidRPr="00905499" w:rsidRDefault="00707AB4" w:rsidP="004306D2">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.2</w:t>
            </w:r>
            <w:r w:rsidR="004306D2" w:rsidRPr="00905499">
              <w:rPr>
                <w:rFonts w:ascii="Times New Roman" w:hAnsi="Times New Roman" w:cs="Times New Roman"/>
                <w:sz w:val="15"/>
                <w:szCs w:val="15"/>
                <w:lang w:val="en-US"/>
              </w:rPr>
              <w:t>77</w:t>
            </w:r>
            <w:r w:rsidRPr="00905499">
              <w:rPr>
                <w:rFonts w:ascii="Times New Roman" w:hAnsi="Times New Roman" w:cs="Times New Roman"/>
                <w:sz w:val="15"/>
                <w:szCs w:val="15"/>
                <w:lang w:val="en-US"/>
              </w:rPr>
              <w:t>[.1</w:t>
            </w:r>
            <w:r w:rsidR="004306D2" w:rsidRPr="00905499">
              <w:rPr>
                <w:rFonts w:ascii="Times New Roman" w:hAnsi="Times New Roman" w:cs="Times New Roman"/>
                <w:sz w:val="15"/>
                <w:szCs w:val="15"/>
                <w:lang w:val="en-US"/>
              </w:rPr>
              <w:t>51</w:t>
            </w:r>
            <w:r w:rsidRPr="00905499">
              <w:rPr>
                <w:rFonts w:ascii="Times New Roman" w:hAnsi="Times New Roman" w:cs="Times New Roman"/>
                <w:sz w:val="15"/>
                <w:szCs w:val="15"/>
                <w:lang w:val="en-US"/>
              </w:rPr>
              <w:t>, .4</w:t>
            </w:r>
            <w:r w:rsidR="004306D2" w:rsidRPr="00905499">
              <w:rPr>
                <w:rFonts w:ascii="Times New Roman" w:hAnsi="Times New Roman" w:cs="Times New Roman"/>
                <w:sz w:val="15"/>
                <w:szCs w:val="15"/>
                <w:lang w:val="en-US"/>
              </w:rPr>
              <w:t>04</w:t>
            </w:r>
            <w:r w:rsidRPr="00905499">
              <w:rPr>
                <w:rFonts w:ascii="Times New Roman" w:hAnsi="Times New Roman" w:cs="Times New Roman"/>
                <w:sz w:val="15"/>
                <w:szCs w:val="15"/>
                <w:lang w:val="en-US"/>
              </w:rPr>
              <w:t>]*</w:t>
            </w:r>
            <w:r w:rsidR="007F1B40" w:rsidRPr="00905499">
              <w:rPr>
                <w:rFonts w:ascii="Times New Roman" w:hAnsi="Times New Roman" w:cs="Times New Roman"/>
                <w:sz w:val="15"/>
                <w:szCs w:val="15"/>
                <w:lang w:val="en-US"/>
              </w:rPr>
              <w:t>**</w:t>
            </w:r>
          </w:p>
        </w:tc>
        <w:tc>
          <w:tcPr>
            <w:tcW w:w="1644" w:type="dxa"/>
            <w:vAlign w:val="center"/>
          </w:tcPr>
          <w:p w14:paraId="1B3E80EF" w14:textId="4C5C2D48" w:rsidR="00707AB4" w:rsidRPr="00905499" w:rsidRDefault="00724F36"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.279[.157, .401]*</w:t>
            </w:r>
            <w:r w:rsidR="00A36905" w:rsidRPr="00905499">
              <w:rPr>
                <w:rFonts w:ascii="Times New Roman" w:hAnsi="Times New Roman" w:cs="Times New Roman"/>
                <w:sz w:val="15"/>
                <w:szCs w:val="15"/>
                <w:lang w:val="en-US"/>
              </w:rPr>
              <w:t>**</w:t>
            </w:r>
          </w:p>
        </w:tc>
        <w:tc>
          <w:tcPr>
            <w:tcW w:w="1639" w:type="dxa"/>
            <w:vAlign w:val="center"/>
          </w:tcPr>
          <w:p w14:paraId="47E51BE7" w14:textId="1128E766" w:rsidR="00707AB4" w:rsidRPr="00905499" w:rsidRDefault="0065017E"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.281[.159, .403]*</w:t>
            </w:r>
            <w:r w:rsidR="00A70F8F" w:rsidRPr="00905499">
              <w:rPr>
                <w:rFonts w:ascii="Times New Roman" w:hAnsi="Times New Roman" w:cs="Times New Roman"/>
                <w:sz w:val="15"/>
                <w:szCs w:val="15"/>
                <w:lang w:val="en-US"/>
              </w:rPr>
              <w:t>**</w:t>
            </w:r>
          </w:p>
        </w:tc>
        <w:tc>
          <w:tcPr>
            <w:tcW w:w="1649" w:type="dxa"/>
            <w:vAlign w:val="center"/>
          </w:tcPr>
          <w:p w14:paraId="3B6C46E8" w14:textId="5A52CA7C" w:rsidR="00707AB4" w:rsidRPr="00905499" w:rsidRDefault="0065017E"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.273[.150, .395]*</w:t>
            </w:r>
            <w:r w:rsidR="00AC3751" w:rsidRPr="00905499">
              <w:rPr>
                <w:rFonts w:ascii="Times New Roman" w:hAnsi="Times New Roman" w:cs="Times New Roman"/>
                <w:sz w:val="15"/>
                <w:szCs w:val="15"/>
                <w:lang w:val="en-US"/>
              </w:rPr>
              <w:t>**</w:t>
            </w:r>
          </w:p>
        </w:tc>
        <w:tc>
          <w:tcPr>
            <w:tcW w:w="1647" w:type="dxa"/>
          </w:tcPr>
          <w:p w14:paraId="43E911E4" w14:textId="0CC39F5F" w:rsidR="00707AB4" w:rsidRPr="00905499" w:rsidRDefault="00736D17"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.275[.152, .398]*</w:t>
            </w:r>
            <w:r w:rsidR="002C35D9" w:rsidRPr="00905499">
              <w:rPr>
                <w:rFonts w:ascii="Times New Roman" w:hAnsi="Times New Roman" w:cs="Times New Roman"/>
                <w:sz w:val="15"/>
                <w:szCs w:val="15"/>
                <w:lang w:val="en-US"/>
              </w:rPr>
              <w:t>**</w:t>
            </w:r>
          </w:p>
        </w:tc>
      </w:tr>
      <w:tr w:rsidR="00C84B37" w:rsidRPr="00905499" w14:paraId="0D3FC569" w14:textId="77777777" w:rsidTr="00C84B37">
        <w:trPr>
          <w:trHeight w:val="241"/>
        </w:trPr>
        <w:tc>
          <w:tcPr>
            <w:tcW w:w="1242" w:type="dxa"/>
          </w:tcPr>
          <w:p w14:paraId="02CD286C" w14:textId="102A4217" w:rsidR="00707AB4" w:rsidRPr="00905499" w:rsidRDefault="00707AB4" w:rsidP="00282687">
            <w:pPr>
              <w:ind w:left="142" w:hanging="142"/>
              <w:rPr>
                <w:sz w:val="15"/>
                <w:szCs w:val="15"/>
                <w:lang w:val="en-US"/>
              </w:rPr>
            </w:pPr>
            <w:r w:rsidRPr="00905499">
              <w:rPr>
                <w:rFonts w:ascii="Times New Roman" w:hAnsi="Times New Roman" w:cs="Times New Roman"/>
                <w:sz w:val="15"/>
                <w:szCs w:val="15"/>
                <w:lang w:val="en-US"/>
              </w:rPr>
              <w:t>Reading Achievement</w:t>
            </w:r>
          </w:p>
        </w:tc>
        <w:tc>
          <w:tcPr>
            <w:tcW w:w="1668" w:type="dxa"/>
            <w:vAlign w:val="center"/>
          </w:tcPr>
          <w:p w14:paraId="13947607" w14:textId="2E09D7D3" w:rsidR="00707AB4" w:rsidRPr="00905499" w:rsidRDefault="00707AB4" w:rsidP="002502C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.4</w:t>
            </w:r>
            <w:r w:rsidR="002502C4" w:rsidRPr="00905499">
              <w:rPr>
                <w:rFonts w:ascii="Times New Roman" w:hAnsi="Times New Roman" w:cs="Times New Roman"/>
                <w:sz w:val="15"/>
                <w:szCs w:val="15"/>
                <w:lang w:val="en-US"/>
              </w:rPr>
              <w:t>76</w:t>
            </w:r>
            <w:r w:rsidRPr="00905499">
              <w:rPr>
                <w:rFonts w:ascii="Times New Roman" w:hAnsi="Times New Roman" w:cs="Times New Roman"/>
                <w:sz w:val="15"/>
                <w:szCs w:val="15"/>
                <w:lang w:val="en-US"/>
              </w:rPr>
              <w:t>[.3</w:t>
            </w:r>
            <w:r w:rsidR="002502C4" w:rsidRPr="00905499">
              <w:rPr>
                <w:rFonts w:ascii="Times New Roman" w:hAnsi="Times New Roman" w:cs="Times New Roman"/>
                <w:sz w:val="15"/>
                <w:szCs w:val="15"/>
                <w:lang w:val="en-US"/>
              </w:rPr>
              <w:t>63</w:t>
            </w:r>
            <w:r w:rsidRPr="00905499">
              <w:rPr>
                <w:rFonts w:ascii="Times New Roman" w:hAnsi="Times New Roman" w:cs="Times New Roman"/>
                <w:sz w:val="15"/>
                <w:szCs w:val="15"/>
                <w:lang w:val="en-US"/>
              </w:rPr>
              <w:t>, .58</w:t>
            </w:r>
            <w:r w:rsidR="002502C4" w:rsidRPr="00905499">
              <w:rPr>
                <w:rFonts w:ascii="Times New Roman" w:hAnsi="Times New Roman" w:cs="Times New Roman"/>
                <w:sz w:val="15"/>
                <w:szCs w:val="15"/>
                <w:lang w:val="en-US"/>
              </w:rPr>
              <w:t>9</w:t>
            </w:r>
            <w:r w:rsidRPr="00905499">
              <w:rPr>
                <w:rFonts w:ascii="Times New Roman" w:hAnsi="Times New Roman" w:cs="Times New Roman"/>
                <w:sz w:val="15"/>
                <w:szCs w:val="15"/>
                <w:lang w:val="en-US"/>
              </w:rPr>
              <w:t>]*</w:t>
            </w:r>
            <w:r w:rsidR="00C84B37" w:rsidRPr="00905499">
              <w:rPr>
                <w:rFonts w:ascii="Times New Roman" w:hAnsi="Times New Roman" w:cs="Times New Roman"/>
                <w:sz w:val="15"/>
                <w:szCs w:val="15"/>
                <w:lang w:val="en-US"/>
              </w:rPr>
              <w:t>**</w:t>
            </w:r>
          </w:p>
        </w:tc>
        <w:tc>
          <w:tcPr>
            <w:tcW w:w="1686" w:type="dxa"/>
            <w:vAlign w:val="center"/>
          </w:tcPr>
          <w:p w14:paraId="4180A643" w14:textId="7BB8F21A" w:rsidR="00707AB4" w:rsidRPr="00905499" w:rsidRDefault="00707AB4" w:rsidP="006672C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.4</w:t>
            </w:r>
            <w:r w:rsidR="006672C9" w:rsidRPr="00905499">
              <w:rPr>
                <w:rFonts w:ascii="Times New Roman" w:hAnsi="Times New Roman" w:cs="Times New Roman"/>
                <w:sz w:val="15"/>
                <w:szCs w:val="15"/>
                <w:lang w:val="en-US"/>
              </w:rPr>
              <w:t>79</w:t>
            </w:r>
            <w:r w:rsidRPr="00905499">
              <w:rPr>
                <w:rFonts w:ascii="Times New Roman" w:hAnsi="Times New Roman" w:cs="Times New Roman"/>
                <w:sz w:val="15"/>
                <w:szCs w:val="15"/>
                <w:lang w:val="en-US"/>
              </w:rPr>
              <w:t>[.</w:t>
            </w:r>
            <w:r w:rsidR="006672C9" w:rsidRPr="00905499">
              <w:rPr>
                <w:rFonts w:ascii="Times New Roman" w:hAnsi="Times New Roman" w:cs="Times New Roman"/>
                <w:sz w:val="15"/>
                <w:szCs w:val="15"/>
                <w:lang w:val="en-US"/>
              </w:rPr>
              <w:t>366</w:t>
            </w:r>
            <w:r w:rsidRPr="00905499">
              <w:rPr>
                <w:rFonts w:ascii="Times New Roman" w:hAnsi="Times New Roman" w:cs="Times New Roman"/>
                <w:sz w:val="15"/>
                <w:szCs w:val="15"/>
                <w:lang w:val="en-US"/>
              </w:rPr>
              <w:t>, .5</w:t>
            </w:r>
            <w:r w:rsidR="006672C9" w:rsidRPr="00905499">
              <w:rPr>
                <w:rFonts w:ascii="Times New Roman" w:hAnsi="Times New Roman" w:cs="Times New Roman"/>
                <w:sz w:val="15"/>
                <w:szCs w:val="15"/>
                <w:lang w:val="en-US"/>
              </w:rPr>
              <w:t>92</w:t>
            </w:r>
            <w:r w:rsidRPr="00905499">
              <w:rPr>
                <w:rFonts w:ascii="Times New Roman" w:hAnsi="Times New Roman" w:cs="Times New Roman"/>
                <w:sz w:val="15"/>
                <w:szCs w:val="15"/>
                <w:lang w:val="en-US"/>
              </w:rPr>
              <w:t>]*</w:t>
            </w:r>
            <w:r w:rsidR="00B923FE" w:rsidRPr="00905499">
              <w:rPr>
                <w:rFonts w:ascii="Times New Roman" w:hAnsi="Times New Roman" w:cs="Times New Roman"/>
                <w:sz w:val="15"/>
                <w:szCs w:val="15"/>
                <w:lang w:val="en-US"/>
              </w:rPr>
              <w:t>**</w:t>
            </w:r>
          </w:p>
        </w:tc>
        <w:tc>
          <w:tcPr>
            <w:tcW w:w="1644" w:type="dxa"/>
            <w:vAlign w:val="center"/>
          </w:tcPr>
          <w:p w14:paraId="7F774043" w14:textId="074212F4" w:rsidR="00707AB4" w:rsidRPr="00905499" w:rsidRDefault="00724F36"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.482[.371, .594]*</w:t>
            </w:r>
            <w:r w:rsidR="00A36905" w:rsidRPr="00905499">
              <w:rPr>
                <w:rFonts w:ascii="Times New Roman" w:hAnsi="Times New Roman" w:cs="Times New Roman"/>
                <w:sz w:val="15"/>
                <w:szCs w:val="15"/>
                <w:lang w:val="en-US"/>
              </w:rPr>
              <w:t>**</w:t>
            </w:r>
          </w:p>
        </w:tc>
        <w:tc>
          <w:tcPr>
            <w:tcW w:w="1639" w:type="dxa"/>
            <w:vAlign w:val="center"/>
          </w:tcPr>
          <w:p w14:paraId="1CE94812" w14:textId="6941EFEC" w:rsidR="00707AB4" w:rsidRPr="00905499" w:rsidRDefault="0065017E"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.487[.374, .599]*</w:t>
            </w:r>
            <w:r w:rsidR="00A70F8F" w:rsidRPr="00905499">
              <w:rPr>
                <w:rFonts w:ascii="Times New Roman" w:hAnsi="Times New Roman" w:cs="Times New Roman"/>
                <w:sz w:val="15"/>
                <w:szCs w:val="15"/>
                <w:lang w:val="en-US"/>
              </w:rPr>
              <w:t>**</w:t>
            </w:r>
          </w:p>
        </w:tc>
        <w:tc>
          <w:tcPr>
            <w:tcW w:w="1649" w:type="dxa"/>
            <w:vAlign w:val="center"/>
          </w:tcPr>
          <w:p w14:paraId="3C7EAC96" w14:textId="352EE98A" w:rsidR="00707AB4" w:rsidRPr="00905499" w:rsidRDefault="0065017E"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.473[.362, .584]*</w:t>
            </w:r>
            <w:r w:rsidR="00AC3751" w:rsidRPr="00905499">
              <w:rPr>
                <w:rFonts w:ascii="Times New Roman" w:hAnsi="Times New Roman" w:cs="Times New Roman"/>
                <w:sz w:val="15"/>
                <w:szCs w:val="15"/>
                <w:lang w:val="en-US"/>
              </w:rPr>
              <w:t>**</w:t>
            </w:r>
          </w:p>
        </w:tc>
        <w:tc>
          <w:tcPr>
            <w:tcW w:w="1647" w:type="dxa"/>
          </w:tcPr>
          <w:p w14:paraId="62AFCC5C" w14:textId="47C5A979" w:rsidR="00707AB4" w:rsidRPr="00905499" w:rsidRDefault="00736D17"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.478[.366, .590]*</w:t>
            </w:r>
            <w:r w:rsidR="002C35D9" w:rsidRPr="00905499">
              <w:rPr>
                <w:rFonts w:ascii="Times New Roman" w:hAnsi="Times New Roman" w:cs="Times New Roman"/>
                <w:sz w:val="15"/>
                <w:szCs w:val="15"/>
                <w:lang w:val="en-US"/>
              </w:rPr>
              <w:t>**</w:t>
            </w:r>
          </w:p>
        </w:tc>
      </w:tr>
      <w:tr w:rsidR="00C84B37" w:rsidRPr="00905499" w14:paraId="2F6649B1" w14:textId="77777777" w:rsidTr="00C84B37">
        <w:trPr>
          <w:trHeight w:val="241"/>
        </w:trPr>
        <w:tc>
          <w:tcPr>
            <w:tcW w:w="1242" w:type="dxa"/>
          </w:tcPr>
          <w:p w14:paraId="758F3121" w14:textId="40361C16" w:rsidR="00707AB4" w:rsidRPr="00905499" w:rsidRDefault="00707AB4" w:rsidP="00282687">
            <w:pPr>
              <w:ind w:left="142" w:hanging="142"/>
              <w:rPr>
                <w:sz w:val="15"/>
                <w:szCs w:val="15"/>
                <w:lang w:val="en-US"/>
              </w:rPr>
            </w:pPr>
            <w:r w:rsidRPr="00905499">
              <w:rPr>
                <w:rFonts w:ascii="Times New Roman" w:hAnsi="Times New Roman" w:cs="Times New Roman"/>
                <w:sz w:val="15"/>
                <w:szCs w:val="15"/>
                <w:lang w:val="en-US"/>
              </w:rPr>
              <w:t>Science Achievement</w:t>
            </w:r>
          </w:p>
        </w:tc>
        <w:tc>
          <w:tcPr>
            <w:tcW w:w="1668" w:type="dxa"/>
            <w:vAlign w:val="center"/>
          </w:tcPr>
          <w:p w14:paraId="115CBF1E" w14:textId="17A90682" w:rsidR="00707AB4" w:rsidRPr="00905499" w:rsidRDefault="00707AB4" w:rsidP="002502C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w:t>
            </w:r>
            <w:r w:rsidR="002502C4" w:rsidRPr="00905499">
              <w:rPr>
                <w:rFonts w:ascii="Times New Roman" w:hAnsi="Times New Roman" w:cs="Times New Roman"/>
                <w:sz w:val="15"/>
                <w:szCs w:val="15"/>
                <w:lang w:val="en-US"/>
              </w:rPr>
              <w:t>70</w:t>
            </w:r>
            <w:r w:rsidRPr="00905499">
              <w:rPr>
                <w:rFonts w:ascii="Times New Roman" w:hAnsi="Times New Roman" w:cs="Times New Roman"/>
                <w:sz w:val="15"/>
                <w:szCs w:val="15"/>
                <w:lang w:val="en-US"/>
              </w:rPr>
              <w:t>[-.23</w:t>
            </w:r>
            <w:r w:rsidR="002502C4" w:rsidRPr="00905499">
              <w:rPr>
                <w:rFonts w:ascii="Times New Roman" w:hAnsi="Times New Roman" w:cs="Times New Roman"/>
                <w:sz w:val="15"/>
                <w:szCs w:val="15"/>
                <w:lang w:val="en-US"/>
              </w:rPr>
              <w:t>5</w:t>
            </w:r>
            <w:r w:rsidRPr="00905499">
              <w:rPr>
                <w:rFonts w:ascii="Times New Roman" w:hAnsi="Times New Roman" w:cs="Times New Roman"/>
                <w:sz w:val="15"/>
                <w:szCs w:val="15"/>
                <w:lang w:val="en-US"/>
              </w:rPr>
              <w:t>, .0</w:t>
            </w:r>
            <w:r w:rsidR="002502C4" w:rsidRPr="00905499">
              <w:rPr>
                <w:rFonts w:ascii="Times New Roman" w:hAnsi="Times New Roman" w:cs="Times New Roman"/>
                <w:sz w:val="15"/>
                <w:szCs w:val="15"/>
                <w:lang w:val="en-US"/>
              </w:rPr>
              <w:t>94</w:t>
            </w:r>
            <w:r w:rsidRPr="00905499">
              <w:rPr>
                <w:rFonts w:ascii="Times New Roman" w:hAnsi="Times New Roman" w:cs="Times New Roman"/>
                <w:sz w:val="15"/>
                <w:szCs w:val="15"/>
                <w:lang w:val="en-US"/>
              </w:rPr>
              <w:t>]</w:t>
            </w:r>
          </w:p>
        </w:tc>
        <w:tc>
          <w:tcPr>
            <w:tcW w:w="1686" w:type="dxa"/>
            <w:vAlign w:val="center"/>
          </w:tcPr>
          <w:p w14:paraId="2E1CACC1" w14:textId="49C3217F" w:rsidR="00707AB4" w:rsidRPr="00905499" w:rsidRDefault="00707AB4" w:rsidP="006672C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w:t>
            </w:r>
            <w:r w:rsidR="006672C9" w:rsidRPr="00905499">
              <w:rPr>
                <w:rFonts w:ascii="Times New Roman" w:hAnsi="Times New Roman" w:cs="Times New Roman"/>
                <w:sz w:val="15"/>
                <w:szCs w:val="15"/>
                <w:lang w:val="en-US"/>
              </w:rPr>
              <w:t>71</w:t>
            </w:r>
            <w:r w:rsidRPr="00905499">
              <w:rPr>
                <w:rFonts w:ascii="Times New Roman" w:hAnsi="Times New Roman" w:cs="Times New Roman"/>
                <w:sz w:val="15"/>
                <w:szCs w:val="15"/>
                <w:lang w:val="en-US"/>
              </w:rPr>
              <w:t>[-.23</w:t>
            </w:r>
            <w:r w:rsidR="006672C9" w:rsidRPr="00905499">
              <w:rPr>
                <w:rFonts w:ascii="Times New Roman" w:hAnsi="Times New Roman" w:cs="Times New Roman"/>
                <w:sz w:val="15"/>
                <w:szCs w:val="15"/>
                <w:lang w:val="en-US"/>
              </w:rPr>
              <w:t>5</w:t>
            </w:r>
            <w:r w:rsidRPr="00905499">
              <w:rPr>
                <w:rFonts w:ascii="Times New Roman" w:hAnsi="Times New Roman" w:cs="Times New Roman"/>
                <w:sz w:val="15"/>
                <w:szCs w:val="15"/>
                <w:lang w:val="en-US"/>
              </w:rPr>
              <w:t>, .</w:t>
            </w:r>
            <w:r w:rsidR="006672C9" w:rsidRPr="00905499">
              <w:rPr>
                <w:rFonts w:ascii="Times New Roman" w:hAnsi="Times New Roman" w:cs="Times New Roman"/>
                <w:sz w:val="15"/>
                <w:szCs w:val="15"/>
                <w:lang w:val="en-US"/>
              </w:rPr>
              <w:t>093</w:t>
            </w:r>
            <w:r w:rsidRPr="00905499">
              <w:rPr>
                <w:rFonts w:ascii="Times New Roman" w:hAnsi="Times New Roman" w:cs="Times New Roman"/>
                <w:sz w:val="15"/>
                <w:szCs w:val="15"/>
                <w:lang w:val="en-US"/>
              </w:rPr>
              <w:t>]</w:t>
            </w:r>
          </w:p>
        </w:tc>
        <w:tc>
          <w:tcPr>
            <w:tcW w:w="1644" w:type="dxa"/>
            <w:vAlign w:val="center"/>
          </w:tcPr>
          <w:p w14:paraId="1D1C2D33" w14:textId="5D906258" w:rsidR="00707AB4" w:rsidRPr="00905499" w:rsidRDefault="00724F36"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w:t>
            </w:r>
            <w:r w:rsidR="000007D7" w:rsidRPr="00905499">
              <w:rPr>
                <w:rFonts w:ascii="Times New Roman" w:hAnsi="Times New Roman" w:cs="Times New Roman"/>
                <w:sz w:val="15"/>
                <w:szCs w:val="15"/>
                <w:lang w:val="en-US"/>
              </w:rPr>
              <w:t>0</w:t>
            </w:r>
            <w:r w:rsidRPr="00905499">
              <w:rPr>
                <w:rFonts w:ascii="Times New Roman" w:hAnsi="Times New Roman" w:cs="Times New Roman"/>
                <w:sz w:val="15"/>
                <w:szCs w:val="15"/>
                <w:lang w:val="en-US"/>
              </w:rPr>
              <w:t>77[-.236, .081]</w:t>
            </w:r>
          </w:p>
        </w:tc>
        <w:tc>
          <w:tcPr>
            <w:tcW w:w="1639" w:type="dxa"/>
            <w:vAlign w:val="center"/>
          </w:tcPr>
          <w:p w14:paraId="5CFEC322" w14:textId="3B960CD8" w:rsidR="00707AB4" w:rsidRPr="00905499" w:rsidRDefault="0065017E"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-.076[-.231, .079]</w:t>
            </w:r>
          </w:p>
        </w:tc>
        <w:tc>
          <w:tcPr>
            <w:tcW w:w="1649" w:type="dxa"/>
            <w:vAlign w:val="center"/>
          </w:tcPr>
          <w:p w14:paraId="3490E5BD" w14:textId="5C8F2ABB" w:rsidR="00707AB4" w:rsidRPr="00905499" w:rsidRDefault="0065017E"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-.056[-.217, .104]</w:t>
            </w:r>
          </w:p>
        </w:tc>
        <w:tc>
          <w:tcPr>
            <w:tcW w:w="1647" w:type="dxa"/>
          </w:tcPr>
          <w:p w14:paraId="35CA5D33" w14:textId="054B0DAB" w:rsidR="00707AB4" w:rsidRPr="00905499" w:rsidRDefault="00736D17"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-.057[-.214, .100]</w:t>
            </w:r>
          </w:p>
        </w:tc>
      </w:tr>
      <w:tr w:rsidR="00C84B37" w:rsidRPr="00905499" w14:paraId="3AFBD088" w14:textId="77777777" w:rsidTr="00C84B37">
        <w:trPr>
          <w:trHeight w:val="241"/>
        </w:trPr>
        <w:tc>
          <w:tcPr>
            <w:tcW w:w="1242" w:type="dxa"/>
          </w:tcPr>
          <w:p w14:paraId="2165278D" w14:textId="13E69F9C" w:rsidR="00707AB4" w:rsidRPr="00905499" w:rsidRDefault="00707AB4" w:rsidP="001B66B5">
            <w:pPr>
              <w:ind w:left="142" w:hanging="142"/>
              <w:rPr>
                <w:sz w:val="15"/>
                <w:szCs w:val="15"/>
                <w:lang w:val="en-US"/>
              </w:rPr>
            </w:pPr>
            <w:r w:rsidRPr="00905499">
              <w:rPr>
                <w:rFonts w:ascii="Times New Roman" w:hAnsi="Times New Roman" w:cs="Times New Roman"/>
                <w:sz w:val="15"/>
                <w:szCs w:val="15"/>
                <w:lang w:val="en-US"/>
              </w:rPr>
              <w:t xml:space="preserve">Indigenous </w:t>
            </w:r>
          </w:p>
        </w:tc>
        <w:tc>
          <w:tcPr>
            <w:tcW w:w="1668" w:type="dxa"/>
            <w:vAlign w:val="center"/>
          </w:tcPr>
          <w:p w14:paraId="40AB18E9" w14:textId="0A03F5EE" w:rsidR="00707AB4" w:rsidRPr="00905499" w:rsidRDefault="00707AB4" w:rsidP="006A14CA">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w:t>
            </w:r>
            <w:r w:rsidR="006A14CA" w:rsidRPr="00905499">
              <w:rPr>
                <w:rFonts w:ascii="Times New Roman" w:hAnsi="Times New Roman" w:cs="Times New Roman"/>
                <w:sz w:val="15"/>
                <w:szCs w:val="15"/>
                <w:lang w:val="en-US"/>
              </w:rPr>
              <w:t>24</w:t>
            </w:r>
            <w:r w:rsidRPr="00905499">
              <w:rPr>
                <w:rFonts w:ascii="Times New Roman" w:hAnsi="Times New Roman" w:cs="Times New Roman"/>
                <w:sz w:val="15"/>
                <w:szCs w:val="15"/>
                <w:lang w:val="en-US"/>
              </w:rPr>
              <w:t>[-.2</w:t>
            </w:r>
            <w:r w:rsidR="006A14CA" w:rsidRPr="00905499">
              <w:rPr>
                <w:rFonts w:ascii="Times New Roman" w:hAnsi="Times New Roman" w:cs="Times New Roman"/>
                <w:sz w:val="15"/>
                <w:szCs w:val="15"/>
                <w:lang w:val="en-US"/>
              </w:rPr>
              <w:t>61</w:t>
            </w:r>
            <w:r w:rsidRPr="00905499">
              <w:rPr>
                <w:rFonts w:ascii="Times New Roman" w:hAnsi="Times New Roman" w:cs="Times New Roman"/>
                <w:sz w:val="15"/>
                <w:szCs w:val="15"/>
                <w:lang w:val="en-US"/>
              </w:rPr>
              <w:t>, .</w:t>
            </w:r>
            <w:r w:rsidR="006A14CA" w:rsidRPr="00905499">
              <w:rPr>
                <w:rFonts w:ascii="Times New Roman" w:hAnsi="Times New Roman" w:cs="Times New Roman"/>
                <w:sz w:val="15"/>
                <w:szCs w:val="15"/>
                <w:lang w:val="en-US"/>
              </w:rPr>
              <w:t>213</w:t>
            </w:r>
            <w:r w:rsidRPr="00905499">
              <w:rPr>
                <w:rFonts w:ascii="Times New Roman" w:hAnsi="Times New Roman" w:cs="Times New Roman"/>
                <w:sz w:val="15"/>
                <w:szCs w:val="15"/>
                <w:lang w:val="en-US"/>
              </w:rPr>
              <w:t>]</w:t>
            </w:r>
          </w:p>
        </w:tc>
        <w:tc>
          <w:tcPr>
            <w:tcW w:w="1686" w:type="dxa"/>
            <w:vAlign w:val="center"/>
          </w:tcPr>
          <w:p w14:paraId="7EE78C2D" w14:textId="7EC46DF7" w:rsidR="00707AB4" w:rsidRPr="00905499" w:rsidRDefault="00707AB4"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-.036[-.519, .447]</w:t>
            </w:r>
          </w:p>
        </w:tc>
        <w:tc>
          <w:tcPr>
            <w:tcW w:w="1644" w:type="dxa"/>
            <w:vAlign w:val="center"/>
          </w:tcPr>
          <w:p w14:paraId="13F9A7AA" w14:textId="79987484" w:rsidR="00707AB4" w:rsidRPr="00905499" w:rsidRDefault="00724F36"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 xml:space="preserve">-.044[-.281, </w:t>
            </w:r>
            <w:r w:rsidR="0065017E" w:rsidRPr="00905499">
              <w:rPr>
                <w:rFonts w:ascii="Times New Roman" w:hAnsi="Times New Roman" w:cs="Times New Roman"/>
                <w:sz w:val="15"/>
                <w:szCs w:val="15"/>
                <w:lang w:val="en-US"/>
              </w:rPr>
              <w:t>.194]</w:t>
            </w:r>
          </w:p>
        </w:tc>
        <w:tc>
          <w:tcPr>
            <w:tcW w:w="1639" w:type="dxa"/>
            <w:vAlign w:val="center"/>
          </w:tcPr>
          <w:p w14:paraId="6BA1EE69" w14:textId="06778AF2" w:rsidR="00707AB4" w:rsidRPr="00905499" w:rsidRDefault="0065017E"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-.042[-.238, .244]</w:t>
            </w:r>
          </w:p>
        </w:tc>
        <w:tc>
          <w:tcPr>
            <w:tcW w:w="1649" w:type="dxa"/>
            <w:vAlign w:val="center"/>
          </w:tcPr>
          <w:p w14:paraId="3E442130" w14:textId="7B671E2C" w:rsidR="00707AB4" w:rsidRPr="00905499" w:rsidRDefault="0065017E"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-.027[-.264, .210]</w:t>
            </w:r>
          </w:p>
        </w:tc>
        <w:tc>
          <w:tcPr>
            <w:tcW w:w="1647" w:type="dxa"/>
          </w:tcPr>
          <w:p w14:paraId="56BA0FC5" w14:textId="2B581391" w:rsidR="00707AB4" w:rsidRPr="00905499" w:rsidRDefault="00736D17"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-.013[-.347, .322]</w:t>
            </w:r>
          </w:p>
        </w:tc>
      </w:tr>
      <w:tr w:rsidR="00C84B37" w:rsidRPr="00905499" w14:paraId="2F298D29" w14:textId="77777777" w:rsidTr="00C84B37">
        <w:trPr>
          <w:trHeight w:val="241"/>
        </w:trPr>
        <w:tc>
          <w:tcPr>
            <w:tcW w:w="1242" w:type="dxa"/>
          </w:tcPr>
          <w:p w14:paraId="5D0766E2" w14:textId="56B57D50" w:rsidR="00707AB4" w:rsidRPr="00905499" w:rsidRDefault="001B66B5" w:rsidP="00282687">
            <w:pPr>
              <w:ind w:left="142" w:hanging="142"/>
              <w:rPr>
                <w:sz w:val="15"/>
                <w:szCs w:val="15"/>
                <w:lang w:val="en-US"/>
              </w:rPr>
            </w:pPr>
            <w:r w:rsidRPr="00905499">
              <w:rPr>
                <w:rFonts w:ascii="Times New Roman" w:hAnsi="Times New Roman" w:cs="Times New Roman"/>
                <w:sz w:val="15"/>
                <w:szCs w:val="15"/>
                <w:lang w:val="en-US"/>
              </w:rPr>
              <w:t>Male</w:t>
            </w:r>
          </w:p>
        </w:tc>
        <w:tc>
          <w:tcPr>
            <w:tcW w:w="1668" w:type="dxa"/>
            <w:vAlign w:val="center"/>
          </w:tcPr>
          <w:p w14:paraId="0002D9BA" w14:textId="60665BA2" w:rsidR="00707AB4" w:rsidRPr="00905499" w:rsidRDefault="00707AB4" w:rsidP="006A14CA">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.10</w:t>
            </w:r>
            <w:r w:rsidR="006A14CA" w:rsidRPr="00905499">
              <w:rPr>
                <w:rFonts w:ascii="Times New Roman" w:hAnsi="Times New Roman" w:cs="Times New Roman"/>
                <w:sz w:val="15"/>
                <w:szCs w:val="15"/>
                <w:lang w:val="en-US"/>
              </w:rPr>
              <w:t>9</w:t>
            </w:r>
            <w:r w:rsidRPr="00905499">
              <w:rPr>
                <w:rFonts w:ascii="Times New Roman" w:hAnsi="Times New Roman" w:cs="Times New Roman"/>
                <w:sz w:val="15"/>
                <w:szCs w:val="15"/>
                <w:lang w:val="en-US"/>
              </w:rPr>
              <w:t>[.01</w:t>
            </w:r>
            <w:r w:rsidR="006A14CA" w:rsidRPr="00905499">
              <w:rPr>
                <w:rFonts w:ascii="Times New Roman" w:hAnsi="Times New Roman" w:cs="Times New Roman"/>
                <w:sz w:val="15"/>
                <w:szCs w:val="15"/>
                <w:lang w:val="en-US"/>
              </w:rPr>
              <w:t>3</w:t>
            </w:r>
            <w:r w:rsidRPr="00905499">
              <w:rPr>
                <w:rFonts w:ascii="Times New Roman" w:hAnsi="Times New Roman" w:cs="Times New Roman"/>
                <w:sz w:val="15"/>
                <w:szCs w:val="15"/>
                <w:lang w:val="en-US"/>
              </w:rPr>
              <w:t>, .2</w:t>
            </w:r>
            <w:r w:rsidR="006A14CA" w:rsidRPr="00905499">
              <w:rPr>
                <w:rFonts w:ascii="Times New Roman" w:hAnsi="Times New Roman" w:cs="Times New Roman"/>
                <w:sz w:val="15"/>
                <w:szCs w:val="15"/>
                <w:lang w:val="en-US"/>
              </w:rPr>
              <w:t>04</w:t>
            </w:r>
            <w:r w:rsidRPr="00905499">
              <w:rPr>
                <w:rFonts w:ascii="Times New Roman" w:hAnsi="Times New Roman" w:cs="Times New Roman"/>
                <w:sz w:val="15"/>
                <w:szCs w:val="15"/>
                <w:lang w:val="en-US"/>
              </w:rPr>
              <w:t>]*</w:t>
            </w:r>
          </w:p>
        </w:tc>
        <w:tc>
          <w:tcPr>
            <w:tcW w:w="1686" w:type="dxa"/>
            <w:vAlign w:val="center"/>
          </w:tcPr>
          <w:p w14:paraId="08675E16" w14:textId="3F0DC949" w:rsidR="00707AB4" w:rsidRPr="00905499" w:rsidRDefault="00707AB4" w:rsidP="006672C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w:t>
            </w:r>
            <w:r w:rsidR="006672C9" w:rsidRPr="00905499">
              <w:rPr>
                <w:rFonts w:ascii="Times New Roman" w:hAnsi="Times New Roman" w:cs="Times New Roman"/>
                <w:sz w:val="15"/>
                <w:szCs w:val="15"/>
                <w:lang w:val="en-US"/>
              </w:rPr>
              <w:t>10</w:t>
            </w:r>
            <w:r w:rsidRPr="00905499">
              <w:rPr>
                <w:rFonts w:ascii="Times New Roman" w:hAnsi="Times New Roman" w:cs="Times New Roman"/>
                <w:sz w:val="15"/>
                <w:szCs w:val="15"/>
                <w:lang w:val="en-US"/>
              </w:rPr>
              <w:t>[.01</w:t>
            </w:r>
            <w:r w:rsidR="006672C9" w:rsidRPr="00905499">
              <w:rPr>
                <w:rFonts w:ascii="Times New Roman" w:hAnsi="Times New Roman" w:cs="Times New Roman"/>
                <w:sz w:val="15"/>
                <w:szCs w:val="15"/>
                <w:lang w:val="en-US"/>
              </w:rPr>
              <w:t>4</w:t>
            </w:r>
            <w:r w:rsidRPr="00905499">
              <w:rPr>
                <w:rFonts w:ascii="Times New Roman" w:hAnsi="Times New Roman" w:cs="Times New Roman"/>
                <w:sz w:val="15"/>
                <w:szCs w:val="15"/>
                <w:lang w:val="en-US"/>
              </w:rPr>
              <w:t>, .205]*</w:t>
            </w:r>
          </w:p>
        </w:tc>
        <w:tc>
          <w:tcPr>
            <w:tcW w:w="1644" w:type="dxa"/>
            <w:vAlign w:val="center"/>
          </w:tcPr>
          <w:p w14:paraId="0091173D" w14:textId="68BAEEB4" w:rsidR="00707AB4" w:rsidRPr="00905499" w:rsidRDefault="0065017E"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.098[.002, .193]*</w:t>
            </w:r>
          </w:p>
        </w:tc>
        <w:tc>
          <w:tcPr>
            <w:tcW w:w="1639" w:type="dxa"/>
            <w:vAlign w:val="center"/>
          </w:tcPr>
          <w:p w14:paraId="593524AC" w14:textId="331A1C8A" w:rsidR="00707AB4" w:rsidRPr="00905499" w:rsidRDefault="0065017E"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.102[.008, .196]*</w:t>
            </w:r>
          </w:p>
        </w:tc>
        <w:tc>
          <w:tcPr>
            <w:tcW w:w="1649" w:type="dxa"/>
            <w:vAlign w:val="center"/>
          </w:tcPr>
          <w:p w14:paraId="66CCACFD" w14:textId="3DFD80CF" w:rsidR="00707AB4" w:rsidRPr="00905499" w:rsidRDefault="0065017E"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.108[.013, .203]*</w:t>
            </w:r>
          </w:p>
        </w:tc>
        <w:tc>
          <w:tcPr>
            <w:tcW w:w="1647" w:type="dxa"/>
          </w:tcPr>
          <w:p w14:paraId="551559F9" w14:textId="6CF36F39" w:rsidR="00707AB4" w:rsidRPr="00905499" w:rsidRDefault="00736D17"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.111[.017, .205]*</w:t>
            </w:r>
          </w:p>
        </w:tc>
      </w:tr>
      <w:tr w:rsidR="00C84B37" w:rsidRPr="00905499" w14:paraId="1BBE0FEC" w14:textId="77777777" w:rsidTr="00C84B37">
        <w:trPr>
          <w:trHeight w:val="241"/>
        </w:trPr>
        <w:tc>
          <w:tcPr>
            <w:tcW w:w="1242" w:type="dxa"/>
          </w:tcPr>
          <w:p w14:paraId="0B2E8749" w14:textId="723F25A5" w:rsidR="00707AB4" w:rsidRPr="00905499" w:rsidRDefault="00707AB4" w:rsidP="0074659A">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 xml:space="preserve">LSAY </w:t>
            </w:r>
            <w:r w:rsidR="0074659A" w:rsidRPr="00905499">
              <w:rPr>
                <w:rFonts w:ascii="Times New Roman" w:hAnsi="Times New Roman" w:cs="Times New Roman"/>
                <w:sz w:val="15"/>
                <w:szCs w:val="15"/>
                <w:lang w:val="en-US"/>
              </w:rPr>
              <w:t>2006</w:t>
            </w:r>
          </w:p>
        </w:tc>
        <w:tc>
          <w:tcPr>
            <w:tcW w:w="1668" w:type="dxa"/>
            <w:vAlign w:val="center"/>
          </w:tcPr>
          <w:p w14:paraId="1308AF5F" w14:textId="0152D488" w:rsidR="00707AB4" w:rsidRPr="00905499" w:rsidRDefault="00707AB4" w:rsidP="00DE3295">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w:t>
            </w:r>
            <w:r w:rsidR="00DE3295" w:rsidRPr="00905499">
              <w:rPr>
                <w:rFonts w:ascii="Times New Roman" w:hAnsi="Times New Roman" w:cs="Times New Roman"/>
                <w:sz w:val="15"/>
                <w:szCs w:val="15"/>
                <w:lang w:val="en-US"/>
              </w:rPr>
              <w:t>32</w:t>
            </w:r>
            <w:r w:rsidRPr="00905499">
              <w:rPr>
                <w:rFonts w:ascii="Times New Roman" w:hAnsi="Times New Roman" w:cs="Times New Roman"/>
                <w:sz w:val="15"/>
                <w:szCs w:val="15"/>
                <w:lang w:val="en-US"/>
              </w:rPr>
              <w:t>[-.18</w:t>
            </w:r>
            <w:r w:rsidR="00DE3295" w:rsidRPr="00905499">
              <w:rPr>
                <w:rFonts w:ascii="Times New Roman" w:hAnsi="Times New Roman" w:cs="Times New Roman"/>
                <w:sz w:val="15"/>
                <w:szCs w:val="15"/>
                <w:lang w:val="en-US"/>
              </w:rPr>
              <w:t>4</w:t>
            </w:r>
            <w:r w:rsidRPr="00905499">
              <w:rPr>
                <w:rFonts w:ascii="Times New Roman" w:hAnsi="Times New Roman" w:cs="Times New Roman"/>
                <w:sz w:val="15"/>
                <w:szCs w:val="15"/>
                <w:lang w:val="en-US"/>
              </w:rPr>
              <w:t>, -.0</w:t>
            </w:r>
            <w:r w:rsidR="00DE3295" w:rsidRPr="00905499">
              <w:rPr>
                <w:rFonts w:ascii="Times New Roman" w:hAnsi="Times New Roman" w:cs="Times New Roman"/>
                <w:sz w:val="15"/>
                <w:szCs w:val="15"/>
                <w:lang w:val="en-US"/>
              </w:rPr>
              <w:t>81</w:t>
            </w:r>
            <w:r w:rsidRPr="00905499">
              <w:rPr>
                <w:rFonts w:ascii="Times New Roman" w:hAnsi="Times New Roman" w:cs="Times New Roman"/>
                <w:sz w:val="15"/>
                <w:szCs w:val="15"/>
                <w:lang w:val="en-US"/>
              </w:rPr>
              <w:t>]*</w:t>
            </w:r>
            <w:r w:rsidR="00C84B37" w:rsidRPr="00905499">
              <w:rPr>
                <w:rFonts w:ascii="Times New Roman" w:hAnsi="Times New Roman" w:cs="Times New Roman"/>
                <w:sz w:val="15"/>
                <w:szCs w:val="15"/>
                <w:lang w:val="en-US"/>
              </w:rPr>
              <w:t>**</w:t>
            </w:r>
          </w:p>
        </w:tc>
        <w:tc>
          <w:tcPr>
            <w:tcW w:w="1686" w:type="dxa"/>
            <w:vAlign w:val="center"/>
          </w:tcPr>
          <w:p w14:paraId="4F3C9DA9" w14:textId="1BD2A04A" w:rsidR="00707AB4" w:rsidRPr="00905499" w:rsidRDefault="00707AB4" w:rsidP="006672C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w:t>
            </w:r>
            <w:r w:rsidR="006672C9" w:rsidRPr="00905499">
              <w:rPr>
                <w:rFonts w:ascii="Times New Roman" w:hAnsi="Times New Roman" w:cs="Times New Roman"/>
                <w:sz w:val="15"/>
                <w:szCs w:val="15"/>
                <w:lang w:val="en-US"/>
              </w:rPr>
              <w:t>32</w:t>
            </w:r>
            <w:r w:rsidRPr="00905499">
              <w:rPr>
                <w:rFonts w:ascii="Times New Roman" w:hAnsi="Times New Roman" w:cs="Times New Roman"/>
                <w:sz w:val="15"/>
                <w:szCs w:val="15"/>
                <w:lang w:val="en-US"/>
              </w:rPr>
              <w:t>[-.18</w:t>
            </w:r>
            <w:r w:rsidR="006672C9" w:rsidRPr="00905499">
              <w:rPr>
                <w:rFonts w:ascii="Times New Roman" w:hAnsi="Times New Roman" w:cs="Times New Roman"/>
                <w:sz w:val="15"/>
                <w:szCs w:val="15"/>
                <w:lang w:val="en-US"/>
              </w:rPr>
              <w:t>4</w:t>
            </w:r>
            <w:r w:rsidRPr="00905499">
              <w:rPr>
                <w:rFonts w:ascii="Times New Roman" w:hAnsi="Times New Roman" w:cs="Times New Roman"/>
                <w:sz w:val="15"/>
                <w:szCs w:val="15"/>
                <w:lang w:val="en-US"/>
              </w:rPr>
              <w:t>, -.0</w:t>
            </w:r>
            <w:r w:rsidR="006672C9" w:rsidRPr="00905499">
              <w:rPr>
                <w:rFonts w:ascii="Times New Roman" w:hAnsi="Times New Roman" w:cs="Times New Roman"/>
                <w:sz w:val="15"/>
                <w:szCs w:val="15"/>
                <w:lang w:val="en-US"/>
              </w:rPr>
              <w:t>80</w:t>
            </w:r>
            <w:r w:rsidRPr="00905499">
              <w:rPr>
                <w:rFonts w:ascii="Times New Roman" w:hAnsi="Times New Roman" w:cs="Times New Roman"/>
                <w:sz w:val="15"/>
                <w:szCs w:val="15"/>
                <w:lang w:val="en-US"/>
              </w:rPr>
              <w:t>]*</w:t>
            </w:r>
            <w:r w:rsidR="00255099" w:rsidRPr="00905499">
              <w:rPr>
                <w:rFonts w:ascii="Times New Roman" w:hAnsi="Times New Roman" w:cs="Times New Roman"/>
                <w:sz w:val="15"/>
                <w:szCs w:val="15"/>
                <w:lang w:val="en-US"/>
              </w:rPr>
              <w:t>**</w:t>
            </w:r>
          </w:p>
        </w:tc>
        <w:tc>
          <w:tcPr>
            <w:tcW w:w="1644" w:type="dxa"/>
            <w:vAlign w:val="center"/>
          </w:tcPr>
          <w:p w14:paraId="6379478A" w14:textId="0CDDCE6B" w:rsidR="00707AB4" w:rsidRPr="00905499" w:rsidRDefault="0065017E"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-.134[-.185, -.084]*</w:t>
            </w:r>
            <w:r w:rsidR="00A36905" w:rsidRPr="00905499">
              <w:rPr>
                <w:rFonts w:ascii="Times New Roman" w:hAnsi="Times New Roman" w:cs="Times New Roman"/>
                <w:sz w:val="15"/>
                <w:szCs w:val="15"/>
                <w:lang w:val="en-US"/>
              </w:rPr>
              <w:t>**</w:t>
            </w:r>
          </w:p>
        </w:tc>
        <w:tc>
          <w:tcPr>
            <w:tcW w:w="1639" w:type="dxa"/>
            <w:vAlign w:val="center"/>
          </w:tcPr>
          <w:p w14:paraId="3EBA6F98" w14:textId="219E0F99" w:rsidR="00707AB4" w:rsidRPr="00905499" w:rsidRDefault="0065017E" w:rsidP="0065017E">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-.127[-.177, -.076]*</w:t>
            </w:r>
            <w:r w:rsidR="00A70F8F" w:rsidRPr="00905499">
              <w:rPr>
                <w:rFonts w:ascii="Times New Roman" w:hAnsi="Times New Roman" w:cs="Times New Roman"/>
                <w:sz w:val="15"/>
                <w:szCs w:val="15"/>
                <w:lang w:val="en-US"/>
              </w:rPr>
              <w:t>**</w:t>
            </w:r>
          </w:p>
        </w:tc>
        <w:tc>
          <w:tcPr>
            <w:tcW w:w="1649" w:type="dxa"/>
            <w:vAlign w:val="center"/>
          </w:tcPr>
          <w:p w14:paraId="1157FABB" w14:textId="28A93C22" w:rsidR="00707AB4" w:rsidRPr="00905499" w:rsidRDefault="0065017E"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-.130[-.181,</w:t>
            </w:r>
            <w:r w:rsidR="00AC3751" w:rsidRPr="00905499">
              <w:rPr>
                <w:rFonts w:ascii="Times New Roman" w:hAnsi="Times New Roman" w:cs="Times New Roman"/>
                <w:sz w:val="15"/>
                <w:szCs w:val="15"/>
                <w:lang w:val="en-US"/>
              </w:rPr>
              <w:t xml:space="preserve"> </w:t>
            </w:r>
            <w:r w:rsidRPr="00905499">
              <w:rPr>
                <w:rFonts w:ascii="Times New Roman" w:hAnsi="Times New Roman" w:cs="Times New Roman"/>
                <w:sz w:val="15"/>
                <w:szCs w:val="15"/>
                <w:lang w:val="en-US"/>
              </w:rPr>
              <w:t>-.080]*</w:t>
            </w:r>
            <w:r w:rsidR="00AC3751" w:rsidRPr="00905499">
              <w:rPr>
                <w:rFonts w:ascii="Times New Roman" w:hAnsi="Times New Roman" w:cs="Times New Roman"/>
                <w:sz w:val="15"/>
                <w:szCs w:val="15"/>
                <w:lang w:val="en-US"/>
              </w:rPr>
              <w:t>**</w:t>
            </w:r>
          </w:p>
        </w:tc>
        <w:tc>
          <w:tcPr>
            <w:tcW w:w="1647" w:type="dxa"/>
          </w:tcPr>
          <w:p w14:paraId="773A899C" w14:textId="05035603" w:rsidR="00707AB4" w:rsidRPr="00905499" w:rsidRDefault="00736D17"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-.124[-.175, -.074]*</w:t>
            </w:r>
            <w:r w:rsidR="002C35D9" w:rsidRPr="00905499">
              <w:rPr>
                <w:rFonts w:ascii="Times New Roman" w:hAnsi="Times New Roman" w:cs="Times New Roman"/>
                <w:sz w:val="15"/>
                <w:szCs w:val="15"/>
                <w:lang w:val="en-US"/>
              </w:rPr>
              <w:t>**</w:t>
            </w:r>
          </w:p>
        </w:tc>
      </w:tr>
      <w:tr w:rsidR="00C84B37" w:rsidRPr="00905499" w14:paraId="04020B2C" w14:textId="77777777" w:rsidTr="00C84B37">
        <w:trPr>
          <w:trHeight w:val="241"/>
        </w:trPr>
        <w:tc>
          <w:tcPr>
            <w:tcW w:w="1242" w:type="dxa"/>
          </w:tcPr>
          <w:p w14:paraId="2B1A03D2" w14:textId="73C198B2" w:rsidR="00707AB4" w:rsidRPr="00905499" w:rsidRDefault="00707AB4" w:rsidP="00282687">
            <w:pPr>
              <w:ind w:left="142" w:hanging="142"/>
              <w:rPr>
                <w:sz w:val="15"/>
                <w:szCs w:val="15"/>
                <w:lang w:val="en-US"/>
              </w:rPr>
            </w:pPr>
            <w:r w:rsidRPr="00905499">
              <w:rPr>
                <w:rFonts w:ascii="Times New Roman" w:hAnsi="Times New Roman" w:cs="Times New Roman"/>
                <w:sz w:val="15"/>
                <w:szCs w:val="15"/>
                <w:lang w:val="en-US"/>
              </w:rPr>
              <w:t>State of Residence</w:t>
            </w:r>
            <w:r w:rsidRPr="00905499">
              <w:rPr>
                <w:rFonts w:ascii="Times New Roman" w:hAnsi="Times New Roman" w:cs="Times New Roman"/>
                <w:sz w:val="15"/>
                <w:szCs w:val="15"/>
                <w:vertAlign w:val="superscript"/>
                <w:lang w:val="en-US"/>
              </w:rPr>
              <w:t>1</w:t>
            </w:r>
            <w:r w:rsidRPr="00905499">
              <w:rPr>
                <w:rFonts w:ascii="Times New Roman" w:hAnsi="Times New Roman" w:cs="Times New Roman"/>
                <w:sz w:val="15"/>
                <w:szCs w:val="15"/>
                <w:lang w:val="en-US"/>
              </w:rPr>
              <w:t xml:space="preserve">: </w:t>
            </w:r>
          </w:p>
        </w:tc>
        <w:tc>
          <w:tcPr>
            <w:tcW w:w="1668" w:type="dxa"/>
            <w:vAlign w:val="center"/>
          </w:tcPr>
          <w:p w14:paraId="201160BD" w14:textId="77777777" w:rsidR="00707AB4" w:rsidRPr="00905499" w:rsidRDefault="00707AB4" w:rsidP="00282687">
            <w:pPr>
              <w:ind w:left="142" w:hanging="142"/>
              <w:rPr>
                <w:rFonts w:ascii="Times New Roman" w:hAnsi="Times New Roman" w:cs="Times New Roman"/>
                <w:sz w:val="15"/>
                <w:szCs w:val="15"/>
                <w:lang w:val="en-US"/>
              </w:rPr>
            </w:pPr>
          </w:p>
        </w:tc>
        <w:tc>
          <w:tcPr>
            <w:tcW w:w="1686" w:type="dxa"/>
            <w:vAlign w:val="center"/>
          </w:tcPr>
          <w:p w14:paraId="55B8F725" w14:textId="77777777" w:rsidR="00707AB4" w:rsidRPr="00905499" w:rsidRDefault="00707AB4" w:rsidP="00282687">
            <w:pPr>
              <w:ind w:left="142" w:hanging="142"/>
              <w:rPr>
                <w:rFonts w:ascii="Times New Roman" w:hAnsi="Times New Roman" w:cs="Times New Roman"/>
                <w:sz w:val="15"/>
                <w:szCs w:val="15"/>
                <w:lang w:val="en-US"/>
              </w:rPr>
            </w:pPr>
          </w:p>
        </w:tc>
        <w:tc>
          <w:tcPr>
            <w:tcW w:w="1644" w:type="dxa"/>
            <w:vAlign w:val="center"/>
          </w:tcPr>
          <w:p w14:paraId="33EE2108" w14:textId="77777777" w:rsidR="00707AB4" w:rsidRPr="00905499" w:rsidRDefault="00707AB4" w:rsidP="00282687">
            <w:pPr>
              <w:ind w:left="142" w:hanging="142"/>
              <w:rPr>
                <w:rFonts w:ascii="Times New Roman" w:hAnsi="Times New Roman" w:cs="Times New Roman"/>
                <w:sz w:val="15"/>
                <w:szCs w:val="15"/>
                <w:lang w:val="en-US"/>
              </w:rPr>
            </w:pPr>
          </w:p>
        </w:tc>
        <w:tc>
          <w:tcPr>
            <w:tcW w:w="1639" w:type="dxa"/>
            <w:vAlign w:val="center"/>
          </w:tcPr>
          <w:p w14:paraId="5175FA89" w14:textId="77777777" w:rsidR="00707AB4" w:rsidRPr="00905499" w:rsidRDefault="00707AB4" w:rsidP="00282687">
            <w:pPr>
              <w:ind w:left="142" w:hanging="142"/>
              <w:rPr>
                <w:rFonts w:ascii="Times New Roman" w:hAnsi="Times New Roman" w:cs="Times New Roman"/>
                <w:sz w:val="15"/>
                <w:szCs w:val="15"/>
                <w:lang w:val="en-US"/>
              </w:rPr>
            </w:pPr>
          </w:p>
        </w:tc>
        <w:tc>
          <w:tcPr>
            <w:tcW w:w="1649" w:type="dxa"/>
            <w:vAlign w:val="center"/>
          </w:tcPr>
          <w:p w14:paraId="36193050" w14:textId="77777777" w:rsidR="00707AB4" w:rsidRPr="00905499" w:rsidRDefault="00707AB4" w:rsidP="00282687">
            <w:pPr>
              <w:ind w:left="142" w:hanging="142"/>
              <w:rPr>
                <w:rFonts w:ascii="Times New Roman" w:hAnsi="Times New Roman" w:cs="Times New Roman"/>
                <w:sz w:val="15"/>
                <w:szCs w:val="15"/>
                <w:lang w:val="en-US"/>
              </w:rPr>
            </w:pPr>
          </w:p>
        </w:tc>
        <w:tc>
          <w:tcPr>
            <w:tcW w:w="1647" w:type="dxa"/>
          </w:tcPr>
          <w:p w14:paraId="7F5F3F08" w14:textId="77777777" w:rsidR="00707AB4" w:rsidRPr="00905499" w:rsidRDefault="00707AB4" w:rsidP="00282687">
            <w:pPr>
              <w:ind w:left="142" w:hanging="142"/>
              <w:rPr>
                <w:rFonts w:ascii="Times New Roman" w:hAnsi="Times New Roman" w:cs="Times New Roman"/>
                <w:sz w:val="15"/>
                <w:szCs w:val="15"/>
                <w:lang w:val="en-US"/>
              </w:rPr>
            </w:pPr>
          </w:p>
        </w:tc>
      </w:tr>
      <w:tr w:rsidR="00C84B37" w:rsidRPr="00905499" w14:paraId="13C427B9" w14:textId="77777777" w:rsidTr="00C84B37">
        <w:trPr>
          <w:trHeight w:val="241"/>
        </w:trPr>
        <w:tc>
          <w:tcPr>
            <w:tcW w:w="1242" w:type="dxa"/>
          </w:tcPr>
          <w:p w14:paraId="2FD2EA7A" w14:textId="2BEFDFB1" w:rsidR="00707AB4" w:rsidRPr="00905499" w:rsidRDefault="00707AB4" w:rsidP="00282687">
            <w:pPr>
              <w:ind w:left="142" w:hanging="142"/>
              <w:rPr>
                <w:sz w:val="15"/>
                <w:szCs w:val="15"/>
                <w:lang w:val="en-US"/>
              </w:rPr>
            </w:pPr>
            <w:r w:rsidRPr="00905499">
              <w:rPr>
                <w:rFonts w:ascii="Times New Roman" w:hAnsi="Times New Roman" w:cs="Times New Roman"/>
                <w:sz w:val="15"/>
                <w:szCs w:val="15"/>
                <w:lang w:val="en-US"/>
              </w:rPr>
              <w:t xml:space="preserve">    NSW</w:t>
            </w:r>
          </w:p>
        </w:tc>
        <w:tc>
          <w:tcPr>
            <w:tcW w:w="1668" w:type="dxa"/>
            <w:vAlign w:val="center"/>
          </w:tcPr>
          <w:p w14:paraId="497A08BC" w14:textId="0E4104F4" w:rsidR="00707AB4" w:rsidRPr="00905499" w:rsidRDefault="00707AB4" w:rsidP="00DE3295">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w:t>
            </w:r>
            <w:r w:rsidR="00DE3295" w:rsidRPr="00905499">
              <w:rPr>
                <w:rFonts w:ascii="Times New Roman" w:hAnsi="Times New Roman" w:cs="Times New Roman"/>
                <w:sz w:val="15"/>
                <w:szCs w:val="15"/>
                <w:lang w:val="en-US"/>
              </w:rPr>
              <w:t>90</w:t>
            </w:r>
            <w:r w:rsidRPr="00905499">
              <w:rPr>
                <w:rFonts w:ascii="Times New Roman" w:hAnsi="Times New Roman" w:cs="Times New Roman"/>
                <w:sz w:val="15"/>
                <w:szCs w:val="15"/>
                <w:lang w:val="en-US"/>
              </w:rPr>
              <w:t>[-.0</w:t>
            </w:r>
            <w:r w:rsidR="00DE3295" w:rsidRPr="00905499">
              <w:rPr>
                <w:rFonts w:ascii="Times New Roman" w:hAnsi="Times New Roman" w:cs="Times New Roman"/>
                <w:sz w:val="15"/>
                <w:szCs w:val="15"/>
                <w:lang w:val="en-US"/>
              </w:rPr>
              <w:t>04</w:t>
            </w:r>
            <w:r w:rsidRPr="00905499">
              <w:rPr>
                <w:rFonts w:ascii="Times New Roman" w:hAnsi="Times New Roman" w:cs="Times New Roman"/>
                <w:sz w:val="15"/>
                <w:szCs w:val="15"/>
                <w:lang w:val="en-US"/>
              </w:rPr>
              <w:t>, .3</w:t>
            </w:r>
            <w:r w:rsidR="00DE3295" w:rsidRPr="00905499">
              <w:rPr>
                <w:rFonts w:ascii="Times New Roman" w:hAnsi="Times New Roman" w:cs="Times New Roman"/>
                <w:sz w:val="15"/>
                <w:szCs w:val="15"/>
                <w:lang w:val="en-US"/>
              </w:rPr>
              <w:t>84</w:t>
            </w:r>
            <w:r w:rsidRPr="00905499">
              <w:rPr>
                <w:rFonts w:ascii="Times New Roman" w:hAnsi="Times New Roman" w:cs="Times New Roman"/>
                <w:sz w:val="15"/>
                <w:szCs w:val="15"/>
                <w:lang w:val="en-US"/>
              </w:rPr>
              <w:t>]</w:t>
            </w:r>
          </w:p>
        </w:tc>
        <w:tc>
          <w:tcPr>
            <w:tcW w:w="1686" w:type="dxa"/>
            <w:vAlign w:val="center"/>
          </w:tcPr>
          <w:p w14:paraId="69ADF9E6" w14:textId="3BC2BB89" w:rsidR="00707AB4" w:rsidRPr="00905499" w:rsidRDefault="00707AB4" w:rsidP="006672C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w:t>
            </w:r>
            <w:r w:rsidR="006672C9" w:rsidRPr="00905499">
              <w:rPr>
                <w:rFonts w:ascii="Times New Roman" w:hAnsi="Times New Roman" w:cs="Times New Roman"/>
                <w:sz w:val="15"/>
                <w:szCs w:val="15"/>
                <w:lang w:val="en-US"/>
              </w:rPr>
              <w:t>85</w:t>
            </w:r>
            <w:r w:rsidRPr="00905499">
              <w:rPr>
                <w:rFonts w:ascii="Times New Roman" w:hAnsi="Times New Roman" w:cs="Times New Roman"/>
                <w:sz w:val="15"/>
                <w:szCs w:val="15"/>
                <w:lang w:val="en-US"/>
              </w:rPr>
              <w:t>[-.0</w:t>
            </w:r>
            <w:r w:rsidR="006672C9" w:rsidRPr="00905499">
              <w:rPr>
                <w:rFonts w:ascii="Times New Roman" w:hAnsi="Times New Roman" w:cs="Times New Roman"/>
                <w:sz w:val="15"/>
                <w:szCs w:val="15"/>
                <w:lang w:val="en-US"/>
              </w:rPr>
              <w:t>008</w:t>
            </w:r>
            <w:r w:rsidRPr="00905499">
              <w:rPr>
                <w:rFonts w:ascii="Times New Roman" w:hAnsi="Times New Roman" w:cs="Times New Roman"/>
                <w:sz w:val="15"/>
                <w:szCs w:val="15"/>
                <w:lang w:val="en-US"/>
              </w:rPr>
              <w:t>, .3</w:t>
            </w:r>
            <w:r w:rsidR="006672C9" w:rsidRPr="00905499">
              <w:rPr>
                <w:rFonts w:ascii="Times New Roman" w:hAnsi="Times New Roman" w:cs="Times New Roman"/>
                <w:sz w:val="15"/>
                <w:szCs w:val="15"/>
                <w:lang w:val="en-US"/>
              </w:rPr>
              <w:t>79</w:t>
            </w:r>
            <w:r w:rsidRPr="00905499">
              <w:rPr>
                <w:rFonts w:ascii="Times New Roman" w:hAnsi="Times New Roman" w:cs="Times New Roman"/>
                <w:sz w:val="15"/>
                <w:szCs w:val="15"/>
                <w:lang w:val="en-US"/>
              </w:rPr>
              <w:t>]</w:t>
            </w:r>
          </w:p>
        </w:tc>
        <w:tc>
          <w:tcPr>
            <w:tcW w:w="1644" w:type="dxa"/>
            <w:vAlign w:val="center"/>
          </w:tcPr>
          <w:p w14:paraId="5258D215" w14:textId="31E11C85" w:rsidR="00707AB4" w:rsidRPr="00905499" w:rsidRDefault="0065017E"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-.177[-.324</w:t>
            </w:r>
            <w:proofErr w:type="gramStart"/>
            <w:r w:rsidRPr="00905499">
              <w:rPr>
                <w:rFonts w:ascii="Times New Roman" w:hAnsi="Times New Roman" w:cs="Times New Roman"/>
                <w:sz w:val="15"/>
                <w:szCs w:val="15"/>
                <w:lang w:val="en-US"/>
              </w:rPr>
              <w:t>,.</w:t>
            </w:r>
            <w:proofErr w:type="gramEnd"/>
            <w:r w:rsidRPr="00905499">
              <w:rPr>
                <w:rFonts w:ascii="Times New Roman" w:hAnsi="Times New Roman" w:cs="Times New Roman"/>
                <w:sz w:val="15"/>
                <w:szCs w:val="15"/>
                <w:lang w:val="en-US"/>
              </w:rPr>
              <w:t>090]</w:t>
            </w:r>
          </w:p>
        </w:tc>
        <w:tc>
          <w:tcPr>
            <w:tcW w:w="1639" w:type="dxa"/>
            <w:vAlign w:val="center"/>
          </w:tcPr>
          <w:p w14:paraId="34804E30" w14:textId="2DBD9AD6" w:rsidR="00707AB4" w:rsidRPr="00905499" w:rsidRDefault="0065017E"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-.037[-.242, .168]</w:t>
            </w:r>
          </w:p>
        </w:tc>
        <w:tc>
          <w:tcPr>
            <w:tcW w:w="1649" w:type="dxa"/>
            <w:vAlign w:val="center"/>
          </w:tcPr>
          <w:p w14:paraId="39446A1E" w14:textId="517C4A7A" w:rsidR="00707AB4" w:rsidRPr="00905499" w:rsidRDefault="0065017E"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-.091[-.292, .109]</w:t>
            </w:r>
          </w:p>
        </w:tc>
        <w:tc>
          <w:tcPr>
            <w:tcW w:w="1647" w:type="dxa"/>
          </w:tcPr>
          <w:p w14:paraId="10A7E335" w14:textId="39912599" w:rsidR="00707AB4" w:rsidRPr="00905499" w:rsidRDefault="00736D17"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-.015[-.216, .186]</w:t>
            </w:r>
          </w:p>
        </w:tc>
      </w:tr>
      <w:tr w:rsidR="00C84B37" w:rsidRPr="00905499" w14:paraId="324B6A01" w14:textId="77777777" w:rsidTr="00C84B37">
        <w:trPr>
          <w:trHeight w:val="241"/>
        </w:trPr>
        <w:tc>
          <w:tcPr>
            <w:tcW w:w="1242" w:type="dxa"/>
          </w:tcPr>
          <w:p w14:paraId="56D89CAE" w14:textId="4917A80F" w:rsidR="00707AB4" w:rsidRPr="00905499" w:rsidRDefault="00707AB4" w:rsidP="00282687">
            <w:pPr>
              <w:ind w:left="142" w:hanging="142"/>
              <w:rPr>
                <w:sz w:val="15"/>
                <w:szCs w:val="15"/>
                <w:lang w:val="en-US"/>
              </w:rPr>
            </w:pPr>
            <w:r w:rsidRPr="00905499">
              <w:rPr>
                <w:rFonts w:ascii="Times New Roman" w:hAnsi="Times New Roman" w:cs="Times New Roman"/>
                <w:sz w:val="15"/>
                <w:szCs w:val="15"/>
                <w:lang w:val="en-US"/>
              </w:rPr>
              <w:t xml:space="preserve">    VIC</w:t>
            </w:r>
          </w:p>
        </w:tc>
        <w:tc>
          <w:tcPr>
            <w:tcW w:w="1668" w:type="dxa"/>
            <w:vAlign w:val="center"/>
          </w:tcPr>
          <w:p w14:paraId="4EFFB30D" w14:textId="202FD482" w:rsidR="00707AB4" w:rsidRPr="00905499" w:rsidRDefault="00707AB4" w:rsidP="00DE3295">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w:t>
            </w:r>
            <w:r w:rsidR="00DE3295" w:rsidRPr="00905499">
              <w:rPr>
                <w:rFonts w:ascii="Times New Roman" w:hAnsi="Times New Roman" w:cs="Times New Roman"/>
                <w:sz w:val="15"/>
                <w:szCs w:val="15"/>
                <w:lang w:val="en-US"/>
              </w:rPr>
              <w:t>707</w:t>
            </w:r>
            <w:r w:rsidRPr="00905499">
              <w:rPr>
                <w:rFonts w:ascii="Times New Roman" w:hAnsi="Times New Roman" w:cs="Times New Roman"/>
                <w:sz w:val="15"/>
                <w:szCs w:val="15"/>
                <w:lang w:val="en-US"/>
              </w:rPr>
              <w:t>[.</w:t>
            </w:r>
            <w:r w:rsidR="00DE3295" w:rsidRPr="00905499">
              <w:rPr>
                <w:rFonts w:ascii="Times New Roman" w:hAnsi="Times New Roman" w:cs="Times New Roman"/>
                <w:sz w:val="15"/>
                <w:szCs w:val="15"/>
                <w:lang w:val="en-US"/>
              </w:rPr>
              <w:t>509</w:t>
            </w:r>
            <w:r w:rsidRPr="00905499">
              <w:rPr>
                <w:rFonts w:ascii="Times New Roman" w:hAnsi="Times New Roman" w:cs="Times New Roman"/>
                <w:sz w:val="15"/>
                <w:szCs w:val="15"/>
                <w:lang w:val="en-US"/>
              </w:rPr>
              <w:t>, .</w:t>
            </w:r>
            <w:r w:rsidR="00DE3295" w:rsidRPr="00905499">
              <w:rPr>
                <w:rFonts w:ascii="Times New Roman" w:hAnsi="Times New Roman" w:cs="Times New Roman"/>
                <w:sz w:val="15"/>
                <w:szCs w:val="15"/>
                <w:lang w:val="en-US"/>
              </w:rPr>
              <w:t>905</w:t>
            </w:r>
            <w:r w:rsidRPr="00905499">
              <w:rPr>
                <w:rFonts w:ascii="Times New Roman" w:hAnsi="Times New Roman" w:cs="Times New Roman"/>
                <w:sz w:val="15"/>
                <w:szCs w:val="15"/>
                <w:lang w:val="en-US"/>
              </w:rPr>
              <w:t>]*</w:t>
            </w:r>
            <w:r w:rsidR="00C84B37" w:rsidRPr="00905499">
              <w:rPr>
                <w:rFonts w:ascii="Times New Roman" w:hAnsi="Times New Roman" w:cs="Times New Roman"/>
                <w:sz w:val="15"/>
                <w:szCs w:val="15"/>
                <w:lang w:val="en-US"/>
              </w:rPr>
              <w:t>**</w:t>
            </w:r>
          </w:p>
        </w:tc>
        <w:tc>
          <w:tcPr>
            <w:tcW w:w="1686" w:type="dxa"/>
            <w:vAlign w:val="center"/>
          </w:tcPr>
          <w:p w14:paraId="4284CC85" w14:textId="27EE256E" w:rsidR="00707AB4" w:rsidRPr="00905499" w:rsidRDefault="00707AB4" w:rsidP="006672C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w:t>
            </w:r>
            <w:r w:rsidR="006672C9" w:rsidRPr="00905499">
              <w:rPr>
                <w:rFonts w:ascii="Times New Roman" w:hAnsi="Times New Roman" w:cs="Times New Roman"/>
                <w:sz w:val="15"/>
                <w:szCs w:val="15"/>
                <w:lang w:val="en-US"/>
              </w:rPr>
              <w:t>706</w:t>
            </w:r>
            <w:r w:rsidRPr="00905499">
              <w:rPr>
                <w:rFonts w:ascii="Times New Roman" w:hAnsi="Times New Roman" w:cs="Times New Roman"/>
                <w:sz w:val="15"/>
                <w:szCs w:val="15"/>
                <w:lang w:val="en-US"/>
              </w:rPr>
              <w:t>[.</w:t>
            </w:r>
            <w:r w:rsidR="006672C9" w:rsidRPr="00905499">
              <w:rPr>
                <w:rFonts w:ascii="Times New Roman" w:hAnsi="Times New Roman" w:cs="Times New Roman"/>
                <w:sz w:val="15"/>
                <w:szCs w:val="15"/>
                <w:lang w:val="en-US"/>
              </w:rPr>
              <w:t>508</w:t>
            </w:r>
            <w:r w:rsidRPr="00905499">
              <w:rPr>
                <w:rFonts w:ascii="Times New Roman" w:hAnsi="Times New Roman" w:cs="Times New Roman"/>
                <w:sz w:val="15"/>
                <w:szCs w:val="15"/>
                <w:lang w:val="en-US"/>
              </w:rPr>
              <w:t>, .</w:t>
            </w:r>
            <w:r w:rsidR="006672C9" w:rsidRPr="00905499">
              <w:rPr>
                <w:rFonts w:ascii="Times New Roman" w:hAnsi="Times New Roman" w:cs="Times New Roman"/>
                <w:sz w:val="15"/>
                <w:szCs w:val="15"/>
                <w:lang w:val="en-US"/>
              </w:rPr>
              <w:t>903</w:t>
            </w:r>
            <w:r w:rsidRPr="00905499">
              <w:rPr>
                <w:rFonts w:ascii="Times New Roman" w:hAnsi="Times New Roman" w:cs="Times New Roman"/>
                <w:sz w:val="15"/>
                <w:szCs w:val="15"/>
                <w:lang w:val="en-US"/>
              </w:rPr>
              <w:t>]*</w:t>
            </w:r>
            <w:r w:rsidR="00255099" w:rsidRPr="00905499">
              <w:rPr>
                <w:rFonts w:ascii="Times New Roman" w:hAnsi="Times New Roman" w:cs="Times New Roman"/>
                <w:sz w:val="15"/>
                <w:szCs w:val="15"/>
                <w:lang w:val="en-US"/>
              </w:rPr>
              <w:t>**</w:t>
            </w:r>
          </w:p>
        </w:tc>
        <w:tc>
          <w:tcPr>
            <w:tcW w:w="1644" w:type="dxa"/>
            <w:vAlign w:val="center"/>
          </w:tcPr>
          <w:p w14:paraId="7BA6D923" w14:textId="3444A60E" w:rsidR="00707AB4" w:rsidRPr="00905499" w:rsidRDefault="0065017E"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.458[.238, .678]*</w:t>
            </w:r>
            <w:r w:rsidR="00A36905" w:rsidRPr="00905499">
              <w:rPr>
                <w:rFonts w:ascii="Times New Roman" w:hAnsi="Times New Roman" w:cs="Times New Roman"/>
                <w:sz w:val="15"/>
                <w:szCs w:val="15"/>
                <w:lang w:val="en-US"/>
              </w:rPr>
              <w:t>**</w:t>
            </w:r>
          </w:p>
        </w:tc>
        <w:tc>
          <w:tcPr>
            <w:tcW w:w="1639" w:type="dxa"/>
            <w:vAlign w:val="center"/>
          </w:tcPr>
          <w:p w14:paraId="4AE51737" w14:textId="47C91269" w:rsidR="00707AB4" w:rsidRPr="00905499" w:rsidRDefault="0065017E"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.531[.314, .748]*</w:t>
            </w:r>
            <w:r w:rsidR="00A70F8F" w:rsidRPr="00905499">
              <w:rPr>
                <w:rFonts w:ascii="Times New Roman" w:hAnsi="Times New Roman" w:cs="Times New Roman"/>
                <w:sz w:val="15"/>
                <w:szCs w:val="15"/>
                <w:lang w:val="en-US"/>
              </w:rPr>
              <w:t>**</w:t>
            </w:r>
          </w:p>
        </w:tc>
        <w:tc>
          <w:tcPr>
            <w:tcW w:w="1649" w:type="dxa"/>
            <w:vAlign w:val="center"/>
          </w:tcPr>
          <w:p w14:paraId="51B86A6D" w14:textId="6CE298BA" w:rsidR="00707AB4" w:rsidRPr="00905499" w:rsidRDefault="0065017E" w:rsidP="0065017E">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.391[.174, .609]*</w:t>
            </w:r>
            <w:r w:rsidR="00CF7EB6" w:rsidRPr="00905499">
              <w:rPr>
                <w:rFonts w:ascii="Times New Roman" w:hAnsi="Times New Roman" w:cs="Times New Roman"/>
                <w:sz w:val="15"/>
                <w:szCs w:val="15"/>
                <w:lang w:val="en-US"/>
              </w:rPr>
              <w:t>**</w:t>
            </w:r>
          </w:p>
        </w:tc>
        <w:tc>
          <w:tcPr>
            <w:tcW w:w="1647" w:type="dxa"/>
          </w:tcPr>
          <w:p w14:paraId="2AD7C272" w14:textId="47FE0919" w:rsidR="00707AB4" w:rsidRPr="00905499" w:rsidRDefault="00736D17"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.466[.249, .683]*</w:t>
            </w:r>
            <w:r w:rsidR="00147911" w:rsidRPr="00905499">
              <w:rPr>
                <w:rFonts w:ascii="Times New Roman" w:hAnsi="Times New Roman" w:cs="Times New Roman"/>
                <w:sz w:val="15"/>
                <w:szCs w:val="15"/>
                <w:lang w:val="en-US"/>
              </w:rPr>
              <w:t>**</w:t>
            </w:r>
          </w:p>
        </w:tc>
      </w:tr>
      <w:tr w:rsidR="00C84B37" w:rsidRPr="00905499" w14:paraId="497E68B4" w14:textId="77777777" w:rsidTr="00C84B37">
        <w:trPr>
          <w:trHeight w:val="241"/>
        </w:trPr>
        <w:tc>
          <w:tcPr>
            <w:tcW w:w="1242" w:type="dxa"/>
          </w:tcPr>
          <w:p w14:paraId="1A80C849" w14:textId="61661439" w:rsidR="00707AB4" w:rsidRPr="00905499" w:rsidRDefault="00707AB4" w:rsidP="00282687">
            <w:pPr>
              <w:ind w:left="142" w:hanging="142"/>
              <w:rPr>
                <w:sz w:val="15"/>
                <w:szCs w:val="15"/>
                <w:lang w:val="en-US"/>
              </w:rPr>
            </w:pPr>
            <w:r w:rsidRPr="00905499">
              <w:rPr>
                <w:rFonts w:ascii="Times New Roman" w:hAnsi="Times New Roman" w:cs="Times New Roman"/>
                <w:sz w:val="15"/>
                <w:szCs w:val="15"/>
                <w:lang w:val="en-US"/>
              </w:rPr>
              <w:t xml:space="preserve">    QLD</w:t>
            </w:r>
          </w:p>
        </w:tc>
        <w:tc>
          <w:tcPr>
            <w:tcW w:w="1668" w:type="dxa"/>
            <w:vAlign w:val="center"/>
          </w:tcPr>
          <w:p w14:paraId="59904E2B" w14:textId="0C1546F2" w:rsidR="00707AB4" w:rsidRPr="00905499" w:rsidRDefault="00707AB4" w:rsidP="00DE3295">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w:t>
            </w:r>
            <w:r w:rsidR="00DE3295" w:rsidRPr="00905499">
              <w:rPr>
                <w:rFonts w:ascii="Times New Roman" w:hAnsi="Times New Roman" w:cs="Times New Roman"/>
                <w:sz w:val="15"/>
                <w:szCs w:val="15"/>
                <w:lang w:val="en-US"/>
              </w:rPr>
              <w:t>93</w:t>
            </w:r>
            <w:r w:rsidRPr="00905499">
              <w:rPr>
                <w:rFonts w:ascii="Times New Roman" w:hAnsi="Times New Roman" w:cs="Times New Roman"/>
                <w:sz w:val="15"/>
                <w:szCs w:val="15"/>
                <w:lang w:val="en-US"/>
              </w:rPr>
              <w:t>[-.0</w:t>
            </w:r>
            <w:r w:rsidR="00DE3295" w:rsidRPr="00905499">
              <w:rPr>
                <w:rFonts w:ascii="Times New Roman" w:hAnsi="Times New Roman" w:cs="Times New Roman"/>
                <w:sz w:val="15"/>
                <w:szCs w:val="15"/>
                <w:lang w:val="en-US"/>
              </w:rPr>
              <w:t>37</w:t>
            </w:r>
            <w:r w:rsidRPr="00905499">
              <w:rPr>
                <w:rFonts w:ascii="Times New Roman" w:hAnsi="Times New Roman" w:cs="Times New Roman"/>
                <w:sz w:val="15"/>
                <w:szCs w:val="15"/>
                <w:lang w:val="en-US"/>
              </w:rPr>
              <w:t>, .</w:t>
            </w:r>
            <w:r w:rsidR="00DE3295" w:rsidRPr="00905499">
              <w:rPr>
                <w:rFonts w:ascii="Times New Roman" w:hAnsi="Times New Roman" w:cs="Times New Roman"/>
                <w:sz w:val="15"/>
                <w:szCs w:val="15"/>
                <w:lang w:val="en-US"/>
              </w:rPr>
              <w:t>423</w:t>
            </w:r>
            <w:r w:rsidRPr="00905499">
              <w:rPr>
                <w:rFonts w:ascii="Times New Roman" w:hAnsi="Times New Roman" w:cs="Times New Roman"/>
                <w:sz w:val="15"/>
                <w:szCs w:val="15"/>
                <w:lang w:val="en-US"/>
              </w:rPr>
              <w:t>]</w:t>
            </w:r>
          </w:p>
        </w:tc>
        <w:tc>
          <w:tcPr>
            <w:tcW w:w="1686" w:type="dxa"/>
            <w:vAlign w:val="center"/>
          </w:tcPr>
          <w:p w14:paraId="1013A390" w14:textId="47354DE6" w:rsidR="00707AB4" w:rsidRPr="00905499" w:rsidRDefault="00707AB4" w:rsidP="006672C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w:t>
            </w:r>
            <w:r w:rsidR="006672C9" w:rsidRPr="00905499">
              <w:rPr>
                <w:rFonts w:ascii="Times New Roman" w:hAnsi="Times New Roman" w:cs="Times New Roman"/>
                <w:sz w:val="15"/>
                <w:szCs w:val="15"/>
                <w:lang w:val="en-US"/>
              </w:rPr>
              <w:t>200</w:t>
            </w:r>
            <w:r w:rsidRPr="00905499">
              <w:rPr>
                <w:rFonts w:ascii="Times New Roman" w:hAnsi="Times New Roman" w:cs="Times New Roman"/>
                <w:sz w:val="15"/>
                <w:szCs w:val="15"/>
                <w:lang w:val="en-US"/>
              </w:rPr>
              <w:t>[-.0</w:t>
            </w:r>
            <w:r w:rsidR="006672C9" w:rsidRPr="00905499">
              <w:rPr>
                <w:rFonts w:ascii="Times New Roman" w:hAnsi="Times New Roman" w:cs="Times New Roman"/>
                <w:sz w:val="15"/>
                <w:szCs w:val="15"/>
                <w:lang w:val="en-US"/>
              </w:rPr>
              <w:t>30</w:t>
            </w:r>
            <w:r w:rsidRPr="00905499">
              <w:rPr>
                <w:rFonts w:ascii="Times New Roman" w:hAnsi="Times New Roman" w:cs="Times New Roman"/>
                <w:sz w:val="15"/>
                <w:szCs w:val="15"/>
                <w:lang w:val="en-US"/>
              </w:rPr>
              <w:t>, .</w:t>
            </w:r>
            <w:r w:rsidR="006672C9" w:rsidRPr="00905499">
              <w:rPr>
                <w:rFonts w:ascii="Times New Roman" w:hAnsi="Times New Roman" w:cs="Times New Roman"/>
                <w:sz w:val="15"/>
                <w:szCs w:val="15"/>
                <w:lang w:val="en-US"/>
              </w:rPr>
              <w:t>429</w:t>
            </w:r>
            <w:r w:rsidRPr="00905499">
              <w:rPr>
                <w:rFonts w:ascii="Times New Roman" w:hAnsi="Times New Roman" w:cs="Times New Roman"/>
                <w:sz w:val="15"/>
                <w:szCs w:val="15"/>
                <w:lang w:val="en-US"/>
              </w:rPr>
              <w:t>]</w:t>
            </w:r>
          </w:p>
        </w:tc>
        <w:tc>
          <w:tcPr>
            <w:tcW w:w="1644" w:type="dxa"/>
            <w:vAlign w:val="center"/>
          </w:tcPr>
          <w:p w14:paraId="5C7679EB" w14:textId="0F845D55" w:rsidR="00707AB4" w:rsidRPr="00905499" w:rsidRDefault="0065017E"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.008[-.231</w:t>
            </w:r>
            <w:proofErr w:type="gramStart"/>
            <w:r w:rsidRPr="00905499">
              <w:rPr>
                <w:rFonts w:ascii="Times New Roman" w:hAnsi="Times New Roman" w:cs="Times New Roman"/>
                <w:sz w:val="15"/>
                <w:szCs w:val="15"/>
                <w:lang w:val="en-US"/>
              </w:rPr>
              <w:t>,.</w:t>
            </w:r>
            <w:proofErr w:type="gramEnd"/>
            <w:r w:rsidRPr="00905499">
              <w:rPr>
                <w:rFonts w:ascii="Times New Roman" w:hAnsi="Times New Roman" w:cs="Times New Roman"/>
                <w:sz w:val="15"/>
                <w:szCs w:val="15"/>
                <w:lang w:val="en-US"/>
              </w:rPr>
              <w:t>246]</w:t>
            </w:r>
          </w:p>
        </w:tc>
        <w:tc>
          <w:tcPr>
            <w:tcW w:w="1639" w:type="dxa"/>
            <w:vAlign w:val="center"/>
          </w:tcPr>
          <w:p w14:paraId="48300576" w14:textId="705C497F" w:rsidR="00707AB4" w:rsidRPr="00905499" w:rsidRDefault="0065017E"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.092[-.145, .328]</w:t>
            </w:r>
          </w:p>
        </w:tc>
        <w:tc>
          <w:tcPr>
            <w:tcW w:w="1649" w:type="dxa"/>
            <w:vAlign w:val="center"/>
          </w:tcPr>
          <w:p w14:paraId="754E5894" w14:textId="2BAED1B9" w:rsidR="00707AB4" w:rsidRPr="00905499" w:rsidRDefault="0065017E" w:rsidP="0065017E">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-.065[-.303, .174]</w:t>
            </w:r>
          </w:p>
        </w:tc>
        <w:tc>
          <w:tcPr>
            <w:tcW w:w="1647" w:type="dxa"/>
          </w:tcPr>
          <w:p w14:paraId="59A9285D" w14:textId="337FED8B" w:rsidR="00707AB4" w:rsidRPr="00905499" w:rsidRDefault="00736D17"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.027[-.208, .262]</w:t>
            </w:r>
          </w:p>
        </w:tc>
      </w:tr>
      <w:tr w:rsidR="00C84B37" w:rsidRPr="00905499" w14:paraId="2C58635B" w14:textId="77777777" w:rsidTr="00C84B37">
        <w:trPr>
          <w:trHeight w:val="241"/>
        </w:trPr>
        <w:tc>
          <w:tcPr>
            <w:tcW w:w="1242" w:type="dxa"/>
          </w:tcPr>
          <w:p w14:paraId="284C67B7" w14:textId="6412AD37" w:rsidR="00707AB4" w:rsidRPr="00905499" w:rsidRDefault="00707AB4" w:rsidP="00282687">
            <w:pPr>
              <w:ind w:left="142" w:hanging="142"/>
              <w:rPr>
                <w:sz w:val="15"/>
                <w:szCs w:val="15"/>
                <w:lang w:val="en-US"/>
              </w:rPr>
            </w:pPr>
            <w:r w:rsidRPr="00905499">
              <w:rPr>
                <w:rFonts w:ascii="Times New Roman" w:hAnsi="Times New Roman" w:cs="Times New Roman"/>
                <w:sz w:val="15"/>
                <w:szCs w:val="15"/>
                <w:lang w:val="en-US"/>
              </w:rPr>
              <w:t xml:space="preserve">    SA</w:t>
            </w:r>
          </w:p>
        </w:tc>
        <w:tc>
          <w:tcPr>
            <w:tcW w:w="1668" w:type="dxa"/>
            <w:vAlign w:val="center"/>
          </w:tcPr>
          <w:p w14:paraId="16339261" w14:textId="564FEBEB" w:rsidR="00707AB4" w:rsidRPr="00905499" w:rsidRDefault="00707AB4" w:rsidP="00DE3295">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.2</w:t>
            </w:r>
            <w:r w:rsidR="00DE3295" w:rsidRPr="00905499">
              <w:rPr>
                <w:rFonts w:ascii="Times New Roman" w:hAnsi="Times New Roman" w:cs="Times New Roman"/>
                <w:sz w:val="15"/>
                <w:szCs w:val="15"/>
                <w:lang w:val="en-US"/>
              </w:rPr>
              <w:t>57</w:t>
            </w:r>
            <w:r w:rsidRPr="00905499">
              <w:rPr>
                <w:rFonts w:ascii="Times New Roman" w:hAnsi="Times New Roman" w:cs="Times New Roman"/>
                <w:sz w:val="15"/>
                <w:szCs w:val="15"/>
                <w:lang w:val="en-US"/>
              </w:rPr>
              <w:t>[.</w:t>
            </w:r>
            <w:r w:rsidR="00DE3295" w:rsidRPr="00905499">
              <w:rPr>
                <w:rFonts w:ascii="Times New Roman" w:hAnsi="Times New Roman" w:cs="Times New Roman"/>
                <w:sz w:val="15"/>
                <w:szCs w:val="15"/>
                <w:lang w:val="en-US"/>
              </w:rPr>
              <w:t>050</w:t>
            </w:r>
            <w:r w:rsidRPr="00905499">
              <w:rPr>
                <w:rFonts w:ascii="Times New Roman" w:hAnsi="Times New Roman" w:cs="Times New Roman"/>
                <w:sz w:val="15"/>
                <w:szCs w:val="15"/>
                <w:lang w:val="en-US"/>
              </w:rPr>
              <w:t>, .4</w:t>
            </w:r>
            <w:r w:rsidR="00DE3295" w:rsidRPr="00905499">
              <w:rPr>
                <w:rFonts w:ascii="Times New Roman" w:hAnsi="Times New Roman" w:cs="Times New Roman"/>
                <w:sz w:val="15"/>
                <w:szCs w:val="15"/>
                <w:lang w:val="en-US"/>
              </w:rPr>
              <w:t>64</w:t>
            </w:r>
            <w:r w:rsidRPr="00905499">
              <w:rPr>
                <w:rFonts w:ascii="Times New Roman" w:hAnsi="Times New Roman" w:cs="Times New Roman"/>
                <w:sz w:val="15"/>
                <w:szCs w:val="15"/>
                <w:lang w:val="en-US"/>
              </w:rPr>
              <w:t>]</w:t>
            </w:r>
            <w:r w:rsidR="00DE3295" w:rsidRPr="00905499">
              <w:rPr>
                <w:rFonts w:ascii="Times New Roman" w:hAnsi="Times New Roman" w:cs="Times New Roman"/>
                <w:sz w:val="15"/>
                <w:szCs w:val="15"/>
                <w:lang w:val="en-US"/>
              </w:rPr>
              <w:t>*</w:t>
            </w:r>
          </w:p>
        </w:tc>
        <w:tc>
          <w:tcPr>
            <w:tcW w:w="1686" w:type="dxa"/>
            <w:vAlign w:val="center"/>
          </w:tcPr>
          <w:p w14:paraId="53833DDF" w14:textId="205AEA26" w:rsidR="00707AB4" w:rsidRPr="00905499" w:rsidRDefault="00707AB4" w:rsidP="006672C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.2</w:t>
            </w:r>
            <w:r w:rsidR="006672C9" w:rsidRPr="00905499">
              <w:rPr>
                <w:rFonts w:ascii="Times New Roman" w:hAnsi="Times New Roman" w:cs="Times New Roman"/>
                <w:sz w:val="15"/>
                <w:szCs w:val="15"/>
                <w:lang w:val="en-US"/>
              </w:rPr>
              <w:t>58</w:t>
            </w:r>
            <w:r w:rsidRPr="00905499">
              <w:rPr>
                <w:rFonts w:ascii="Times New Roman" w:hAnsi="Times New Roman" w:cs="Times New Roman"/>
                <w:sz w:val="15"/>
                <w:szCs w:val="15"/>
                <w:lang w:val="en-US"/>
              </w:rPr>
              <w:t>[.0</w:t>
            </w:r>
            <w:r w:rsidR="006672C9" w:rsidRPr="00905499">
              <w:rPr>
                <w:rFonts w:ascii="Times New Roman" w:hAnsi="Times New Roman" w:cs="Times New Roman"/>
                <w:sz w:val="15"/>
                <w:szCs w:val="15"/>
                <w:lang w:val="en-US"/>
              </w:rPr>
              <w:t>51</w:t>
            </w:r>
            <w:r w:rsidRPr="00905499">
              <w:rPr>
                <w:rFonts w:ascii="Times New Roman" w:hAnsi="Times New Roman" w:cs="Times New Roman"/>
                <w:sz w:val="15"/>
                <w:szCs w:val="15"/>
                <w:lang w:val="en-US"/>
              </w:rPr>
              <w:t>, .4</w:t>
            </w:r>
            <w:r w:rsidR="006672C9" w:rsidRPr="00905499">
              <w:rPr>
                <w:rFonts w:ascii="Times New Roman" w:hAnsi="Times New Roman" w:cs="Times New Roman"/>
                <w:sz w:val="15"/>
                <w:szCs w:val="15"/>
                <w:lang w:val="en-US"/>
              </w:rPr>
              <w:t>65</w:t>
            </w:r>
            <w:r w:rsidRPr="00905499">
              <w:rPr>
                <w:rFonts w:ascii="Times New Roman" w:hAnsi="Times New Roman" w:cs="Times New Roman"/>
                <w:sz w:val="15"/>
                <w:szCs w:val="15"/>
                <w:lang w:val="en-US"/>
              </w:rPr>
              <w:t>]</w:t>
            </w:r>
            <w:r w:rsidR="00FE259D" w:rsidRPr="00905499">
              <w:rPr>
                <w:rFonts w:ascii="Times New Roman" w:hAnsi="Times New Roman" w:cs="Times New Roman"/>
                <w:sz w:val="15"/>
                <w:szCs w:val="15"/>
                <w:lang w:val="en-US"/>
              </w:rPr>
              <w:t>*</w:t>
            </w:r>
          </w:p>
        </w:tc>
        <w:tc>
          <w:tcPr>
            <w:tcW w:w="1644" w:type="dxa"/>
            <w:vAlign w:val="center"/>
          </w:tcPr>
          <w:p w14:paraId="6CE97B69" w14:textId="63FD3F0C" w:rsidR="00707AB4" w:rsidRPr="00905499" w:rsidRDefault="0065017E"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.078[-.138</w:t>
            </w:r>
            <w:proofErr w:type="gramStart"/>
            <w:r w:rsidRPr="00905499">
              <w:rPr>
                <w:rFonts w:ascii="Times New Roman" w:hAnsi="Times New Roman" w:cs="Times New Roman"/>
                <w:sz w:val="15"/>
                <w:szCs w:val="15"/>
                <w:lang w:val="en-US"/>
              </w:rPr>
              <w:t>,.</w:t>
            </w:r>
            <w:proofErr w:type="gramEnd"/>
            <w:r w:rsidRPr="00905499">
              <w:rPr>
                <w:rFonts w:ascii="Times New Roman" w:hAnsi="Times New Roman" w:cs="Times New Roman"/>
                <w:sz w:val="15"/>
                <w:szCs w:val="15"/>
                <w:lang w:val="en-US"/>
              </w:rPr>
              <w:t>293]*</w:t>
            </w:r>
          </w:p>
        </w:tc>
        <w:tc>
          <w:tcPr>
            <w:tcW w:w="1639" w:type="dxa"/>
            <w:vAlign w:val="center"/>
          </w:tcPr>
          <w:p w14:paraId="54305E75" w14:textId="1F7C7D62" w:rsidR="00707AB4" w:rsidRPr="00905499" w:rsidRDefault="0065017E"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.157[-.058, .373]</w:t>
            </w:r>
          </w:p>
        </w:tc>
        <w:tc>
          <w:tcPr>
            <w:tcW w:w="1649" w:type="dxa"/>
            <w:vAlign w:val="center"/>
          </w:tcPr>
          <w:p w14:paraId="5EA49D52" w14:textId="4BAA3068" w:rsidR="00707AB4" w:rsidRPr="00905499" w:rsidRDefault="0065017E"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-.048[-.268, .172]</w:t>
            </w:r>
          </w:p>
        </w:tc>
        <w:tc>
          <w:tcPr>
            <w:tcW w:w="1647" w:type="dxa"/>
          </w:tcPr>
          <w:p w14:paraId="6C34456D" w14:textId="4DC8C9A8" w:rsidR="00707AB4" w:rsidRPr="00905499" w:rsidRDefault="00736D17"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.044[-.180, .268]</w:t>
            </w:r>
          </w:p>
        </w:tc>
      </w:tr>
      <w:tr w:rsidR="00C84B37" w:rsidRPr="00905499" w14:paraId="2378AAAE" w14:textId="77777777" w:rsidTr="00C84B37">
        <w:trPr>
          <w:trHeight w:val="241"/>
        </w:trPr>
        <w:tc>
          <w:tcPr>
            <w:tcW w:w="1242" w:type="dxa"/>
          </w:tcPr>
          <w:p w14:paraId="699C65FA" w14:textId="048B23FB" w:rsidR="00707AB4" w:rsidRPr="00905499" w:rsidRDefault="00707AB4" w:rsidP="00282687">
            <w:pPr>
              <w:ind w:left="142" w:hanging="142"/>
              <w:rPr>
                <w:sz w:val="15"/>
                <w:szCs w:val="15"/>
                <w:lang w:val="en-US"/>
              </w:rPr>
            </w:pPr>
            <w:r w:rsidRPr="00905499">
              <w:rPr>
                <w:rFonts w:ascii="Times New Roman" w:hAnsi="Times New Roman" w:cs="Times New Roman"/>
                <w:sz w:val="15"/>
                <w:szCs w:val="15"/>
                <w:lang w:val="en-US"/>
              </w:rPr>
              <w:t xml:space="preserve">    WA</w:t>
            </w:r>
          </w:p>
        </w:tc>
        <w:tc>
          <w:tcPr>
            <w:tcW w:w="1668" w:type="dxa"/>
            <w:vAlign w:val="center"/>
          </w:tcPr>
          <w:p w14:paraId="30011571" w14:textId="76087544" w:rsidR="00707AB4" w:rsidRPr="00905499" w:rsidRDefault="00707AB4" w:rsidP="00DE3295">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w:t>
            </w:r>
            <w:r w:rsidR="00DE3295" w:rsidRPr="00905499">
              <w:rPr>
                <w:rFonts w:ascii="Times New Roman" w:hAnsi="Times New Roman" w:cs="Times New Roman"/>
                <w:sz w:val="15"/>
                <w:szCs w:val="15"/>
                <w:lang w:val="en-US"/>
              </w:rPr>
              <w:t>51</w:t>
            </w:r>
            <w:r w:rsidRPr="00905499">
              <w:rPr>
                <w:rFonts w:ascii="Times New Roman" w:hAnsi="Times New Roman" w:cs="Times New Roman"/>
                <w:sz w:val="15"/>
                <w:szCs w:val="15"/>
                <w:lang w:val="en-US"/>
              </w:rPr>
              <w:t>[-.3</w:t>
            </w:r>
            <w:r w:rsidR="00DE3295" w:rsidRPr="00905499">
              <w:rPr>
                <w:rFonts w:ascii="Times New Roman" w:hAnsi="Times New Roman" w:cs="Times New Roman"/>
                <w:sz w:val="15"/>
                <w:szCs w:val="15"/>
                <w:lang w:val="en-US"/>
              </w:rPr>
              <w:t>44</w:t>
            </w:r>
            <w:r w:rsidRPr="00905499">
              <w:rPr>
                <w:rFonts w:ascii="Times New Roman" w:hAnsi="Times New Roman" w:cs="Times New Roman"/>
                <w:sz w:val="15"/>
                <w:szCs w:val="15"/>
                <w:lang w:val="en-US"/>
              </w:rPr>
              <w:t>, .0</w:t>
            </w:r>
            <w:r w:rsidR="00DE3295" w:rsidRPr="00905499">
              <w:rPr>
                <w:rFonts w:ascii="Times New Roman" w:hAnsi="Times New Roman" w:cs="Times New Roman"/>
                <w:sz w:val="15"/>
                <w:szCs w:val="15"/>
                <w:lang w:val="en-US"/>
              </w:rPr>
              <w:t>41</w:t>
            </w:r>
            <w:r w:rsidRPr="00905499">
              <w:rPr>
                <w:rFonts w:ascii="Times New Roman" w:hAnsi="Times New Roman" w:cs="Times New Roman"/>
                <w:sz w:val="15"/>
                <w:szCs w:val="15"/>
                <w:lang w:val="en-US"/>
              </w:rPr>
              <w:t>]</w:t>
            </w:r>
          </w:p>
        </w:tc>
        <w:tc>
          <w:tcPr>
            <w:tcW w:w="1686" w:type="dxa"/>
            <w:vAlign w:val="center"/>
          </w:tcPr>
          <w:p w14:paraId="34A05FED" w14:textId="0FFAB970" w:rsidR="00707AB4" w:rsidRPr="00905499" w:rsidRDefault="00763412" w:rsidP="00FE259D">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w:t>
            </w:r>
            <w:r w:rsidR="00FE259D" w:rsidRPr="00905499">
              <w:rPr>
                <w:rFonts w:ascii="Times New Roman" w:hAnsi="Times New Roman" w:cs="Times New Roman"/>
                <w:sz w:val="15"/>
                <w:szCs w:val="15"/>
                <w:lang w:val="en-US"/>
              </w:rPr>
              <w:t>52</w:t>
            </w:r>
            <w:r w:rsidRPr="00905499">
              <w:rPr>
                <w:rFonts w:ascii="Times New Roman" w:hAnsi="Times New Roman" w:cs="Times New Roman"/>
                <w:sz w:val="15"/>
                <w:szCs w:val="15"/>
                <w:lang w:val="en-US"/>
              </w:rPr>
              <w:t>[-.3</w:t>
            </w:r>
            <w:r w:rsidR="00FE259D" w:rsidRPr="00905499">
              <w:rPr>
                <w:rFonts w:ascii="Times New Roman" w:hAnsi="Times New Roman" w:cs="Times New Roman"/>
                <w:sz w:val="15"/>
                <w:szCs w:val="15"/>
                <w:lang w:val="en-US"/>
              </w:rPr>
              <w:t>45</w:t>
            </w:r>
            <w:r w:rsidRPr="00905499">
              <w:rPr>
                <w:rFonts w:ascii="Times New Roman" w:hAnsi="Times New Roman" w:cs="Times New Roman"/>
                <w:sz w:val="15"/>
                <w:szCs w:val="15"/>
                <w:lang w:val="en-US"/>
              </w:rPr>
              <w:t>, .0</w:t>
            </w:r>
            <w:r w:rsidR="00FE259D" w:rsidRPr="00905499">
              <w:rPr>
                <w:rFonts w:ascii="Times New Roman" w:hAnsi="Times New Roman" w:cs="Times New Roman"/>
                <w:sz w:val="15"/>
                <w:szCs w:val="15"/>
                <w:lang w:val="en-US"/>
              </w:rPr>
              <w:t>41</w:t>
            </w:r>
            <w:r w:rsidRPr="00905499">
              <w:rPr>
                <w:rFonts w:ascii="Times New Roman" w:hAnsi="Times New Roman" w:cs="Times New Roman"/>
                <w:sz w:val="15"/>
                <w:szCs w:val="15"/>
                <w:lang w:val="en-US"/>
              </w:rPr>
              <w:t>]</w:t>
            </w:r>
          </w:p>
        </w:tc>
        <w:tc>
          <w:tcPr>
            <w:tcW w:w="1644" w:type="dxa"/>
            <w:vAlign w:val="center"/>
          </w:tcPr>
          <w:p w14:paraId="078CD2B4" w14:textId="05689FE8" w:rsidR="00707AB4" w:rsidRPr="00905499" w:rsidRDefault="0065017E"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-.238[-.440, -.036]*</w:t>
            </w:r>
          </w:p>
        </w:tc>
        <w:tc>
          <w:tcPr>
            <w:tcW w:w="1639" w:type="dxa"/>
            <w:vAlign w:val="center"/>
          </w:tcPr>
          <w:p w14:paraId="407C016E" w14:textId="05E2CFFA" w:rsidR="00707AB4" w:rsidRPr="00905499" w:rsidRDefault="0065017E"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-.184[-.384, .016]</w:t>
            </w:r>
          </w:p>
        </w:tc>
        <w:tc>
          <w:tcPr>
            <w:tcW w:w="1649" w:type="dxa"/>
            <w:vAlign w:val="center"/>
          </w:tcPr>
          <w:p w14:paraId="704FC215" w14:textId="5B0FD1E8" w:rsidR="00707AB4" w:rsidRPr="00905499" w:rsidRDefault="0065017E"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-.220[-.421, -.019]*</w:t>
            </w:r>
          </w:p>
        </w:tc>
        <w:tc>
          <w:tcPr>
            <w:tcW w:w="1647" w:type="dxa"/>
          </w:tcPr>
          <w:p w14:paraId="3ED599C3" w14:textId="43B8135D" w:rsidR="00707AB4" w:rsidRPr="00905499" w:rsidRDefault="00736D17"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-.169[-.369, .030]</w:t>
            </w:r>
          </w:p>
        </w:tc>
      </w:tr>
      <w:tr w:rsidR="00C84B37" w:rsidRPr="00905499" w14:paraId="11E850AE" w14:textId="77777777" w:rsidTr="00C84B37">
        <w:trPr>
          <w:trHeight w:val="241"/>
        </w:trPr>
        <w:tc>
          <w:tcPr>
            <w:tcW w:w="1242" w:type="dxa"/>
            <w:tcBorders>
              <w:bottom w:val="single" w:sz="4" w:space="0" w:color="auto"/>
            </w:tcBorders>
          </w:tcPr>
          <w:p w14:paraId="3668F0C5" w14:textId="59D0422C" w:rsidR="00707AB4" w:rsidRPr="00905499" w:rsidRDefault="00707AB4" w:rsidP="00282687">
            <w:pPr>
              <w:ind w:left="142" w:hanging="142"/>
              <w:rPr>
                <w:sz w:val="15"/>
                <w:szCs w:val="15"/>
                <w:lang w:val="en-US"/>
              </w:rPr>
            </w:pPr>
            <w:r w:rsidRPr="00905499">
              <w:rPr>
                <w:rFonts w:ascii="Times New Roman" w:hAnsi="Times New Roman" w:cs="Times New Roman"/>
                <w:sz w:val="15"/>
                <w:szCs w:val="15"/>
                <w:lang w:val="en-US"/>
              </w:rPr>
              <w:t xml:space="preserve">    NT</w:t>
            </w:r>
          </w:p>
        </w:tc>
        <w:tc>
          <w:tcPr>
            <w:tcW w:w="1668" w:type="dxa"/>
            <w:tcBorders>
              <w:bottom w:val="single" w:sz="4" w:space="0" w:color="auto"/>
            </w:tcBorders>
            <w:vAlign w:val="center"/>
          </w:tcPr>
          <w:p w14:paraId="72E977BA" w14:textId="4F4A943D" w:rsidR="00707AB4" w:rsidRPr="00905499" w:rsidRDefault="00707AB4" w:rsidP="00DE3295">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.3</w:t>
            </w:r>
            <w:r w:rsidR="00DE3295" w:rsidRPr="00905499">
              <w:rPr>
                <w:rFonts w:ascii="Times New Roman" w:hAnsi="Times New Roman" w:cs="Times New Roman"/>
                <w:sz w:val="15"/>
                <w:szCs w:val="15"/>
                <w:lang w:val="en-US"/>
              </w:rPr>
              <w:t>17</w:t>
            </w:r>
            <w:r w:rsidRPr="00905499">
              <w:rPr>
                <w:rFonts w:ascii="Times New Roman" w:hAnsi="Times New Roman" w:cs="Times New Roman"/>
                <w:sz w:val="15"/>
                <w:szCs w:val="15"/>
                <w:lang w:val="en-US"/>
              </w:rPr>
              <w:t>[.0</w:t>
            </w:r>
            <w:r w:rsidR="00DE3295" w:rsidRPr="00905499">
              <w:rPr>
                <w:rFonts w:ascii="Times New Roman" w:hAnsi="Times New Roman" w:cs="Times New Roman"/>
                <w:sz w:val="15"/>
                <w:szCs w:val="15"/>
                <w:lang w:val="en-US"/>
              </w:rPr>
              <w:t>73</w:t>
            </w:r>
            <w:r w:rsidRPr="00905499">
              <w:rPr>
                <w:rFonts w:ascii="Times New Roman" w:hAnsi="Times New Roman" w:cs="Times New Roman"/>
                <w:sz w:val="15"/>
                <w:szCs w:val="15"/>
                <w:lang w:val="en-US"/>
              </w:rPr>
              <w:t>, .5</w:t>
            </w:r>
            <w:r w:rsidR="00DE3295" w:rsidRPr="00905499">
              <w:rPr>
                <w:rFonts w:ascii="Times New Roman" w:hAnsi="Times New Roman" w:cs="Times New Roman"/>
                <w:sz w:val="15"/>
                <w:szCs w:val="15"/>
                <w:lang w:val="en-US"/>
              </w:rPr>
              <w:t>62</w:t>
            </w:r>
            <w:r w:rsidRPr="00905499">
              <w:rPr>
                <w:rFonts w:ascii="Times New Roman" w:hAnsi="Times New Roman" w:cs="Times New Roman"/>
                <w:sz w:val="15"/>
                <w:szCs w:val="15"/>
                <w:lang w:val="en-US"/>
              </w:rPr>
              <w:t>]*</w:t>
            </w:r>
          </w:p>
        </w:tc>
        <w:tc>
          <w:tcPr>
            <w:tcW w:w="1686" w:type="dxa"/>
            <w:tcBorders>
              <w:bottom w:val="single" w:sz="4" w:space="0" w:color="auto"/>
            </w:tcBorders>
            <w:vAlign w:val="center"/>
          </w:tcPr>
          <w:p w14:paraId="01A30353" w14:textId="4E639678" w:rsidR="00707AB4" w:rsidRPr="00905499" w:rsidRDefault="00763412" w:rsidP="000007D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.3</w:t>
            </w:r>
            <w:r w:rsidR="00FE259D" w:rsidRPr="00905499">
              <w:rPr>
                <w:rFonts w:ascii="Times New Roman" w:hAnsi="Times New Roman" w:cs="Times New Roman"/>
                <w:sz w:val="15"/>
                <w:szCs w:val="15"/>
                <w:lang w:val="en-US"/>
              </w:rPr>
              <w:t>11</w:t>
            </w:r>
            <w:r w:rsidRPr="00905499">
              <w:rPr>
                <w:rFonts w:ascii="Times New Roman" w:hAnsi="Times New Roman" w:cs="Times New Roman"/>
                <w:sz w:val="15"/>
                <w:szCs w:val="15"/>
                <w:lang w:val="en-US"/>
              </w:rPr>
              <w:t>[.0</w:t>
            </w:r>
            <w:r w:rsidR="000007D7" w:rsidRPr="00905499">
              <w:rPr>
                <w:rFonts w:ascii="Times New Roman" w:hAnsi="Times New Roman" w:cs="Times New Roman"/>
                <w:sz w:val="15"/>
                <w:szCs w:val="15"/>
                <w:lang w:val="en-US"/>
              </w:rPr>
              <w:t>66</w:t>
            </w:r>
            <w:r w:rsidRPr="00905499">
              <w:rPr>
                <w:rFonts w:ascii="Times New Roman" w:hAnsi="Times New Roman" w:cs="Times New Roman"/>
                <w:sz w:val="15"/>
                <w:szCs w:val="15"/>
                <w:lang w:val="en-US"/>
              </w:rPr>
              <w:t>, .5</w:t>
            </w:r>
            <w:r w:rsidR="000007D7" w:rsidRPr="00905499">
              <w:rPr>
                <w:rFonts w:ascii="Times New Roman" w:hAnsi="Times New Roman" w:cs="Times New Roman"/>
                <w:sz w:val="15"/>
                <w:szCs w:val="15"/>
                <w:lang w:val="en-US"/>
              </w:rPr>
              <w:t>5</w:t>
            </w:r>
            <w:r w:rsidRPr="00905499">
              <w:rPr>
                <w:rFonts w:ascii="Times New Roman" w:hAnsi="Times New Roman" w:cs="Times New Roman"/>
                <w:sz w:val="15"/>
                <w:szCs w:val="15"/>
                <w:lang w:val="en-US"/>
              </w:rPr>
              <w:t>7]*</w:t>
            </w:r>
          </w:p>
        </w:tc>
        <w:tc>
          <w:tcPr>
            <w:tcW w:w="1644" w:type="dxa"/>
            <w:tcBorders>
              <w:bottom w:val="single" w:sz="4" w:space="0" w:color="auto"/>
            </w:tcBorders>
            <w:vAlign w:val="center"/>
          </w:tcPr>
          <w:p w14:paraId="65C3383A" w14:textId="19CB3404" w:rsidR="00707AB4" w:rsidRPr="00905499" w:rsidRDefault="0065017E"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.274[.025, .523]*</w:t>
            </w:r>
          </w:p>
        </w:tc>
        <w:tc>
          <w:tcPr>
            <w:tcW w:w="1639" w:type="dxa"/>
            <w:tcBorders>
              <w:bottom w:val="single" w:sz="4" w:space="0" w:color="auto"/>
            </w:tcBorders>
            <w:vAlign w:val="center"/>
          </w:tcPr>
          <w:p w14:paraId="0D51084E" w14:textId="6EA8460E" w:rsidR="00707AB4" w:rsidRPr="00905499" w:rsidRDefault="0065017E"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.337[.086, .587]*</w:t>
            </w:r>
            <w:r w:rsidR="00A70F8F" w:rsidRPr="00905499">
              <w:rPr>
                <w:rFonts w:ascii="Times New Roman" w:hAnsi="Times New Roman" w:cs="Times New Roman"/>
                <w:sz w:val="15"/>
                <w:szCs w:val="15"/>
                <w:lang w:val="en-US"/>
              </w:rPr>
              <w:t>*</w:t>
            </w:r>
          </w:p>
        </w:tc>
        <w:tc>
          <w:tcPr>
            <w:tcW w:w="1649" w:type="dxa"/>
            <w:tcBorders>
              <w:bottom w:val="single" w:sz="4" w:space="0" w:color="auto"/>
            </w:tcBorders>
            <w:vAlign w:val="center"/>
          </w:tcPr>
          <w:p w14:paraId="78B8413E" w14:textId="6CB07C99" w:rsidR="00707AB4" w:rsidRPr="00905499" w:rsidRDefault="0065017E"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.272[.024, .520]*</w:t>
            </w:r>
          </w:p>
        </w:tc>
        <w:tc>
          <w:tcPr>
            <w:tcW w:w="1647" w:type="dxa"/>
            <w:tcBorders>
              <w:bottom w:val="single" w:sz="4" w:space="0" w:color="auto"/>
            </w:tcBorders>
          </w:tcPr>
          <w:p w14:paraId="4FABEE78" w14:textId="75B534D0" w:rsidR="00707AB4" w:rsidRPr="00905499" w:rsidRDefault="00736D17" w:rsidP="0028268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.330[.080, .579]*</w:t>
            </w:r>
            <w:r w:rsidR="00551F71" w:rsidRPr="00905499">
              <w:rPr>
                <w:rFonts w:ascii="Times New Roman" w:hAnsi="Times New Roman" w:cs="Times New Roman"/>
                <w:sz w:val="15"/>
                <w:szCs w:val="15"/>
                <w:lang w:val="en-US"/>
              </w:rPr>
              <w:t>*</w:t>
            </w:r>
          </w:p>
        </w:tc>
      </w:tr>
    </w:tbl>
    <w:p w14:paraId="55D97FBA" w14:textId="4E00217D" w:rsidR="00904DAF" w:rsidRPr="00905499" w:rsidRDefault="00904DAF" w:rsidP="00904DAF">
      <w:pPr>
        <w:rPr>
          <w:sz w:val="20"/>
          <w:szCs w:val="20"/>
          <w:lang w:val="en-US"/>
        </w:rPr>
      </w:pPr>
      <w:r w:rsidRPr="00905499">
        <w:rPr>
          <w:i/>
          <w:sz w:val="20"/>
          <w:szCs w:val="20"/>
          <w:lang w:val="en-US"/>
        </w:rPr>
        <w:t xml:space="preserve">Notes. </w:t>
      </w:r>
      <w:r w:rsidRPr="00905499">
        <w:rPr>
          <w:b/>
          <w:sz w:val="20"/>
          <w:szCs w:val="20"/>
          <w:vertAlign w:val="superscript"/>
          <w:lang w:val="en-US"/>
        </w:rPr>
        <w:t>1</w:t>
      </w:r>
      <w:r w:rsidRPr="00905499">
        <w:rPr>
          <w:sz w:val="20"/>
          <w:szCs w:val="20"/>
          <w:lang w:val="en-US"/>
        </w:rPr>
        <w:t>The Australian Capital [ACT] is used as the reference group for state of residence. IEO is the Australian Bureau of Statistics index of educational and occupational level. It has an Australian mean of 1000.</w:t>
      </w:r>
      <w:r w:rsidR="0059515B">
        <w:rPr>
          <w:sz w:val="20"/>
          <w:szCs w:val="20"/>
          <w:lang w:val="en-US"/>
        </w:rPr>
        <w:t xml:space="preserve"> </w:t>
      </w:r>
      <w:r w:rsidR="0059515B" w:rsidRPr="00905499">
        <w:rPr>
          <w:sz w:val="20"/>
          <w:szCs w:val="20"/>
          <w:lang w:val="en-US"/>
        </w:rPr>
        <w:t xml:space="preserve">* </w:t>
      </w:r>
      <w:proofErr w:type="gramStart"/>
      <w:r w:rsidR="0059515B" w:rsidRPr="00905499">
        <w:rPr>
          <w:i/>
          <w:sz w:val="20"/>
          <w:szCs w:val="20"/>
          <w:lang w:val="en-US"/>
        </w:rPr>
        <w:t>p</w:t>
      </w:r>
      <w:proofErr w:type="gramEnd"/>
      <w:r w:rsidR="0059515B" w:rsidRPr="00905499">
        <w:rPr>
          <w:sz w:val="20"/>
          <w:szCs w:val="20"/>
          <w:lang w:val="en-US"/>
        </w:rPr>
        <w:t xml:space="preserve"> &lt; .05; ** </w:t>
      </w:r>
      <w:r w:rsidR="0059515B" w:rsidRPr="00905499">
        <w:rPr>
          <w:i/>
          <w:sz w:val="20"/>
          <w:szCs w:val="20"/>
          <w:lang w:val="en-US"/>
        </w:rPr>
        <w:t>p</w:t>
      </w:r>
      <w:r w:rsidR="0059515B" w:rsidRPr="00905499">
        <w:rPr>
          <w:sz w:val="20"/>
          <w:szCs w:val="20"/>
          <w:lang w:val="en-US"/>
        </w:rPr>
        <w:t xml:space="preserve"> &lt; .01; *** </w:t>
      </w:r>
      <w:r w:rsidR="0059515B" w:rsidRPr="00905499">
        <w:rPr>
          <w:i/>
          <w:sz w:val="20"/>
          <w:szCs w:val="20"/>
          <w:lang w:val="en-US"/>
        </w:rPr>
        <w:t>p</w:t>
      </w:r>
      <w:r w:rsidR="0059515B" w:rsidRPr="00905499">
        <w:rPr>
          <w:sz w:val="20"/>
          <w:szCs w:val="20"/>
          <w:lang w:val="en-US"/>
        </w:rPr>
        <w:t xml:space="preserve"> &lt;.001.</w:t>
      </w:r>
    </w:p>
    <w:p w14:paraId="57617718" w14:textId="77777777" w:rsidR="00E30B12" w:rsidRPr="00905499" w:rsidRDefault="00E30B12" w:rsidP="00F608B4">
      <w:pPr>
        <w:rPr>
          <w:b/>
          <w:lang w:val="en-US"/>
        </w:rPr>
      </w:pPr>
    </w:p>
    <w:p w14:paraId="6870CB1A" w14:textId="77777777" w:rsidR="0074659A" w:rsidRPr="00905499" w:rsidRDefault="0074659A" w:rsidP="00F608B4">
      <w:pPr>
        <w:rPr>
          <w:b/>
          <w:lang w:val="en-US"/>
        </w:rPr>
      </w:pPr>
      <w:r w:rsidRPr="00905499">
        <w:rPr>
          <w:b/>
          <w:lang w:val="en-US"/>
        </w:rPr>
        <w:br w:type="page"/>
      </w:r>
    </w:p>
    <w:p w14:paraId="769D0192" w14:textId="316AC769" w:rsidR="00F608B4" w:rsidRPr="00905499" w:rsidRDefault="00F608B4" w:rsidP="00F608B4">
      <w:pPr>
        <w:rPr>
          <w:b/>
          <w:lang w:val="en-US"/>
        </w:rPr>
      </w:pPr>
      <w:r w:rsidRPr="00905499">
        <w:rPr>
          <w:b/>
          <w:lang w:val="en-US"/>
        </w:rPr>
        <w:lastRenderedPageBreak/>
        <w:t xml:space="preserve">Table </w:t>
      </w:r>
      <w:r w:rsidR="00CE0791" w:rsidRPr="00905499">
        <w:rPr>
          <w:b/>
          <w:lang w:val="en-US"/>
        </w:rPr>
        <w:t>4</w:t>
      </w:r>
    </w:p>
    <w:p w14:paraId="00523EB2" w14:textId="4B1156C2" w:rsidR="00F608B4" w:rsidRPr="00905499" w:rsidRDefault="00F608B4" w:rsidP="00F608B4">
      <w:pPr>
        <w:rPr>
          <w:lang w:val="en-US"/>
        </w:rPr>
      </w:pPr>
      <w:r w:rsidRPr="00905499">
        <w:rPr>
          <w:lang w:val="en-US"/>
        </w:rPr>
        <w:t>Log Odd Estimates of the Effect of Proximity on University Entry</w:t>
      </w:r>
    </w:p>
    <w:tbl>
      <w:tblPr>
        <w:tblStyle w:val="TableGrid"/>
        <w:tblpPr w:leftFromText="180" w:rightFromText="180" w:vertAnchor="text" w:tblpX="-1443" w:tblpY="1"/>
        <w:tblOverlap w:val="never"/>
        <w:tblW w:w="11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32"/>
        <w:gridCol w:w="1711"/>
        <w:gridCol w:w="1701"/>
        <w:gridCol w:w="1701"/>
        <w:gridCol w:w="1701"/>
        <w:gridCol w:w="1708"/>
        <w:gridCol w:w="1694"/>
      </w:tblGrid>
      <w:tr w:rsidR="001C1538" w:rsidRPr="00905499" w14:paraId="178C5B7B" w14:textId="77777777" w:rsidTr="001C1538">
        <w:trPr>
          <w:trHeight w:val="471"/>
        </w:trPr>
        <w:tc>
          <w:tcPr>
            <w:tcW w:w="1232" w:type="dxa"/>
            <w:vMerge w:val="restart"/>
            <w:tcBorders>
              <w:top w:val="single" w:sz="12" w:space="0" w:color="auto"/>
            </w:tcBorders>
          </w:tcPr>
          <w:p w14:paraId="7914337E" w14:textId="77777777" w:rsidR="0005370B" w:rsidRPr="00905499" w:rsidRDefault="0005370B" w:rsidP="001C1538">
            <w:pPr>
              <w:ind w:left="142" w:hanging="142"/>
              <w:rPr>
                <w:rFonts w:ascii="Times New Roman" w:hAnsi="Times New Roman" w:cs="Times New Roman"/>
                <w:sz w:val="16"/>
                <w:szCs w:val="16"/>
                <w:lang w:val="en-US"/>
              </w:rPr>
            </w:pPr>
          </w:p>
        </w:tc>
        <w:tc>
          <w:tcPr>
            <w:tcW w:w="3412" w:type="dxa"/>
            <w:gridSpan w:val="2"/>
            <w:tcBorders>
              <w:top w:val="single" w:sz="12" w:space="0" w:color="auto"/>
              <w:bottom w:val="single" w:sz="6" w:space="0" w:color="auto"/>
            </w:tcBorders>
            <w:vAlign w:val="center"/>
          </w:tcPr>
          <w:p w14:paraId="1708666E" w14:textId="77777777" w:rsidR="0005370B" w:rsidRPr="00905499" w:rsidRDefault="0005370B" w:rsidP="001C1538">
            <w:pPr>
              <w:ind w:left="142" w:hanging="142"/>
              <w:jc w:val="center"/>
              <w:rPr>
                <w:rFonts w:ascii="Times New Roman" w:hAnsi="Times New Roman" w:cs="Times New Roman"/>
                <w:sz w:val="16"/>
                <w:szCs w:val="16"/>
                <w:lang w:val="en-US"/>
              </w:rPr>
            </w:pPr>
            <w:r w:rsidRPr="00905499">
              <w:rPr>
                <w:rFonts w:ascii="Times New Roman" w:hAnsi="Times New Roman" w:cs="Times New Roman"/>
                <w:sz w:val="16"/>
                <w:szCs w:val="16"/>
                <w:lang w:val="en-US"/>
              </w:rPr>
              <w:t>At least one campus</w:t>
            </w:r>
          </w:p>
        </w:tc>
        <w:tc>
          <w:tcPr>
            <w:tcW w:w="3402" w:type="dxa"/>
            <w:gridSpan w:val="2"/>
            <w:tcBorders>
              <w:top w:val="single" w:sz="12" w:space="0" w:color="auto"/>
              <w:bottom w:val="single" w:sz="6" w:space="0" w:color="auto"/>
            </w:tcBorders>
            <w:vAlign w:val="center"/>
          </w:tcPr>
          <w:p w14:paraId="384E54F7" w14:textId="77777777" w:rsidR="0005370B" w:rsidRPr="00905499" w:rsidRDefault="0005370B" w:rsidP="001C1538">
            <w:pPr>
              <w:ind w:left="142" w:hanging="142"/>
              <w:jc w:val="center"/>
              <w:rPr>
                <w:rFonts w:ascii="Times New Roman" w:hAnsi="Times New Roman" w:cs="Times New Roman"/>
                <w:sz w:val="16"/>
                <w:szCs w:val="16"/>
                <w:lang w:val="en-US"/>
              </w:rPr>
            </w:pPr>
            <w:r w:rsidRPr="00905499">
              <w:rPr>
                <w:rFonts w:ascii="Times New Roman" w:hAnsi="Times New Roman" w:cs="Times New Roman"/>
                <w:sz w:val="16"/>
                <w:szCs w:val="16"/>
                <w:lang w:val="en-US"/>
              </w:rPr>
              <w:t>Number of Campuses</w:t>
            </w:r>
          </w:p>
        </w:tc>
        <w:tc>
          <w:tcPr>
            <w:tcW w:w="3402" w:type="dxa"/>
            <w:gridSpan w:val="2"/>
            <w:tcBorders>
              <w:top w:val="single" w:sz="12" w:space="0" w:color="auto"/>
              <w:bottom w:val="single" w:sz="6" w:space="0" w:color="auto"/>
            </w:tcBorders>
            <w:vAlign w:val="center"/>
          </w:tcPr>
          <w:p w14:paraId="301E5AC1" w14:textId="77777777" w:rsidR="0005370B" w:rsidRPr="00905499" w:rsidRDefault="0005370B" w:rsidP="001C1538">
            <w:pPr>
              <w:ind w:left="142" w:hanging="142"/>
              <w:jc w:val="center"/>
              <w:rPr>
                <w:rFonts w:ascii="Times New Roman" w:hAnsi="Times New Roman" w:cs="Times New Roman"/>
                <w:sz w:val="16"/>
                <w:szCs w:val="16"/>
                <w:lang w:val="en-US"/>
              </w:rPr>
            </w:pPr>
            <w:r w:rsidRPr="00905499">
              <w:rPr>
                <w:rFonts w:ascii="Times New Roman" w:hAnsi="Times New Roman" w:cs="Times New Roman"/>
                <w:sz w:val="16"/>
                <w:szCs w:val="16"/>
                <w:lang w:val="en-US"/>
              </w:rPr>
              <w:t>Number of Campuses: Polynomial</w:t>
            </w:r>
          </w:p>
        </w:tc>
      </w:tr>
      <w:tr w:rsidR="003D4A15" w:rsidRPr="00905499" w14:paraId="20ED3C9C" w14:textId="77777777" w:rsidTr="001C1538">
        <w:trPr>
          <w:trHeight w:val="227"/>
        </w:trPr>
        <w:tc>
          <w:tcPr>
            <w:tcW w:w="1232" w:type="dxa"/>
            <w:vMerge/>
            <w:tcBorders>
              <w:bottom w:val="single" w:sz="4" w:space="0" w:color="auto"/>
            </w:tcBorders>
          </w:tcPr>
          <w:p w14:paraId="7E9E4E74" w14:textId="77777777" w:rsidR="0005370B" w:rsidRPr="00905499" w:rsidRDefault="0005370B" w:rsidP="001C1538">
            <w:pPr>
              <w:ind w:left="142" w:hanging="142"/>
              <w:rPr>
                <w:sz w:val="16"/>
                <w:szCs w:val="16"/>
                <w:lang w:val="en-US"/>
              </w:rPr>
            </w:pPr>
          </w:p>
        </w:tc>
        <w:tc>
          <w:tcPr>
            <w:tcW w:w="1711" w:type="dxa"/>
            <w:tcBorders>
              <w:bottom w:val="single" w:sz="4" w:space="0" w:color="auto"/>
            </w:tcBorders>
            <w:vAlign w:val="center"/>
          </w:tcPr>
          <w:p w14:paraId="1A34B101" w14:textId="77777777" w:rsidR="0005370B" w:rsidRPr="00905499" w:rsidRDefault="0005370B" w:rsidP="001C1538">
            <w:pPr>
              <w:ind w:left="142" w:hanging="142"/>
              <w:rPr>
                <w:rFonts w:ascii="Times New Roman" w:hAnsi="Times New Roman" w:cs="Times New Roman"/>
                <w:sz w:val="16"/>
                <w:szCs w:val="16"/>
                <w:lang w:val="en-US"/>
              </w:rPr>
            </w:pPr>
            <w:r w:rsidRPr="00905499">
              <w:rPr>
                <w:rFonts w:ascii="Times New Roman" w:hAnsi="Times New Roman" w:cs="Times New Roman"/>
                <w:sz w:val="16"/>
                <w:szCs w:val="16"/>
                <w:lang w:val="en-US"/>
              </w:rPr>
              <w:t>Model 1</w:t>
            </w:r>
          </w:p>
        </w:tc>
        <w:tc>
          <w:tcPr>
            <w:tcW w:w="1701" w:type="dxa"/>
            <w:tcBorders>
              <w:bottom w:val="single" w:sz="4" w:space="0" w:color="auto"/>
            </w:tcBorders>
            <w:vAlign w:val="center"/>
          </w:tcPr>
          <w:p w14:paraId="72772663" w14:textId="77777777" w:rsidR="0005370B" w:rsidRPr="00905499" w:rsidRDefault="0005370B" w:rsidP="001C1538">
            <w:pPr>
              <w:ind w:left="142" w:hanging="142"/>
              <w:rPr>
                <w:rFonts w:ascii="Times New Roman" w:hAnsi="Times New Roman" w:cs="Times New Roman"/>
                <w:sz w:val="16"/>
                <w:szCs w:val="16"/>
                <w:lang w:val="en-US"/>
              </w:rPr>
            </w:pPr>
            <w:r w:rsidRPr="00905499">
              <w:rPr>
                <w:rFonts w:ascii="Times New Roman" w:hAnsi="Times New Roman" w:cs="Times New Roman"/>
                <w:sz w:val="16"/>
                <w:szCs w:val="16"/>
                <w:lang w:val="en-US"/>
              </w:rPr>
              <w:t>Model 2</w:t>
            </w:r>
          </w:p>
        </w:tc>
        <w:tc>
          <w:tcPr>
            <w:tcW w:w="1701" w:type="dxa"/>
            <w:tcBorders>
              <w:bottom w:val="single" w:sz="4" w:space="0" w:color="auto"/>
            </w:tcBorders>
            <w:vAlign w:val="center"/>
          </w:tcPr>
          <w:p w14:paraId="6008988D" w14:textId="77777777" w:rsidR="0005370B" w:rsidRPr="00905499" w:rsidRDefault="0005370B" w:rsidP="001C1538">
            <w:pPr>
              <w:ind w:left="142" w:hanging="142"/>
              <w:rPr>
                <w:rFonts w:ascii="Times New Roman" w:hAnsi="Times New Roman" w:cs="Times New Roman"/>
                <w:sz w:val="16"/>
                <w:szCs w:val="16"/>
                <w:lang w:val="en-US"/>
              </w:rPr>
            </w:pPr>
            <w:r w:rsidRPr="00905499">
              <w:rPr>
                <w:rFonts w:ascii="Times New Roman" w:hAnsi="Times New Roman" w:cs="Times New Roman"/>
                <w:sz w:val="16"/>
                <w:szCs w:val="16"/>
                <w:lang w:val="en-US"/>
              </w:rPr>
              <w:t>Model 1</w:t>
            </w:r>
          </w:p>
        </w:tc>
        <w:tc>
          <w:tcPr>
            <w:tcW w:w="1701" w:type="dxa"/>
            <w:tcBorders>
              <w:bottom w:val="single" w:sz="4" w:space="0" w:color="auto"/>
            </w:tcBorders>
            <w:vAlign w:val="center"/>
          </w:tcPr>
          <w:p w14:paraId="44D14B57" w14:textId="77777777" w:rsidR="0005370B" w:rsidRPr="00905499" w:rsidRDefault="0005370B" w:rsidP="001C1538">
            <w:pPr>
              <w:ind w:left="142" w:hanging="142"/>
              <w:rPr>
                <w:rFonts w:ascii="Times New Roman" w:hAnsi="Times New Roman" w:cs="Times New Roman"/>
                <w:sz w:val="16"/>
                <w:szCs w:val="16"/>
                <w:lang w:val="en-US"/>
              </w:rPr>
            </w:pPr>
            <w:r w:rsidRPr="00905499">
              <w:rPr>
                <w:rFonts w:ascii="Times New Roman" w:hAnsi="Times New Roman" w:cs="Times New Roman"/>
                <w:sz w:val="16"/>
                <w:szCs w:val="16"/>
                <w:lang w:val="en-US"/>
              </w:rPr>
              <w:t>Model 2</w:t>
            </w:r>
          </w:p>
        </w:tc>
        <w:tc>
          <w:tcPr>
            <w:tcW w:w="1708" w:type="dxa"/>
            <w:tcBorders>
              <w:bottom w:val="single" w:sz="4" w:space="0" w:color="auto"/>
            </w:tcBorders>
            <w:vAlign w:val="center"/>
          </w:tcPr>
          <w:p w14:paraId="2C441496" w14:textId="77777777" w:rsidR="0005370B" w:rsidRPr="00905499" w:rsidRDefault="0005370B" w:rsidP="001C1538">
            <w:pPr>
              <w:ind w:left="142" w:hanging="142"/>
              <w:rPr>
                <w:rFonts w:ascii="Times New Roman" w:hAnsi="Times New Roman" w:cs="Times New Roman"/>
                <w:sz w:val="16"/>
                <w:szCs w:val="16"/>
                <w:lang w:val="en-US"/>
              </w:rPr>
            </w:pPr>
            <w:r w:rsidRPr="00905499">
              <w:rPr>
                <w:rFonts w:ascii="Times New Roman" w:hAnsi="Times New Roman" w:cs="Times New Roman"/>
                <w:sz w:val="16"/>
                <w:szCs w:val="16"/>
                <w:lang w:val="en-US"/>
              </w:rPr>
              <w:t>Model 1</w:t>
            </w:r>
          </w:p>
        </w:tc>
        <w:tc>
          <w:tcPr>
            <w:tcW w:w="1694" w:type="dxa"/>
            <w:tcBorders>
              <w:bottom w:val="single" w:sz="4" w:space="0" w:color="auto"/>
            </w:tcBorders>
            <w:vAlign w:val="center"/>
          </w:tcPr>
          <w:p w14:paraId="4AD67903" w14:textId="77777777" w:rsidR="0005370B" w:rsidRPr="00905499" w:rsidRDefault="0005370B" w:rsidP="001C1538">
            <w:pPr>
              <w:ind w:left="142" w:hanging="142"/>
              <w:rPr>
                <w:rFonts w:ascii="Times New Roman" w:hAnsi="Times New Roman" w:cs="Times New Roman"/>
                <w:sz w:val="16"/>
                <w:szCs w:val="16"/>
                <w:lang w:val="en-US"/>
              </w:rPr>
            </w:pPr>
            <w:r w:rsidRPr="00905499">
              <w:rPr>
                <w:rFonts w:ascii="Times New Roman" w:hAnsi="Times New Roman" w:cs="Times New Roman"/>
                <w:sz w:val="16"/>
                <w:szCs w:val="16"/>
                <w:lang w:val="en-US"/>
              </w:rPr>
              <w:t>Model 2</w:t>
            </w:r>
          </w:p>
        </w:tc>
      </w:tr>
      <w:tr w:rsidR="003D4A15" w:rsidRPr="00905499" w14:paraId="4EDC4F88" w14:textId="77777777" w:rsidTr="001C1538">
        <w:trPr>
          <w:trHeight w:val="227"/>
        </w:trPr>
        <w:tc>
          <w:tcPr>
            <w:tcW w:w="1232" w:type="dxa"/>
            <w:tcBorders>
              <w:top w:val="single" w:sz="4" w:space="0" w:color="auto"/>
            </w:tcBorders>
          </w:tcPr>
          <w:p w14:paraId="483B0251" w14:textId="77777777" w:rsidR="0005370B" w:rsidRPr="00905499" w:rsidRDefault="0005370B" w:rsidP="001C1538">
            <w:pPr>
              <w:ind w:left="142" w:hanging="142"/>
              <w:rPr>
                <w:rFonts w:ascii="Times New Roman" w:hAnsi="Times New Roman" w:cs="Times New Roman"/>
                <w:sz w:val="15"/>
                <w:szCs w:val="15"/>
                <w:lang w:val="en-US"/>
              </w:rPr>
            </w:pPr>
            <w:r w:rsidRPr="00905499">
              <w:rPr>
                <w:sz w:val="15"/>
                <w:szCs w:val="15"/>
                <w:lang w:val="en-US"/>
              </w:rPr>
              <w:t>Distance</w:t>
            </w:r>
          </w:p>
        </w:tc>
        <w:tc>
          <w:tcPr>
            <w:tcW w:w="1711" w:type="dxa"/>
            <w:tcBorders>
              <w:top w:val="single" w:sz="4" w:space="0" w:color="auto"/>
            </w:tcBorders>
            <w:vAlign w:val="center"/>
          </w:tcPr>
          <w:p w14:paraId="1AD4A882" w14:textId="1330FF9E" w:rsidR="0005370B" w:rsidRPr="00905499" w:rsidRDefault="0005370B"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.323[.161, .485]*</w:t>
            </w:r>
            <w:r w:rsidR="00B97A75" w:rsidRPr="00905499">
              <w:rPr>
                <w:rFonts w:ascii="Times New Roman" w:hAnsi="Times New Roman" w:cs="Times New Roman"/>
                <w:sz w:val="15"/>
                <w:szCs w:val="15"/>
                <w:lang w:val="en-US"/>
              </w:rPr>
              <w:t>**</w:t>
            </w:r>
          </w:p>
        </w:tc>
        <w:tc>
          <w:tcPr>
            <w:tcW w:w="1701" w:type="dxa"/>
            <w:tcBorders>
              <w:top w:val="single" w:sz="4" w:space="0" w:color="auto"/>
            </w:tcBorders>
            <w:vAlign w:val="bottom"/>
          </w:tcPr>
          <w:p w14:paraId="6B5136DA" w14:textId="41C40F4C" w:rsidR="0005370B" w:rsidRPr="00905499" w:rsidRDefault="0005370B"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.313[.144</w:t>
            </w:r>
            <w:proofErr w:type="gramStart"/>
            <w:r w:rsidRPr="00905499">
              <w:rPr>
                <w:rFonts w:ascii="Times New Roman" w:hAnsi="Times New Roman" w:cs="Times New Roman"/>
                <w:sz w:val="15"/>
                <w:szCs w:val="15"/>
                <w:lang w:val="en-US"/>
              </w:rPr>
              <w:t>,.</w:t>
            </w:r>
            <w:proofErr w:type="gramEnd"/>
            <w:r w:rsidRPr="00905499">
              <w:rPr>
                <w:rFonts w:ascii="Times New Roman" w:hAnsi="Times New Roman" w:cs="Times New Roman"/>
                <w:sz w:val="15"/>
                <w:szCs w:val="15"/>
                <w:lang w:val="en-US"/>
              </w:rPr>
              <w:t>481]*</w:t>
            </w:r>
            <w:r w:rsidR="003D4A15" w:rsidRPr="00905499">
              <w:rPr>
                <w:rFonts w:ascii="Times New Roman" w:hAnsi="Times New Roman" w:cs="Times New Roman"/>
                <w:sz w:val="15"/>
                <w:szCs w:val="15"/>
                <w:lang w:val="en-US"/>
              </w:rPr>
              <w:t>**</w:t>
            </w:r>
          </w:p>
        </w:tc>
        <w:tc>
          <w:tcPr>
            <w:tcW w:w="1701" w:type="dxa"/>
            <w:tcBorders>
              <w:top w:val="single" w:sz="4" w:space="0" w:color="auto"/>
            </w:tcBorders>
            <w:vAlign w:val="center"/>
          </w:tcPr>
          <w:p w14:paraId="25B228CE" w14:textId="53842CCC" w:rsidR="0005370B" w:rsidRPr="00905499" w:rsidRDefault="0005370B"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.031[.024, .039]*</w:t>
            </w:r>
            <w:r w:rsidR="003D4A15" w:rsidRPr="00905499">
              <w:rPr>
                <w:rFonts w:ascii="Times New Roman" w:hAnsi="Times New Roman" w:cs="Times New Roman"/>
                <w:sz w:val="15"/>
                <w:szCs w:val="15"/>
                <w:lang w:val="en-US"/>
              </w:rPr>
              <w:t>**</w:t>
            </w:r>
          </w:p>
        </w:tc>
        <w:tc>
          <w:tcPr>
            <w:tcW w:w="1701" w:type="dxa"/>
            <w:tcBorders>
              <w:top w:val="single" w:sz="4" w:space="0" w:color="auto"/>
            </w:tcBorders>
            <w:vAlign w:val="bottom"/>
          </w:tcPr>
          <w:p w14:paraId="3ED437FC" w14:textId="3ED3A51A" w:rsidR="0005370B" w:rsidRPr="00905499" w:rsidRDefault="0005370B"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.031[.024</w:t>
            </w:r>
            <w:proofErr w:type="gramStart"/>
            <w:r w:rsidRPr="00905499">
              <w:rPr>
                <w:rFonts w:ascii="Times New Roman" w:hAnsi="Times New Roman" w:cs="Times New Roman"/>
                <w:sz w:val="15"/>
                <w:szCs w:val="15"/>
                <w:lang w:val="en-US"/>
              </w:rPr>
              <w:t>,.</w:t>
            </w:r>
            <w:proofErr w:type="gramEnd"/>
            <w:r w:rsidRPr="00905499">
              <w:rPr>
                <w:rFonts w:ascii="Times New Roman" w:hAnsi="Times New Roman" w:cs="Times New Roman"/>
                <w:sz w:val="15"/>
                <w:szCs w:val="15"/>
                <w:lang w:val="en-US"/>
              </w:rPr>
              <w:t>038]*</w:t>
            </w:r>
            <w:r w:rsidR="009F3105" w:rsidRPr="00905499">
              <w:rPr>
                <w:rFonts w:ascii="Times New Roman" w:hAnsi="Times New Roman" w:cs="Times New Roman"/>
                <w:sz w:val="15"/>
                <w:szCs w:val="15"/>
                <w:lang w:val="en-US"/>
              </w:rPr>
              <w:t>**</w:t>
            </w:r>
          </w:p>
        </w:tc>
        <w:tc>
          <w:tcPr>
            <w:tcW w:w="1708" w:type="dxa"/>
            <w:tcBorders>
              <w:top w:val="single" w:sz="4" w:space="0" w:color="auto"/>
            </w:tcBorders>
            <w:vAlign w:val="center"/>
          </w:tcPr>
          <w:p w14:paraId="6E748D85" w14:textId="47599C87" w:rsidR="0005370B" w:rsidRPr="00905499" w:rsidRDefault="0005370B"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.081[.057, .106]*</w:t>
            </w:r>
            <w:r w:rsidR="001C1538" w:rsidRPr="00905499">
              <w:rPr>
                <w:rFonts w:ascii="Times New Roman" w:hAnsi="Times New Roman" w:cs="Times New Roman"/>
                <w:sz w:val="15"/>
                <w:szCs w:val="15"/>
                <w:lang w:val="en-US"/>
              </w:rPr>
              <w:t>**</w:t>
            </w:r>
          </w:p>
        </w:tc>
        <w:tc>
          <w:tcPr>
            <w:tcW w:w="1694" w:type="dxa"/>
            <w:tcBorders>
              <w:top w:val="single" w:sz="4" w:space="0" w:color="auto"/>
            </w:tcBorders>
          </w:tcPr>
          <w:p w14:paraId="08661265" w14:textId="7C873D65" w:rsidR="0005370B" w:rsidRPr="00905499" w:rsidRDefault="0005370B"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.080[.056,</w:t>
            </w:r>
            <w:r w:rsidR="00246C2F" w:rsidRPr="00905499">
              <w:rPr>
                <w:rFonts w:ascii="Times New Roman" w:hAnsi="Times New Roman" w:cs="Times New Roman"/>
                <w:sz w:val="15"/>
                <w:szCs w:val="15"/>
                <w:lang w:val="en-US"/>
              </w:rPr>
              <w:t xml:space="preserve"> </w:t>
            </w:r>
            <w:r w:rsidRPr="00905499">
              <w:rPr>
                <w:rFonts w:ascii="Times New Roman" w:hAnsi="Times New Roman" w:cs="Times New Roman"/>
                <w:sz w:val="15"/>
                <w:szCs w:val="15"/>
                <w:lang w:val="en-US"/>
              </w:rPr>
              <w:t>.105]*</w:t>
            </w:r>
            <w:r w:rsidR="00A17886" w:rsidRPr="00905499">
              <w:rPr>
                <w:rFonts w:ascii="Times New Roman" w:hAnsi="Times New Roman" w:cs="Times New Roman"/>
                <w:sz w:val="15"/>
                <w:szCs w:val="15"/>
                <w:lang w:val="en-US"/>
              </w:rPr>
              <w:t>**</w:t>
            </w:r>
          </w:p>
        </w:tc>
      </w:tr>
      <w:tr w:rsidR="003D4A15" w:rsidRPr="00905499" w14:paraId="4A2A23BC" w14:textId="77777777" w:rsidTr="001C1538">
        <w:trPr>
          <w:trHeight w:val="227"/>
        </w:trPr>
        <w:tc>
          <w:tcPr>
            <w:tcW w:w="1232" w:type="dxa"/>
          </w:tcPr>
          <w:p w14:paraId="74E40000" w14:textId="77777777" w:rsidR="0005370B" w:rsidRPr="00905499" w:rsidRDefault="0005370B" w:rsidP="001C1538">
            <w:pPr>
              <w:ind w:left="142" w:hanging="142"/>
              <w:rPr>
                <w:sz w:val="15"/>
                <w:szCs w:val="15"/>
                <w:lang w:val="en-US"/>
              </w:rPr>
            </w:pPr>
            <w:r w:rsidRPr="00905499">
              <w:rPr>
                <w:sz w:val="15"/>
                <w:szCs w:val="15"/>
                <w:lang w:val="en-US"/>
              </w:rPr>
              <w:t>Distance</w:t>
            </w:r>
            <w:r w:rsidRPr="00905499">
              <w:rPr>
                <w:sz w:val="15"/>
                <w:szCs w:val="15"/>
                <w:vertAlign w:val="superscript"/>
                <w:lang w:val="en-US"/>
              </w:rPr>
              <w:t xml:space="preserve"> 2</w:t>
            </w:r>
          </w:p>
        </w:tc>
        <w:tc>
          <w:tcPr>
            <w:tcW w:w="1711" w:type="dxa"/>
            <w:vAlign w:val="center"/>
          </w:tcPr>
          <w:p w14:paraId="69E0F9E8" w14:textId="77777777" w:rsidR="0005370B" w:rsidRPr="00905499" w:rsidRDefault="0005370B" w:rsidP="001C1538">
            <w:pPr>
              <w:ind w:left="142" w:hanging="142"/>
              <w:rPr>
                <w:rFonts w:ascii="Times New Roman" w:hAnsi="Times New Roman" w:cs="Times New Roman"/>
                <w:sz w:val="15"/>
                <w:szCs w:val="15"/>
                <w:lang w:val="en-US"/>
              </w:rPr>
            </w:pPr>
          </w:p>
        </w:tc>
        <w:tc>
          <w:tcPr>
            <w:tcW w:w="1701" w:type="dxa"/>
            <w:vAlign w:val="bottom"/>
          </w:tcPr>
          <w:p w14:paraId="76E0277F" w14:textId="77777777" w:rsidR="0005370B" w:rsidRPr="00905499" w:rsidRDefault="0005370B" w:rsidP="001C1538">
            <w:pPr>
              <w:ind w:left="142" w:hanging="142"/>
              <w:rPr>
                <w:rFonts w:ascii="Times New Roman" w:hAnsi="Times New Roman" w:cs="Times New Roman"/>
                <w:sz w:val="15"/>
                <w:szCs w:val="15"/>
                <w:lang w:val="en-US"/>
              </w:rPr>
            </w:pPr>
          </w:p>
        </w:tc>
        <w:tc>
          <w:tcPr>
            <w:tcW w:w="1701" w:type="dxa"/>
            <w:vAlign w:val="center"/>
          </w:tcPr>
          <w:p w14:paraId="10583AC3" w14:textId="77777777" w:rsidR="0005370B" w:rsidRPr="00905499" w:rsidRDefault="0005370B" w:rsidP="001C1538">
            <w:pPr>
              <w:ind w:left="142" w:hanging="142"/>
              <w:rPr>
                <w:rFonts w:ascii="Times New Roman" w:hAnsi="Times New Roman" w:cs="Times New Roman"/>
                <w:sz w:val="15"/>
                <w:szCs w:val="15"/>
                <w:lang w:val="en-US"/>
              </w:rPr>
            </w:pPr>
          </w:p>
        </w:tc>
        <w:tc>
          <w:tcPr>
            <w:tcW w:w="1701" w:type="dxa"/>
            <w:vAlign w:val="bottom"/>
          </w:tcPr>
          <w:p w14:paraId="23D2F5A0" w14:textId="77777777" w:rsidR="0005370B" w:rsidRPr="00905499" w:rsidRDefault="0005370B" w:rsidP="001C1538">
            <w:pPr>
              <w:ind w:left="142" w:hanging="142"/>
              <w:rPr>
                <w:rFonts w:ascii="Times New Roman" w:hAnsi="Times New Roman" w:cs="Times New Roman"/>
                <w:sz w:val="15"/>
                <w:szCs w:val="15"/>
                <w:lang w:val="en-US"/>
              </w:rPr>
            </w:pPr>
          </w:p>
        </w:tc>
        <w:tc>
          <w:tcPr>
            <w:tcW w:w="1708" w:type="dxa"/>
            <w:vAlign w:val="center"/>
          </w:tcPr>
          <w:p w14:paraId="6F25CA19" w14:textId="53D6CEAB" w:rsidR="0005370B" w:rsidRPr="00905499" w:rsidRDefault="0005370B"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-.001[-.002, -.001]*</w:t>
            </w:r>
            <w:r w:rsidR="001C1538" w:rsidRPr="00905499">
              <w:rPr>
                <w:rFonts w:ascii="Times New Roman" w:hAnsi="Times New Roman" w:cs="Times New Roman"/>
                <w:sz w:val="15"/>
                <w:szCs w:val="15"/>
                <w:lang w:val="en-US"/>
              </w:rPr>
              <w:t>**</w:t>
            </w:r>
          </w:p>
        </w:tc>
        <w:tc>
          <w:tcPr>
            <w:tcW w:w="1694" w:type="dxa"/>
          </w:tcPr>
          <w:p w14:paraId="17C70C28" w14:textId="6B4B4599" w:rsidR="0005370B" w:rsidRPr="00905499" w:rsidRDefault="0005370B"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-.001[-.002,</w:t>
            </w:r>
            <w:r w:rsidR="00246C2F" w:rsidRPr="00905499">
              <w:rPr>
                <w:rFonts w:ascii="Times New Roman" w:hAnsi="Times New Roman" w:cs="Times New Roman"/>
                <w:sz w:val="15"/>
                <w:szCs w:val="15"/>
                <w:lang w:val="en-US"/>
              </w:rPr>
              <w:t xml:space="preserve"> </w:t>
            </w:r>
            <w:r w:rsidRPr="00905499">
              <w:rPr>
                <w:rFonts w:ascii="Times New Roman" w:hAnsi="Times New Roman" w:cs="Times New Roman"/>
                <w:sz w:val="15"/>
                <w:szCs w:val="15"/>
                <w:lang w:val="en-US"/>
              </w:rPr>
              <w:t>-.001]*</w:t>
            </w:r>
            <w:r w:rsidR="00A17886" w:rsidRPr="00905499">
              <w:rPr>
                <w:rFonts w:ascii="Times New Roman" w:hAnsi="Times New Roman" w:cs="Times New Roman"/>
                <w:sz w:val="15"/>
                <w:szCs w:val="15"/>
                <w:lang w:val="en-US"/>
              </w:rPr>
              <w:t>**</w:t>
            </w:r>
          </w:p>
        </w:tc>
      </w:tr>
      <w:tr w:rsidR="003D4A15" w:rsidRPr="00905499" w14:paraId="444074EC" w14:textId="77777777" w:rsidTr="001C1538">
        <w:trPr>
          <w:trHeight w:val="244"/>
        </w:trPr>
        <w:tc>
          <w:tcPr>
            <w:tcW w:w="1232" w:type="dxa"/>
          </w:tcPr>
          <w:p w14:paraId="4DA9CEE5" w14:textId="77777777" w:rsidR="0005370B" w:rsidRPr="00905499" w:rsidRDefault="0005370B" w:rsidP="001C1538">
            <w:pPr>
              <w:ind w:left="142" w:hanging="142"/>
              <w:rPr>
                <w:rFonts w:ascii="Times New Roman" w:hAnsi="Times New Roman" w:cs="Times New Roman"/>
                <w:sz w:val="15"/>
                <w:szCs w:val="15"/>
                <w:lang w:val="en-US"/>
              </w:rPr>
            </w:pPr>
            <w:proofErr w:type="gramStart"/>
            <w:r w:rsidRPr="00905499">
              <w:rPr>
                <w:rFonts w:ascii="Times New Roman" w:hAnsi="Times New Roman" w:cs="Times New Roman"/>
                <w:sz w:val="15"/>
                <w:szCs w:val="15"/>
                <w:lang w:val="en-US"/>
              </w:rPr>
              <w:t>z</w:t>
            </w:r>
            <w:proofErr w:type="gramEnd"/>
            <w:r w:rsidRPr="00905499">
              <w:rPr>
                <w:rFonts w:ascii="Times New Roman" w:hAnsi="Times New Roman" w:cs="Times New Roman"/>
                <w:sz w:val="15"/>
                <w:szCs w:val="15"/>
                <w:lang w:val="en-US"/>
              </w:rPr>
              <w:t>-score ESCS</w:t>
            </w:r>
          </w:p>
        </w:tc>
        <w:tc>
          <w:tcPr>
            <w:tcW w:w="1711" w:type="dxa"/>
            <w:vAlign w:val="center"/>
          </w:tcPr>
          <w:p w14:paraId="0672FABE" w14:textId="59CB0C57" w:rsidR="0005370B" w:rsidRPr="00905499" w:rsidRDefault="0005370B"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.117[.060, .175]*</w:t>
            </w:r>
            <w:r w:rsidR="00B97A75" w:rsidRPr="00905499">
              <w:rPr>
                <w:rFonts w:ascii="Times New Roman" w:hAnsi="Times New Roman" w:cs="Times New Roman"/>
                <w:sz w:val="15"/>
                <w:szCs w:val="15"/>
                <w:lang w:val="en-US"/>
              </w:rPr>
              <w:t>**</w:t>
            </w:r>
          </w:p>
        </w:tc>
        <w:tc>
          <w:tcPr>
            <w:tcW w:w="1701" w:type="dxa"/>
            <w:vAlign w:val="bottom"/>
          </w:tcPr>
          <w:p w14:paraId="0409EC72" w14:textId="43AD3762" w:rsidR="0005370B" w:rsidRPr="00905499" w:rsidRDefault="0005370B"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.185[.032</w:t>
            </w:r>
            <w:proofErr w:type="gramStart"/>
            <w:r w:rsidRPr="00905499">
              <w:rPr>
                <w:rFonts w:ascii="Times New Roman" w:hAnsi="Times New Roman" w:cs="Times New Roman"/>
                <w:sz w:val="15"/>
                <w:szCs w:val="15"/>
                <w:lang w:val="en-US"/>
              </w:rPr>
              <w:t>,.</w:t>
            </w:r>
            <w:proofErr w:type="gramEnd"/>
            <w:r w:rsidRPr="00905499">
              <w:rPr>
                <w:rFonts w:ascii="Times New Roman" w:hAnsi="Times New Roman" w:cs="Times New Roman"/>
                <w:sz w:val="15"/>
                <w:szCs w:val="15"/>
                <w:lang w:val="en-US"/>
              </w:rPr>
              <w:t>338]*</w:t>
            </w:r>
          </w:p>
        </w:tc>
        <w:tc>
          <w:tcPr>
            <w:tcW w:w="1701" w:type="dxa"/>
            <w:vAlign w:val="center"/>
          </w:tcPr>
          <w:p w14:paraId="0BC08558" w14:textId="10B76973" w:rsidR="0005370B" w:rsidRPr="00905499" w:rsidRDefault="0005370B"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.148[.095, .205]*</w:t>
            </w:r>
            <w:r w:rsidR="003D4A15" w:rsidRPr="00905499">
              <w:rPr>
                <w:rFonts w:ascii="Times New Roman" w:hAnsi="Times New Roman" w:cs="Times New Roman"/>
                <w:sz w:val="15"/>
                <w:szCs w:val="15"/>
                <w:lang w:val="en-US"/>
              </w:rPr>
              <w:t>**</w:t>
            </w:r>
          </w:p>
        </w:tc>
        <w:tc>
          <w:tcPr>
            <w:tcW w:w="1701" w:type="dxa"/>
            <w:vAlign w:val="bottom"/>
          </w:tcPr>
          <w:p w14:paraId="73C82FB9" w14:textId="5871B348" w:rsidR="0005370B" w:rsidRPr="00905499" w:rsidRDefault="0005370B"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.203[.138</w:t>
            </w:r>
            <w:proofErr w:type="gramStart"/>
            <w:r w:rsidRPr="00905499">
              <w:rPr>
                <w:rFonts w:ascii="Times New Roman" w:hAnsi="Times New Roman" w:cs="Times New Roman"/>
                <w:sz w:val="15"/>
                <w:szCs w:val="15"/>
                <w:lang w:val="en-US"/>
              </w:rPr>
              <w:t>,.</w:t>
            </w:r>
            <w:proofErr w:type="gramEnd"/>
            <w:r w:rsidRPr="00905499">
              <w:rPr>
                <w:rFonts w:ascii="Times New Roman" w:hAnsi="Times New Roman" w:cs="Times New Roman"/>
                <w:sz w:val="15"/>
                <w:szCs w:val="15"/>
                <w:lang w:val="en-US"/>
              </w:rPr>
              <w:t>270]*</w:t>
            </w:r>
            <w:r w:rsidR="009F3105" w:rsidRPr="00905499">
              <w:rPr>
                <w:rFonts w:ascii="Times New Roman" w:hAnsi="Times New Roman" w:cs="Times New Roman"/>
                <w:sz w:val="15"/>
                <w:szCs w:val="15"/>
                <w:lang w:val="en-US"/>
              </w:rPr>
              <w:t>**</w:t>
            </w:r>
          </w:p>
        </w:tc>
        <w:tc>
          <w:tcPr>
            <w:tcW w:w="1708" w:type="dxa"/>
            <w:vAlign w:val="center"/>
          </w:tcPr>
          <w:p w14:paraId="61DBB33B" w14:textId="72C357FA" w:rsidR="0005370B" w:rsidRPr="00905499" w:rsidRDefault="0005370B"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.150[.092, .207]*</w:t>
            </w:r>
            <w:r w:rsidR="001C1538" w:rsidRPr="00905499">
              <w:rPr>
                <w:rFonts w:ascii="Times New Roman" w:hAnsi="Times New Roman" w:cs="Times New Roman"/>
                <w:sz w:val="15"/>
                <w:szCs w:val="15"/>
                <w:lang w:val="en-US"/>
              </w:rPr>
              <w:t>**</w:t>
            </w:r>
          </w:p>
        </w:tc>
        <w:tc>
          <w:tcPr>
            <w:tcW w:w="1694" w:type="dxa"/>
          </w:tcPr>
          <w:p w14:paraId="4477D558" w14:textId="41B9ECCD" w:rsidR="0005370B" w:rsidRPr="00905499" w:rsidRDefault="0005370B"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.214[.136,</w:t>
            </w:r>
            <w:r w:rsidR="00246C2F" w:rsidRPr="00905499">
              <w:rPr>
                <w:rFonts w:ascii="Times New Roman" w:hAnsi="Times New Roman" w:cs="Times New Roman"/>
                <w:sz w:val="15"/>
                <w:szCs w:val="15"/>
                <w:lang w:val="en-US"/>
              </w:rPr>
              <w:t xml:space="preserve"> </w:t>
            </w:r>
            <w:r w:rsidRPr="00905499">
              <w:rPr>
                <w:rFonts w:ascii="Times New Roman" w:hAnsi="Times New Roman" w:cs="Times New Roman"/>
                <w:sz w:val="15"/>
                <w:szCs w:val="15"/>
                <w:lang w:val="en-US"/>
              </w:rPr>
              <w:t>293]*</w:t>
            </w:r>
            <w:r w:rsidR="00A17886" w:rsidRPr="00905499">
              <w:rPr>
                <w:rFonts w:ascii="Times New Roman" w:hAnsi="Times New Roman" w:cs="Times New Roman"/>
                <w:sz w:val="15"/>
                <w:szCs w:val="15"/>
                <w:lang w:val="en-US"/>
              </w:rPr>
              <w:t>**</w:t>
            </w:r>
          </w:p>
        </w:tc>
      </w:tr>
      <w:tr w:rsidR="003D4A15" w:rsidRPr="00905499" w14:paraId="75BBA221" w14:textId="77777777" w:rsidTr="001C1538">
        <w:trPr>
          <w:trHeight w:val="244"/>
        </w:trPr>
        <w:tc>
          <w:tcPr>
            <w:tcW w:w="1232" w:type="dxa"/>
          </w:tcPr>
          <w:p w14:paraId="4CA9495C" w14:textId="780567F1" w:rsidR="0005370B" w:rsidRPr="00905499" w:rsidRDefault="0005370B" w:rsidP="001C1538">
            <w:pPr>
              <w:rPr>
                <w:rFonts w:ascii="Times New Roman" w:hAnsi="Times New Roman" w:cs="Times New Roman"/>
                <w:sz w:val="15"/>
                <w:szCs w:val="15"/>
                <w:lang w:val="en-US"/>
              </w:rPr>
            </w:pPr>
            <w:r w:rsidRPr="00905499">
              <w:rPr>
                <w:rFonts w:ascii="Times New Roman" w:hAnsi="Times New Roman" w:cs="Times New Roman"/>
                <w:sz w:val="15"/>
                <w:szCs w:val="15"/>
                <w:lang w:val="en-US"/>
              </w:rPr>
              <w:t>University Expectations</w:t>
            </w:r>
          </w:p>
        </w:tc>
        <w:tc>
          <w:tcPr>
            <w:tcW w:w="1711" w:type="dxa"/>
            <w:vAlign w:val="center"/>
          </w:tcPr>
          <w:p w14:paraId="157030BB" w14:textId="5DA54B6E" w:rsidR="0005370B" w:rsidRPr="00905499" w:rsidRDefault="0005370B"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1.707[1.581,1.833]*</w:t>
            </w:r>
            <w:r w:rsidR="00B97A75" w:rsidRPr="00905499">
              <w:rPr>
                <w:rFonts w:ascii="Times New Roman" w:hAnsi="Times New Roman" w:cs="Times New Roman"/>
                <w:sz w:val="15"/>
                <w:szCs w:val="15"/>
                <w:lang w:val="en-US"/>
              </w:rPr>
              <w:t>**</w:t>
            </w:r>
          </w:p>
        </w:tc>
        <w:tc>
          <w:tcPr>
            <w:tcW w:w="1701" w:type="dxa"/>
            <w:vAlign w:val="bottom"/>
          </w:tcPr>
          <w:p w14:paraId="0C0A3567" w14:textId="198BAA02" w:rsidR="0005370B" w:rsidRPr="00905499" w:rsidRDefault="0005370B"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1.705[1.579,1.830]*</w:t>
            </w:r>
            <w:r w:rsidR="003D4A15" w:rsidRPr="00905499">
              <w:rPr>
                <w:rFonts w:ascii="Times New Roman" w:hAnsi="Times New Roman" w:cs="Times New Roman"/>
                <w:sz w:val="15"/>
                <w:szCs w:val="15"/>
                <w:lang w:val="en-US"/>
              </w:rPr>
              <w:t>**</w:t>
            </w:r>
          </w:p>
        </w:tc>
        <w:tc>
          <w:tcPr>
            <w:tcW w:w="1701" w:type="dxa"/>
            <w:vAlign w:val="center"/>
          </w:tcPr>
          <w:p w14:paraId="7EAF5E1F" w14:textId="6755245C" w:rsidR="0005370B" w:rsidRPr="00905499" w:rsidRDefault="0005370B"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1.706[1.579,1.833]*</w:t>
            </w:r>
            <w:r w:rsidR="003D4A15" w:rsidRPr="00905499">
              <w:rPr>
                <w:rFonts w:ascii="Times New Roman" w:hAnsi="Times New Roman" w:cs="Times New Roman"/>
                <w:sz w:val="15"/>
                <w:szCs w:val="15"/>
                <w:lang w:val="en-US"/>
              </w:rPr>
              <w:t>**</w:t>
            </w:r>
          </w:p>
        </w:tc>
        <w:tc>
          <w:tcPr>
            <w:tcW w:w="1701" w:type="dxa"/>
            <w:vAlign w:val="bottom"/>
          </w:tcPr>
          <w:p w14:paraId="28BAC3D3" w14:textId="1CF7AD05" w:rsidR="0005370B" w:rsidRPr="00905499" w:rsidRDefault="0005370B"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1.695[1.567,1.823]*</w:t>
            </w:r>
            <w:r w:rsidR="009F3105" w:rsidRPr="00905499">
              <w:rPr>
                <w:rFonts w:ascii="Times New Roman" w:hAnsi="Times New Roman" w:cs="Times New Roman"/>
                <w:sz w:val="15"/>
                <w:szCs w:val="15"/>
                <w:lang w:val="en-US"/>
              </w:rPr>
              <w:t>**</w:t>
            </w:r>
          </w:p>
        </w:tc>
        <w:tc>
          <w:tcPr>
            <w:tcW w:w="1708" w:type="dxa"/>
            <w:vAlign w:val="center"/>
          </w:tcPr>
          <w:p w14:paraId="1FF7332C" w14:textId="4B12F433" w:rsidR="0005370B" w:rsidRPr="00905499" w:rsidRDefault="0005370B"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1.693[1.567,1.820]*</w:t>
            </w:r>
            <w:r w:rsidR="001C1538" w:rsidRPr="00905499">
              <w:rPr>
                <w:rFonts w:ascii="Times New Roman" w:hAnsi="Times New Roman" w:cs="Times New Roman"/>
                <w:sz w:val="15"/>
                <w:szCs w:val="15"/>
                <w:lang w:val="en-US"/>
              </w:rPr>
              <w:t>**</w:t>
            </w:r>
          </w:p>
        </w:tc>
        <w:tc>
          <w:tcPr>
            <w:tcW w:w="1694" w:type="dxa"/>
          </w:tcPr>
          <w:p w14:paraId="6972D754" w14:textId="14BE55CF" w:rsidR="0005370B" w:rsidRPr="00905499" w:rsidRDefault="0005370B"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1.683[1.555,1.811]</w:t>
            </w:r>
            <w:r w:rsidR="00A17886" w:rsidRPr="00905499">
              <w:rPr>
                <w:rFonts w:ascii="Times New Roman" w:hAnsi="Times New Roman" w:cs="Times New Roman"/>
                <w:sz w:val="15"/>
                <w:szCs w:val="15"/>
                <w:lang w:val="en-US"/>
              </w:rPr>
              <w:t>**</w:t>
            </w:r>
            <w:r w:rsidRPr="00905499">
              <w:rPr>
                <w:rFonts w:ascii="Times New Roman" w:hAnsi="Times New Roman" w:cs="Times New Roman"/>
                <w:sz w:val="15"/>
                <w:szCs w:val="15"/>
                <w:lang w:val="en-US"/>
              </w:rPr>
              <w:t>*</w:t>
            </w:r>
          </w:p>
        </w:tc>
      </w:tr>
      <w:tr w:rsidR="003D4A15" w:rsidRPr="00905499" w14:paraId="357FD19D" w14:textId="77777777" w:rsidTr="001C1538">
        <w:trPr>
          <w:trHeight w:val="244"/>
        </w:trPr>
        <w:tc>
          <w:tcPr>
            <w:tcW w:w="1232" w:type="dxa"/>
          </w:tcPr>
          <w:p w14:paraId="77D26769" w14:textId="77777777" w:rsidR="0005370B" w:rsidRPr="00905499" w:rsidRDefault="0005370B" w:rsidP="001C1538">
            <w:pPr>
              <w:ind w:left="142" w:hanging="142"/>
              <w:rPr>
                <w:rFonts w:ascii="Times New Roman" w:hAnsi="Times New Roman" w:cs="Times New Roman"/>
                <w:sz w:val="15"/>
                <w:szCs w:val="15"/>
                <w:lang w:val="en-US"/>
              </w:rPr>
            </w:pPr>
            <w:r w:rsidRPr="00905499">
              <w:rPr>
                <w:sz w:val="15"/>
                <w:szCs w:val="15"/>
                <w:lang w:val="en-US"/>
              </w:rPr>
              <w:t>Distance *ESCS</w:t>
            </w:r>
          </w:p>
        </w:tc>
        <w:tc>
          <w:tcPr>
            <w:tcW w:w="1711" w:type="dxa"/>
            <w:vAlign w:val="center"/>
          </w:tcPr>
          <w:p w14:paraId="5DD613A4" w14:textId="77777777" w:rsidR="0005370B" w:rsidRPr="00905499" w:rsidRDefault="0005370B" w:rsidP="001C1538">
            <w:pPr>
              <w:ind w:left="142" w:hanging="142"/>
              <w:rPr>
                <w:rFonts w:ascii="Times New Roman" w:hAnsi="Times New Roman" w:cs="Times New Roman"/>
                <w:sz w:val="15"/>
                <w:szCs w:val="15"/>
                <w:lang w:val="en-US"/>
              </w:rPr>
            </w:pPr>
          </w:p>
        </w:tc>
        <w:tc>
          <w:tcPr>
            <w:tcW w:w="1701" w:type="dxa"/>
            <w:vAlign w:val="bottom"/>
          </w:tcPr>
          <w:p w14:paraId="78BC5503" w14:textId="17719BD7" w:rsidR="0005370B" w:rsidRPr="00905499" w:rsidRDefault="0005370B"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-.087[-.256</w:t>
            </w:r>
            <w:proofErr w:type="gramStart"/>
            <w:r w:rsidRPr="00905499">
              <w:rPr>
                <w:rFonts w:ascii="Times New Roman" w:hAnsi="Times New Roman" w:cs="Times New Roman"/>
                <w:sz w:val="15"/>
                <w:szCs w:val="15"/>
                <w:lang w:val="en-US"/>
              </w:rPr>
              <w:t>,.</w:t>
            </w:r>
            <w:proofErr w:type="gramEnd"/>
            <w:r w:rsidRPr="00905499">
              <w:rPr>
                <w:rFonts w:ascii="Times New Roman" w:hAnsi="Times New Roman" w:cs="Times New Roman"/>
                <w:sz w:val="15"/>
                <w:szCs w:val="15"/>
                <w:lang w:val="en-US"/>
              </w:rPr>
              <w:t>082]</w:t>
            </w:r>
          </w:p>
        </w:tc>
        <w:tc>
          <w:tcPr>
            <w:tcW w:w="1701" w:type="dxa"/>
            <w:vAlign w:val="center"/>
          </w:tcPr>
          <w:p w14:paraId="6C165D82" w14:textId="77777777" w:rsidR="0005370B" w:rsidRPr="00905499" w:rsidRDefault="0005370B" w:rsidP="001C1538">
            <w:pPr>
              <w:ind w:left="142" w:hanging="142"/>
              <w:rPr>
                <w:rFonts w:ascii="Times New Roman" w:hAnsi="Times New Roman" w:cs="Times New Roman"/>
                <w:sz w:val="15"/>
                <w:szCs w:val="15"/>
                <w:lang w:val="en-US"/>
              </w:rPr>
            </w:pPr>
          </w:p>
        </w:tc>
        <w:tc>
          <w:tcPr>
            <w:tcW w:w="1701" w:type="dxa"/>
            <w:vAlign w:val="bottom"/>
          </w:tcPr>
          <w:p w14:paraId="310E2329" w14:textId="6C1914E7" w:rsidR="0005370B" w:rsidRPr="00905499" w:rsidRDefault="0005370B"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-.007[-.013</w:t>
            </w:r>
            <w:proofErr w:type="gramStart"/>
            <w:r w:rsidRPr="00905499">
              <w:rPr>
                <w:rFonts w:ascii="Times New Roman" w:hAnsi="Times New Roman" w:cs="Times New Roman"/>
                <w:sz w:val="15"/>
                <w:szCs w:val="15"/>
                <w:lang w:val="en-US"/>
              </w:rPr>
              <w:t>,-</w:t>
            </w:r>
            <w:proofErr w:type="gramEnd"/>
            <w:r w:rsidRPr="00905499">
              <w:rPr>
                <w:rFonts w:ascii="Times New Roman" w:hAnsi="Times New Roman" w:cs="Times New Roman"/>
                <w:sz w:val="15"/>
                <w:szCs w:val="15"/>
                <w:lang w:val="en-US"/>
              </w:rPr>
              <w:t>.001]*</w:t>
            </w:r>
          </w:p>
        </w:tc>
        <w:tc>
          <w:tcPr>
            <w:tcW w:w="1708" w:type="dxa"/>
            <w:vAlign w:val="center"/>
          </w:tcPr>
          <w:p w14:paraId="0667BB22" w14:textId="77777777" w:rsidR="0005370B" w:rsidRPr="00905499" w:rsidRDefault="0005370B" w:rsidP="001C1538">
            <w:pPr>
              <w:ind w:left="142" w:hanging="142"/>
              <w:rPr>
                <w:rFonts w:ascii="Times New Roman" w:hAnsi="Times New Roman" w:cs="Times New Roman"/>
                <w:sz w:val="15"/>
                <w:szCs w:val="15"/>
                <w:lang w:val="en-US"/>
              </w:rPr>
            </w:pPr>
          </w:p>
        </w:tc>
        <w:tc>
          <w:tcPr>
            <w:tcW w:w="1694" w:type="dxa"/>
          </w:tcPr>
          <w:p w14:paraId="5482B5A8" w14:textId="678631A2" w:rsidR="0005370B" w:rsidRPr="00905499" w:rsidRDefault="0005370B"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-.012[-.031,</w:t>
            </w:r>
            <w:r w:rsidR="00246C2F" w:rsidRPr="00905499">
              <w:rPr>
                <w:rFonts w:ascii="Times New Roman" w:hAnsi="Times New Roman" w:cs="Times New Roman"/>
                <w:sz w:val="15"/>
                <w:szCs w:val="15"/>
                <w:lang w:val="en-US"/>
              </w:rPr>
              <w:t xml:space="preserve"> </w:t>
            </w:r>
            <w:r w:rsidRPr="00905499">
              <w:rPr>
                <w:rFonts w:ascii="Times New Roman" w:hAnsi="Times New Roman" w:cs="Times New Roman"/>
                <w:sz w:val="15"/>
                <w:szCs w:val="15"/>
                <w:lang w:val="en-US"/>
              </w:rPr>
              <w:t>.008]</w:t>
            </w:r>
          </w:p>
        </w:tc>
      </w:tr>
      <w:tr w:rsidR="003D4A15" w:rsidRPr="00905499" w14:paraId="40C23142" w14:textId="77777777" w:rsidTr="001C1538">
        <w:trPr>
          <w:trHeight w:val="244"/>
        </w:trPr>
        <w:tc>
          <w:tcPr>
            <w:tcW w:w="1232" w:type="dxa"/>
          </w:tcPr>
          <w:p w14:paraId="039936E0" w14:textId="77777777" w:rsidR="0005370B" w:rsidRPr="00905499" w:rsidRDefault="0005370B" w:rsidP="001C1538">
            <w:pPr>
              <w:ind w:left="142" w:hanging="142"/>
              <w:rPr>
                <w:rFonts w:ascii="Times New Roman" w:hAnsi="Times New Roman" w:cs="Times New Roman"/>
                <w:sz w:val="15"/>
                <w:szCs w:val="15"/>
                <w:lang w:val="en-US"/>
              </w:rPr>
            </w:pPr>
            <w:r w:rsidRPr="00905499">
              <w:rPr>
                <w:sz w:val="15"/>
                <w:szCs w:val="15"/>
                <w:lang w:val="en-US"/>
              </w:rPr>
              <w:t>Distance</w:t>
            </w:r>
            <w:r w:rsidRPr="00905499">
              <w:rPr>
                <w:sz w:val="15"/>
                <w:szCs w:val="15"/>
                <w:vertAlign w:val="superscript"/>
                <w:lang w:val="en-US"/>
              </w:rPr>
              <w:t xml:space="preserve"> 2</w:t>
            </w:r>
            <w:r w:rsidRPr="00905499">
              <w:rPr>
                <w:sz w:val="15"/>
                <w:szCs w:val="15"/>
                <w:lang w:val="en-US"/>
              </w:rPr>
              <w:t>*ESCS</w:t>
            </w:r>
          </w:p>
        </w:tc>
        <w:tc>
          <w:tcPr>
            <w:tcW w:w="1711" w:type="dxa"/>
            <w:vAlign w:val="center"/>
          </w:tcPr>
          <w:p w14:paraId="27DAE3C0" w14:textId="77777777" w:rsidR="0005370B" w:rsidRPr="00905499" w:rsidRDefault="0005370B" w:rsidP="001C1538">
            <w:pPr>
              <w:ind w:left="142" w:hanging="142"/>
              <w:rPr>
                <w:rFonts w:ascii="Times New Roman" w:hAnsi="Times New Roman" w:cs="Times New Roman"/>
                <w:sz w:val="15"/>
                <w:szCs w:val="15"/>
                <w:lang w:val="en-US"/>
              </w:rPr>
            </w:pPr>
          </w:p>
        </w:tc>
        <w:tc>
          <w:tcPr>
            <w:tcW w:w="1701" w:type="dxa"/>
            <w:vAlign w:val="center"/>
          </w:tcPr>
          <w:p w14:paraId="13601551" w14:textId="77777777" w:rsidR="0005370B" w:rsidRPr="00905499" w:rsidRDefault="0005370B" w:rsidP="001C1538">
            <w:pPr>
              <w:ind w:left="142" w:hanging="142"/>
              <w:rPr>
                <w:rFonts w:ascii="Times New Roman" w:hAnsi="Times New Roman" w:cs="Times New Roman"/>
                <w:sz w:val="15"/>
                <w:szCs w:val="15"/>
                <w:lang w:val="en-US"/>
              </w:rPr>
            </w:pPr>
          </w:p>
        </w:tc>
        <w:tc>
          <w:tcPr>
            <w:tcW w:w="1701" w:type="dxa"/>
            <w:vAlign w:val="center"/>
          </w:tcPr>
          <w:p w14:paraId="681E92B9" w14:textId="77777777" w:rsidR="0005370B" w:rsidRPr="00905499" w:rsidRDefault="0005370B" w:rsidP="001C1538">
            <w:pPr>
              <w:ind w:left="142" w:hanging="142"/>
              <w:rPr>
                <w:rFonts w:ascii="Times New Roman" w:hAnsi="Times New Roman" w:cs="Times New Roman"/>
                <w:sz w:val="15"/>
                <w:szCs w:val="15"/>
                <w:lang w:val="en-US"/>
              </w:rPr>
            </w:pPr>
          </w:p>
        </w:tc>
        <w:tc>
          <w:tcPr>
            <w:tcW w:w="1701" w:type="dxa"/>
            <w:vAlign w:val="center"/>
          </w:tcPr>
          <w:p w14:paraId="77EFBC4A" w14:textId="77777777" w:rsidR="0005370B" w:rsidRPr="00905499" w:rsidRDefault="0005370B" w:rsidP="001C1538">
            <w:pPr>
              <w:ind w:left="142" w:hanging="142"/>
              <w:rPr>
                <w:rFonts w:ascii="Times New Roman" w:hAnsi="Times New Roman" w:cs="Times New Roman"/>
                <w:sz w:val="15"/>
                <w:szCs w:val="15"/>
                <w:lang w:val="en-US"/>
              </w:rPr>
            </w:pPr>
          </w:p>
        </w:tc>
        <w:tc>
          <w:tcPr>
            <w:tcW w:w="1708" w:type="dxa"/>
            <w:vAlign w:val="center"/>
          </w:tcPr>
          <w:p w14:paraId="4317511A" w14:textId="77777777" w:rsidR="0005370B" w:rsidRPr="00905499" w:rsidRDefault="0005370B" w:rsidP="001C1538">
            <w:pPr>
              <w:ind w:left="142" w:hanging="142"/>
              <w:rPr>
                <w:rFonts w:ascii="Times New Roman" w:hAnsi="Times New Roman" w:cs="Times New Roman"/>
                <w:sz w:val="15"/>
                <w:szCs w:val="15"/>
                <w:lang w:val="en-US"/>
              </w:rPr>
            </w:pPr>
          </w:p>
        </w:tc>
        <w:tc>
          <w:tcPr>
            <w:tcW w:w="1694" w:type="dxa"/>
          </w:tcPr>
          <w:p w14:paraId="708F33C6" w14:textId="222AF99B" w:rsidR="0005370B" w:rsidRPr="00905499" w:rsidRDefault="0005370B"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.000[.000,</w:t>
            </w:r>
            <w:r w:rsidR="00246C2F" w:rsidRPr="00905499">
              <w:rPr>
                <w:rFonts w:ascii="Times New Roman" w:hAnsi="Times New Roman" w:cs="Times New Roman"/>
                <w:sz w:val="15"/>
                <w:szCs w:val="15"/>
                <w:lang w:val="en-US"/>
              </w:rPr>
              <w:t xml:space="preserve"> </w:t>
            </w:r>
            <w:r w:rsidRPr="00905499">
              <w:rPr>
                <w:rFonts w:ascii="Times New Roman" w:hAnsi="Times New Roman" w:cs="Times New Roman"/>
                <w:sz w:val="15"/>
                <w:szCs w:val="15"/>
                <w:lang w:val="en-US"/>
              </w:rPr>
              <w:t>.001]</w:t>
            </w:r>
          </w:p>
        </w:tc>
      </w:tr>
      <w:tr w:rsidR="003D4A15" w:rsidRPr="00905499" w14:paraId="39A0B09E" w14:textId="77777777" w:rsidTr="001C1538">
        <w:trPr>
          <w:trHeight w:val="244"/>
        </w:trPr>
        <w:tc>
          <w:tcPr>
            <w:tcW w:w="1232" w:type="dxa"/>
          </w:tcPr>
          <w:p w14:paraId="3C357FD3" w14:textId="5B49D187" w:rsidR="0074659A" w:rsidRPr="00905499" w:rsidRDefault="0074659A" w:rsidP="001C1538">
            <w:pPr>
              <w:ind w:left="142" w:hanging="142"/>
              <w:rPr>
                <w:sz w:val="15"/>
                <w:szCs w:val="15"/>
                <w:lang w:val="en-US"/>
              </w:rPr>
            </w:pPr>
            <w:r w:rsidRPr="00905499">
              <w:rPr>
                <w:sz w:val="15"/>
                <w:szCs w:val="15"/>
                <w:lang w:val="en-US"/>
              </w:rPr>
              <w:t>Distance *Indigenous</w:t>
            </w:r>
          </w:p>
        </w:tc>
        <w:tc>
          <w:tcPr>
            <w:tcW w:w="1711" w:type="dxa"/>
            <w:vAlign w:val="center"/>
          </w:tcPr>
          <w:p w14:paraId="6B759C50" w14:textId="77777777" w:rsidR="0074659A" w:rsidRPr="00905499" w:rsidRDefault="0074659A" w:rsidP="001C1538">
            <w:pPr>
              <w:ind w:left="142" w:hanging="142"/>
              <w:rPr>
                <w:rFonts w:ascii="Times New Roman" w:hAnsi="Times New Roman" w:cs="Times New Roman"/>
                <w:sz w:val="15"/>
                <w:szCs w:val="15"/>
                <w:lang w:val="en-US"/>
              </w:rPr>
            </w:pPr>
          </w:p>
        </w:tc>
        <w:tc>
          <w:tcPr>
            <w:tcW w:w="1701" w:type="dxa"/>
            <w:vAlign w:val="center"/>
          </w:tcPr>
          <w:p w14:paraId="19FAA106" w14:textId="085206A3" w:rsidR="0074659A" w:rsidRPr="00905499" w:rsidRDefault="00246C2F"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-.123[-.797, .551]</w:t>
            </w:r>
          </w:p>
        </w:tc>
        <w:tc>
          <w:tcPr>
            <w:tcW w:w="1701" w:type="dxa"/>
            <w:vAlign w:val="center"/>
          </w:tcPr>
          <w:p w14:paraId="3F0035AD" w14:textId="77777777" w:rsidR="0074659A" w:rsidRPr="00905499" w:rsidRDefault="0074659A" w:rsidP="001C1538">
            <w:pPr>
              <w:ind w:left="142" w:hanging="142"/>
              <w:rPr>
                <w:rFonts w:ascii="Times New Roman" w:hAnsi="Times New Roman" w:cs="Times New Roman"/>
                <w:sz w:val="15"/>
                <w:szCs w:val="15"/>
                <w:lang w:val="en-US"/>
              </w:rPr>
            </w:pPr>
          </w:p>
        </w:tc>
        <w:tc>
          <w:tcPr>
            <w:tcW w:w="1701" w:type="dxa"/>
            <w:vAlign w:val="center"/>
          </w:tcPr>
          <w:p w14:paraId="0618072B" w14:textId="69C7E54E" w:rsidR="0074659A" w:rsidRPr="00905499" w:rsidRDefault="00FA68A0"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.027[-.007, .061]</w:t>
            </w:r>
          </w:p>
        </w:tc>
        <w:tc>
          <w:tcPr>
            <w:tcW w:w="1708" w:type="dxa"/>
            <w:vAlign w:val="center"/>
          </w:tcPr>
          <w:p w14:paraId="62D79D83" w14:textId="77777777" w:rsidR="0074659A" w:rsidRPr="00905499" w:rsidRDefault="0074659A" w:rsidP="001C1538">
            <w:pPr>
              <w:ind w:left="142" w:hanging="142"/>
              <w:rPr>
                <w:rFonts w:ascii="Times New Roman" w:hAnsi="Times New Roman" w:cs="Times New Roman"/>
                <w:sz w:val="15"/>
                <w:szCs w:val="15"/>
                <w:lang w:val="en-US"/>
              </w:rPr>
            </w:pPr>
          </w:p>
        </w:tc>
        <w:tc>
          <w:tcPr>
            <w:tcW w:w="1694" w:type="dxa"/>
          </w:tcPr>
          <w:p w14:paraId="04C2A0D5" w14:textId="31C42D94" w:rsidR="0074659A" w:rsidRPr="00905499" w:rsidRDefault="00FA68A0"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-.087[-.214, .080]</w:t>
            </w:r>
          </w:p>
        </w:tc>
      </w:tr>
      <w:tr w:rsidR="003D4A15" w:rsidRPr="00905499" w14:paraId="1CA6374C" w14:textId="77777777" w:rsidTr="001C1538">
        <w:trPr>
          <w:trHeight w:val="244"/>
        </w:trPr>
        <w:tc>
          <w:tcPr>
            <w:tcW w:w="1232" w:type="dxa"/>
          </w:tcPr>
          <w:p w14:paraId="2AC49329" w14:textId="2FA4300F" w:rsidR="0074659A" w:rsidRPr="00905499" w:rsidRDefault="0074659A" w:rsidP="001C1538">
            <w:pPr>
              <w:ind w:left="142" w:hanging="142"/>
              <w:rPr>
                <w:sz w:val="15"/>
                <w:szCs w:val="15"/>
                <w:lang w:val="en-US"/>
              </w:rPr>
            </w:pPr>
            <w:r w:rsidRPr="00905499">
              <w:rPr>
                <w:sz w:val="15"/>
                <w:szCs w:val="15"/>
                <w:lang w:val="en-US"/>
              </w:rPr>
              <w:t>Distance</w:t>
            </w:r>
            <w:r w:rsidRPr="00905499">
              <w:rPr>
                <w:sz w:val="15"/>
                <w:szCs w:val="15"/>
                <w:vertAlign w:val="superscript"/>
                <w:lang w:val="en-US"/>
              </w:rPr>
              <w:t xml:space="preserve"> 2</w:t>
            </w:r>
            <w:r w:rsidRPr="00905499">
              <w:rPr>
                <w:sz w:val="15"/>
                <w:szCs w:val="15"/>
                <w:lang w:val="en-US"/>
              </w:rPr>
              <w:t>*Indigenous</w:t>
            </w:r>
          </w:p>
        </w:tc>
        <w:tc>
          <w:tcPr>
            <w:tcW w:w="1711" w:type="dxa"/>
            <w:vAlign w:val="center"/>
          </w:tcPr>
          <w:p w14:paraId="524E6595" w14:textId="77777777" w:rsidR="0074659A" w:rsidRPr="00905499" w:rsidRDefault="0074659A" w:rsidP="001C1538">
            <w:pPr>
              <w:ind w:left="142" w:hanging="142"/>
              <w:rPr>
                <w:rFonts w:ascii="Times New Roman" w:hAnsi="Times New Roman" w:cs="Times New Roman"/>
                <w:sz w:val="15"/>
                <w:szCs w:val="15"/>
                <w:lang w:val="en-US"/>
              </w:rPr>
            </w:pPr>
          </w:p>
        </w:tc>
        <w:tc>
          <w:tcPr>
            <w:tcW w:w="1701" w:type="dxa"/>
            <w:vAlign w:val="center"/>
          </w:tcPr>
          <w:p w14:paraId="249BEF3B" w14:textId="77777777" w:rsidR="0074659A" w:rsidRPr="00905499" w:rsidRDefault="0074659A" w:rsidP="001C1538">
            <w:pPr>
              <w:ind w:left="142" w:hanging="142"/>
              <w:rPr>
                <w:rFonts w:ascii="Times New Roman" w:hAnsi="Times New Roman" w:cs="Times New Roman"/>
                <w:sz w:val="15"/>
                <w:szCs w:val="15"/>
                <w:lang w:val="en-US"/>
              </w:rPr>
            </w:pPr>
          </w:p>
        </w:tc>
        <w:tc>
          <w:tcPr>
            <w:tcW w:w="1701" w:type="dxa"/>
            <w:vAlign w:val="center"/>
          </w:tcPr>
          <w:p w14:paraId="0D3565B5" w14:textId="77777777" w:rsidR="0074659A" w:rsidRPr="00905499" w:rsidRDefault="0074659A" w:rsidP="001C1538">
            <w:pPr>
              <w:ind w:left="142" w:hanging="142"/>
              <w:rPr>
                <w:rFonts w:ascii="Times New Roman" w:hAnsi="Times New Roman" w:cs="Times New Roman"/>
                <w:sz w:val="15"/>
                <w:szCs w:val="15"/>
                <w:lang w:val="en-US"/>
              </w:rPr>
            </w:pPr>
          </w:p>
        </w:tc>
        <w:tc>
          <w:tcPr>
            <w:tcW w:w="1701" w:type="dxa"/>
            <w:vAlign w:val="center"/>
          </w:tcPr>
          <w:p w14:paraId="548B77DE" w14:textId="77777777" w:rsidR="0074659A" w:rsidRPr="00905499" w:rsidRDefault="0074659A" w:rsidP="001C1538">
            <w:pPr>
              <w:ind w:left="142" w:hanging="142"/>
              <w:rPr>
                <w:rFonts w:ascii="Times New Roman" w:hAnsi="Times New Roman" w:cs="Times New Roman"/>
                <w:sz w:val="15"/>
                <w:szCs w:val="15"/>
                <w:lang w:val="en-US"/>
              </w:rPr>
            </w:pPr>
          </w:p>
        </w:tc>
        <w:tc>
          <w:tcPr>
            <w:tcW w:w="1708" w:type="dxa"/>
            <w:vAlign w:val="center"/>
          </w:tcPr>
          <w:p w14:paraId="05825273" w14:textId="77777777" w:rsidR="0074659A" w:rsidRPr="00905499" w:rsidRDefault="0074659A" w:rsidP="001C1538">
            <w:pPr>
              <w:ind w:left="142" w:hanging="142"/>
              <w:rPr>
                <w:rFonts w:ascii="Times New Roman" w:hAnsi="Times New Roman" w:cs="Times New Roman"/>
                <w:sz w:val="15"/>
                <w:szCs w:val="15"/>
                <w:lang w:val="en-US"/>
              </w:rPr>
            </w:pPr>
          </w:p>
        </w:tc>
        <w:tc>
          <w:tcPr>
            <w:tcW w:w="1694" w:type="dxa"/>
          </w:tcPr>
          <w:p w14:paraId="73A1AE3C" w14:textId="6DE257E3" w:rsidR="0074659A" w:rsidRPr="00905499" w:rsidRDefault="001425BD"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.004[.000, .007]</w:t>
            </w:r>
          </w:p>
        </w:tc>
      </w:tr>
      <w:tr w:rsidR="0074659A" w:rsidRPr="00905499" w14:paraId="161A57B9" w14:textId="77777777" w:rsidTr="001C1538">
        <w:trPr>
          <w:trHeight w:val="244"/>
        </w:trPr>
        <w:tc>
          <w:tcPr>
            <w:tcW w:w="1232" w:type="dxa"/>
          </w:tcPr>
          <w:p w14:paraId="0F20217A" w14:textId="77777777" w:rsidR="0074659A" w:rsidRPr="00905499" w:rsidRDefault="0074659A" w:rsidP="001C1538">
            <w:pPr>
              <w:ind w:left="142" w:hanging="142"/>
              <w:rPr>
                <w:sz w:val="15"/>
                <w:szCs w:val="15"/>
                <w:lang w:val="en-US"/>
              </w:rPr>
            </w:pPr>
          </w:p>
        </w:tc>
        <w:tc>
          <w:tcPr>
            <w:tcW w:w="10216" w:type="dxa"/>
            <w:gridSpan w:val="6"/>
            <w:tcBorders>
              <w:bottom w:val="single" w:sz="4" w:space="0" w:color="auto"/>
            </w:tcBorders>
            <w:vAlign w:val="center"/>
          </w:tcPr>
          <w:p w14:paraId="65C01CB6" w14:textId="2B9B427B" w:rsidR="0074659A" w:rsidRPr="00905499" w:rsidRDefault="0074659A" w:rsidP="001C1538">
            <w:pPr>
              <w:ind w:left="142" w:hanging="142"/>
              <w:jc w:val="center"/>
              <w:rPr>
                <w:rFonts w:ascii="Times New Roman" w:hAnsi="Times New Roman" w:cs="Times New Roman"/>
                <w:sz w:val="15"/>
                <w:szCs w:val="15"/>
                <w:lang w:val="en-US"/>
              </w:rPr>
            </w:pPr>
            <w:r w:rsidRPr="00905499">
              <w:rPr>
                <w:rFonts w:ascii="Times New Roman" w:hAnsi="Times New Roman" w:cs="Times New Roman"/>
                <w:sz w:val="15"/>
                <w:szCs w:val="15"/>
                <w:lang w:val="en-US"/>
              </w:rPr>
              <w:t>Covariates</w:t>
            </w:r>
          </w:p>
        </w:tc>
      </w:tr>
      <w:tr w:rsidR="003D4A15" w:rsidRPr="00905499" w14:paraId="1106A535" w14:textId="77777777" w:rsidTr="001C1538">
        <w:trPr>
          <w:trHeight w:val="244"/>
        </w:trPr>
        <w:tc>
          <w:tcPr>
            <w:tcW w:w="1232" w:type="dxa"/>
          </w:tcPr>
          <w:p w14:paraId="5C2249F1" w14:textId="46FC90C9" w:rsidR="0074659A" w:rsidRPr="00905499" w:rsidRDefault="0074659A" w:rsidP="001C1538">
            <w:pPr>
              <w:ind w:left="142" w:hanging="142"/>
              <w:rPr>
                <w:sz w:val="15"/>
                <w:szCs w:val="15"/>
                <w:lang w:val="en-US"/>
              </w:rPr>
            </w:pPr>
            <w:r w:rsidRPr="00905499">
              <w:rPr>
                <w:rFonts w:ascii="Times New Roman" w:hAnsi="Times New Roman" w:cs="Times New Roman"/>
                <w:sz w:val="15"/>
                <w:szCs w:val="15"/>
                <w:lang w:val="en-US"/>
              </w:rPr>
              <w:t>IEO</w:t>
            </w:r>
          </w:p>
        </w:tc>
        <w:tc>
          <w:tcPr>
            <w:tcW w:w="1711" w:type="dxa"/>
            <w:tcBorders>
              <w:top w:val="single" w:sz="4" w:space="0" w:color="auto"/>
            </w:tcBorders>
            <w:vAlign w:val="center"/>
          </w:tcPr>
          <w:p w14:paraId="2A7B974A" w14:textId="294BB565" w:rsidR="0074659A" w:rsidRPr="00905499" w:rsidRDefault="0074659A"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.269[.191, .348]*</w:t>
            </w:r>
            <w:r w:rsidR="00B97A75" w:rsidRPr="00905499">
              <w:rPr>
                <w:rFonts w:ascii="Times New Roman" w:hAnsi="Times New Roman" w:cs="Times New Roman"/>
                <w:sz w:val="15"/>
                <w:szCs w:val="15"/>
                <w:lang w:val="en-US"/>
              </w:rPr>
              <w:t>**</w:t>
            </w:r>
          </w:p>
        </w:tc>
        <w:tc>
          <w:tcPr>
            <w:tcW w:w="1701" w:type="dxa"/>
            <w:tcBorders>
              <w:top w:val="single" w:sz="4" w:space="0" w:color="auto"/>
            </w:tcBorders>
            <w:vAlign w:val="center"/>
          </w:tcPr>
          <w:p w14:paraId="6267CB92" w14:textId="1E05C893" w:rsidR="0074659A" w:rsidRPr="00905499" w:rsidRDefault="00246C2F"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.274[.195, .353]*</w:t>
            </w:r>
            <w:r w:rsidR="003D4A15" w:rsidRPr="00905499">
              <w:rPr>
                <w:rFonts w:ascii="Times New Roman" w:hAnsi="Times New Roman" w:cs="Times New Roman"/>
                <w:sz w:val="15"/>
                <w:szCs w:val="15"/>
                <w:lang w:val="en-US"/>
              </w:rPr>
              <w:t>**</w:t>
            </w:r>
          </w:p>
        </w:tc>
        <w:tc>
          <w:tcPr>
            <w:tcW w:w="1701" w:type="dxa"/>
            <w:tcBorders>
              <w:top w:val="single" w:sz="4" w:space="0" w:color="auto"/>
            </w:tcBorders>
            <w:vAlign w:val="center"/>
          </w:tcPr>
          <w:p w14:paraId="42F98A23" w14:textId="46375F67" w:rsidR="0074659A" w:rsidRPr="00905499" w:rsidRDefault="00311297" w:rsidP="001C1538">
            <w:pPr>
              <w:ind w:left="142" w:hanging="142"/>
              <w:rPr>
                <w:rFonts w:ascii="Times New Roman" w:hAnsi="Times New Roman" w:cs="Times New Roman"/>
                <w:sz w:val="16"/>
                <w:szCs w:val="16"/>
                <w:lang w:val="en-US"/>
              </w:rPr>
            </w:pPr>
            <w:r w:rsidRPr="00905499">
              <w:rPr>
                <w:rFonts w:ascii="Times New Roman" w:hAnsi="Times New Roman" w:cs="Times New Roman"/>
                <w:sz w:val="16"/>
                <w:szCs w:val="16"/>
                <w:lang w:val="en-US"/>
              </w:rPr>
              <w:t>.115[.027, .204]*</w:t>
            </w:r>
          </w:p>
        </w:tc>
        <w:tc>
          <w:tcPr>
            <w:tcW w:w="1701" w:type="dxa"/>
            <w:tcBorders>
              <w:top w:val="single" w:sz="4" w:space="0" w:color="auto"/>
            </w:tcBorders>
            <w:vAlign w:val="center"/>
          </w:tcPr>
          <w:p w14:paraId="7A354258" w14:textId="64B566D1" w:rsidR="0074659A" w:rsidRPr="00905499" w:rsidRDefault="00FA68A0"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.127[.038, .217]*</w:t>
            </w:r>
            <w:r w:rsidR="009F3105" w:rsidRPr="00905499">
              <w:rPr>
                <w:rFonts w:ascii="Times New Roman" w:hAnsi="Times New Roman" w:cs="Times New Roman"/>
                <w:sz w:val="15"/>
                <w:szCs w:val="15"/>
                <w:lang w:val="en-US"/>
              </w:rPr>
              <w:t>*</w:t>
            </w:r>
          </w:p>
        </w:tc>
        <w:tc>
          <w:tcPr>
            <w:tcW w:w="1708" w:type="dxa"/>
            <w:tcBorders>
              <w:top w:val="single" w:sz="4" w:space="0" w:color="auto"/>
            </w:tcBorders>
            <w:vAlign w:val="center"/>
          </w:tcPr>
          <w:p w14:paraId="683F1DCE" w14:textId="6FF299B0" w:rsidR="0074659A" w:rsidRPr="00905499" w:rsidRDefault="00FA68A0" w:rsidP="001C1538">
            <w:pPr>
              <w:ind w:left="142" w:hanging="142"/>
              <w:rPr>
                <w:rFonts w:ascii="Times New Roman" w:hAnsi="Times New Roman" w:cs="Times New Roman"/>
                <w:sz w:val="16"/>
                <w:szCs w:val="16"/>
                <w:lang w:val="en-US"/>
              </w:rPr>
            </w:pPr>
            <w:r w:rsidRPr="00905499">
              <w:rPr>
                <w:rFonts w:ascii="Times New Roman" w:hAnsi="Times New Roman" w:cs="Times New Roman"/>
                <w:sz w:val="16"/>
                <w:szCs w:val="16"/>
                <w:lang w:val="en-US"/>
              </w:rPr>
              <w:t>.056[-.036, .148]</w:t>
            </w:r>
          </w:p>
        </w:tc>
        <w:tc>
          <w:tcPr>
            <w:tcW w:w="1694" w:type="dxa"/>
            <w:tcBorders>
              <w:top w:val="single" w:sz="4" w:space="0" w:color="auto"/>
            </w:tcBorders>
          </w:tcPr>
          <w:p w14:paraId="58676125" w14:textId="1F52812C" w:rsidR="0074659A" w:rsidRPr="00905499" w:rsidRDefault="001425BD"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.071[-.022[.163]</w:t>
            </w:r>
          </w:p>
        </w:tc>
      </w:tr>
      <w:tr w:rsidR="003D4A15" w:rsidRPr="00905499" w14:paraId="11DCA2A6" w14:textId="77777777" w:rsidTr="001C1538">
        <w:trPr>
          <w:trHeight w:val="244"/>
        </w:trPr>
        <w:tc>
          <w:tcPr>
            <w:tcW w:w="1232" w:type="dxa"/>
          </w:tcPr>
          <w:p w14:paraId="1E182151" w14:textId="58586C0E" w:rsidR="0074659A" w:rsidRPr="00905499" w:rsidRDefault="0074659A"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Math Achievement</w:t>
            </w:r>
          </w:p>
        </w:tc>
        <w:tc>
          <w:tcPr>
            <w:tcW w:w="1711" w:type="dxa"/>
            <w:vAlign w:val="center"/>
          </w:tcPr>
          <w:p w14:paraId="1EC2EF7A" w14:textId="587AB5E3" w:rsidR="0074659A" w:rsidRPr="00905499" w:rsidRDefault="0074659A"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.522[.402, .642]*</w:t>
            </w:r>
            <w:r w:rsidR="00B97A75" w:rsidRPr="00905499">
              <w:rPr>
                <w:rFonts w:ascii="Times New Roman" w:hAnsi="Times New Roman" w:cs="Times New Roman"/>
                <w:sz w:val="15"/>
                <w:szCs w:val="15"/>
                <w:lang w:val="en-US"/>
              </w:rPr>
              <w:t>**</w:t>
            </w:r>
          </w:p>
        </w:tc>
        <w:tc>
          <w:tcPr>
            <w:tcW w:w="1701" w:type="dxa"/>
            <w:vAlign w:val="center"/>
          </w:tcPr>
          <w:p w14:paraId="3769E700" w14:textId="5EEC6B91" w:rsidR="0074659A" w:rsidRPr="00905499" w:rsidRDefault="00246C2F"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.522[.401, .642]*</w:t>
            </w:r>
            <w:r w:rsidR="003D4A15" w:rsidRPr="00905499">
              <w:rPr>
                <w:rFonts w:ascii="Times New Roman" w:hAnsi="Times New Roman" w:cs="Times New Roman"/>
                <w:sz w:val="15"/>
                <w:szCs w:val="15"/>
                <w:lang w:val="en-US"/>
              </w:rPr>
              <w:t>**</w:t>
            </w:r>
          </w:p>
        </w:tc>
        <w:tc>
          <w:tcPr>
            <w:tcW w:w="1701" w:type="dxa"/>
            <w:vAlign w:val="center"/>
          </w:tcPr>
          <w:p w14:paraId="74CFB002" w14:textId="5553C477" w:rsidR="0074659A" w:rsidRPr="00905499" w:rsidRDefault="00311297"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.523[.402, .643]*</w:t>
            </w:r>
            <w:r w:rsidR="003D4A15" w:rsidRPr="00905499">
              <w:rPr>
                <w:rFonts w:ascii="Times New Roman" w:hAnsi="Times New Roman" w:cs="Times New Roman"/>
                <w:sz w:val="15"/>
                <w:szCs w:val="15"/>
                <w:lang w:val="en-US"/>
              </w:rPr>
              <w:t>**</w:t>
            </w:r>
          </w:p>
        </w:tc>
        <w:tc>
          <w:tcPr>
            <w:tcW w:w="1701" w:type="dxa"/>
            <w:vAlign w:val="center"/>
          </w:tcPr>
          <w:p w14:paraId="5EA021BA" w14:textId="1E363D24" w:rsidR="0074659A" w:rsidRPr="00905499" w:rsidRDefault="00FA68A0"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523[.401, .644]*</w:t>
            </w:r>
            <w:r w:rsidR="009F3105" w:rsidRPr="00905499">
              <w:rPr>
                <w:rFonts w:ascii="Times New Roman" w:hAnsi="Times New Roman" w:cs="Times New Roman"/>
                <w:sz w:val="15"/>
                <w:szCs w:val="15"/>
                <w:lang w:val="en-US"/>
              </w:rPr>
              <w:t>**</w:t>
            </w:r>
          </w:p>
        </w:tc>
        <w:tc>
          <w:tcPr>
            <w:tcW w:w="1708" w:type="dxa"/>
            <w:vAlign w:val="center"/>
          </w:tcPr>
          <w:p w14:paraId="403AD714" w14:textId="312F3566" w:rsidR="0074659A" w:rsidRPr="00905499" w:rsidRDefault="00FA68A0"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.515[.394, .637]*</w:t>
            </w:r>
            <w:r w:rsidR="001C1538" w:rsidRPr="00905499">
              <w:rPr>
                <w:rFonts w:ascii="Times New Roman" w:hAnsi="Times New Roman" w:cs="Times New Roman"/>
                <w:sz w:val="15"/>
                <w:szCs w:val="15"/>
                <w:lang w:val="en-US"/>
              </w:rPr>
              <w:t>**</w:t>
            </w:r>
          </w:p>
        </w:tc>
        <w:tc>
          <w:tcPr>
            <w:tcW w:w="1694" w:type="dxa"/>
          </w:tcPr>
          <w:p w14:paraId="2C59F36F" w14:textId="64EE97CD" w:rsidR="0074659A" w:rsidRPr="00905499" w:rsidRDefault="001425BD"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.515[.393, .637]*</w:t>
            </w:r>
            <w:r w:rsidR="00A17886" w:rsidRPr="00905499">
              <w:rPr>
                <w:rFonts w:ascii="Times New Roman" w:hAnsi="Times New Roman" w:cs="Times New Roman"/>
                <w:sz w:val="15"/>
                <w:szCs w:val="15"/>
                <w:lang w:val="en-US"/>
              </w:rPr>
              <w:t>**</w:t>
            </w:r>
          </w:p>
        </w:tc>
      </w:tr>
      <w:tr w:rsidR="003D4A15" w:rsidRPr="00905499" w14:paraId="6A8363F7" w14:textId="77777777" w:rsidTr="001C1538">
        <w:trPr>
          <w:trHeight w:val="244"/>
        </w:trPr>
        <w:tc>
          <w:tcPr>
            <w:tcW w:w="1232" w:type="dxa"/>
          </w:tcPr>
          <w:p w14:paraId="79106595" w14:textId="4D9EDF35" w:rsidR="0074659A" w:rsidRPr="00905499" w:rsidRDefault="0074659A"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Reading Achievement</w:t>
            </w:r>
          </w:p>
        </w:tc>
        <w:tc>
          <w:tcPr>
            <w:tcW w:w="1711" w:type="dxa"/>
            <w:vAlign w:val="center"/>
          </w:tcPr>
          <w:p w14:paraId="0515FA78" w14:textId="76A0A944" w:rsidR="0074659A" w:rsidRPr="00905499" w:rsidRDefault="0074659A"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.519[.334, .704]*</w:t>
            </w:r>
            <w:r w:rsidR="00B97A75" w:rsidRPr="00905499">
              <w:rPr>
                <w:rFonts w:ascii="Times New Roman" w:hAnsi="Times New Roman" w:cs="Times New Roman"/>
                <w:sz w:val="15"/>
                <w:szCs w:val="15"/>
                <w:lang w:val="en-US"/>
              </w:rPr>
              <w:t>**</w:t>
            </w:r>
          </w:p>
        </w:tc>
        <w:tc>
          <w:tcPr>
            <w:tcW w:w="1701" w:type="dxa"/>
            <w:vAlign w:val="center"/>
          </w:tcPr>
          <w:p w14:paraId="37369274" w14:textId="2EE79469" w:rsidR="0074659A" w:rsidRPr="00905499" w:rsidRDefault="00246C2F"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.520[.334, .706]*</w:t>
            </w:r>
            <w:r w:rsidR="003D4A15" w:rsidRPr="00905499">
              <w:rPr>
                <w:rFonts w:ascii="Times New Roman" w:hAnsi="Times New Roman" w:cs="Times New Roman"/>
                <w:sz w:val="15"/>
                <w:szCs w:val="15"/>
                <w:lang w:val="en-US"/>
              </w:rPr>
              <w:t>**</w:t>
            </w:r>
          </w:p>
        </w:tc>
        <w:tc>
          <w:tcPr>
            <w:tcW w:w="1701" w:type="dxa"/>
            <w:vAlign w:val="center"/>
          </w:tcPr>
          <w:p w14:paraId="439D4335" w14:textId="09A4DF1A" w:rsidR="0074659A" w:rsidRPr="00905499" w:rsidRDefault="00311297"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.523[.343, .704]*</w:t>
            </w:r>
            <w:r w:rsidR="003D4A15" w:rsidRPr="00905499">
              <w:rPr>
                <w:rFonts w:ascii="Times New Roman" w:hAnsi="Times New Roman" w:cs="Times New Roman"/>
                <w:sz w:val="15"/>
                <w:szCs w:val="15"/>
                <w:lang w:val="en-US"/>
              </w:rPr>
              <w:t>**</w:t>
            </w:r>
          </w:p>
        </w:tc>
        <w:tc>
          <w:tcPr>
            <w:tcW w:w="1701" w:type="dxa"/>
            <w:vAlign w:val="center"/>
          </w:tcPr>
          <w:p w14:paraId="032824A5" w14:textId="21D4400F" w:rsidR="0074659A" w:rsidRPr="00905499" w:rsidRDefault="00FA68A0"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.527[.345, .708]*</w:t>
            </w:r>
            <w:r w:rsidR="009F3105" w:rsidRPr="00905499">
              <w:rPr>
                <w:rFonts w:ascii="Times New Roman" w:hAnsi="Times New Roman" w:cs="Times New Roman"/>
                <w:sz w:val="15"/>
                <w:szCs w:val="15"/>
                <w:lang w:val="en-US"/>
              </w:rPr>
              <w:t>**</w:t>
            </w:r>
          </w:p>
        </w:tc>
        <w:tc>
          <w:tcPr>
            <w:tcW w:w="1708" w:type="dxa"/>
            <w:vAlign w:val="center"/>
          </w:tcPr>
          <w:p w14:paraId="36127FFF" w14:textId="7B2060F8" w:rsidR="0074659A" w:rsidRPr="00905499" w:rsidRDefault="00FA68A0"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518[.335, .703]*</w:t>
            </w:r>
            <w:r w:rsidR="001C1538" w:rsidRPr="00905499">
              <w:rPr>
                <w:rFonts w:ascii="Times New Roman" w:hAnsi="Times New Roman" w:cs="Times New Roman"/>
                <w:sz w:val="15"/>
                <w:szCs w:val="15"/>
                <w:lang w:val="en-US"/>
              </w:rPr>
              <w:t>**</w:t>
            </w:r>
          </w:p>
        </w:tc>
        <w:tc>
          <w:tcPr>
            <w:tcW w:w="1694" w:type="dxa"/>
          </w:tcPr>
          <w:p w14:paraId="7EC51A00" w14:textId="304276C1" w:rsidR="0074659A" w:rsidRPr="00905499" w:rsidRDefault="001425BD"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.522[.337, .707]*</w:t>
            </w:r>
            <w:r w:rsidR="00A17886" w:rsidRPr="00905499">
              <w:rPr>
                <w:rFonts w:ascii="Times New Roman" w:hAnsi="Times New Roman" w:cs="Times New Roman"/>
                <w:sz w:val="15"/>
                <w:szCs w:val="15"/>
                <w:lang w:val="en-US"/>
              </w:rPr>
              <w:t>**</w:t>
            </w:r>
          </w:p>
        </w:tc>
      </w:tr>
      <w:tr w:rsidR="003D4A15" w:rsidRPr="00905499" w14:paraId="094E5E38" w14:textId="77777777" w:rsidTr="001C1538">
        <w:trPr>
          <w:trHeight w:val="244"/>
        </w:trPr>
        <w:tc>
          <w:tcPr>
            <w:tcW w:w="1232" w:type="dxa"/>
          </w:tcPr>
          <w:p w14:paraId="5A336ADC" w14:textId="1E812D90" w:rsidR="0074659A" w:rsidRPr="00905499" w:rsidRDefault="0074659A"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Science Achievement</w:t>
            </w:r>
          </w:p>
        </w:tc>
        <w:tc>
          <w:tcPr>
            <w:tcW w:w="1711" w:type="dxa"/>
            <w:vAlign w:val="center"/>
          </w:tcPr>
          <w:p w14:paraId="01975DE1" w14:textId="608CE141" w:rsidR="0074659A" w:rsidRPr="00905499" w:rsidRDefault="0074659A"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-.035[-.164, .094]</w:t>
            </w:r>
          </w:p>
        </w:tc>
        <w:tc>
          <w:tcPr>
            <w:tcW w:w="1701" w:type="dxa"/>
            <w:vAlign w:val="center"/>
          </w:tcPr>
          <w:p w14:paraId="26F9400E" w14:textId="0F8856E0" w:rsidR="0074659A" w:rsidRPr="00905499" w:rsidRDefault="00246C2F"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-.035[-.164, .094]</w:t>
            </w:r>
          </w:p>
        </w:tc>
        <w:tc>
          <w:tcPr>
            <w:tcW w:w="1701" w:type="dxa"/>
            <w:vAlign w:val="center"/>
          </w:tcPr>
          <w:p w14:paraId="431B1F38" w14:textId="25148AB3" w:rsidR="0074659A" w:rsidRPr="00905499" w:rsidRDefault="00311297"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-.029[-.155, .098]</w:t>
            </w:r>
          </w:p>
        </w:tc>
        <w:tc>
          <w:tcPr>
            <w:tcW w:w="1701" w:type="dxa"/>
            <w:vAlign w:val="center"/>
          </w:tcPr>
          <w:p w14:paraId="02898D4A" w14:textId="24C02E57" w:rsidR="0074659A" w:rsidRPr="00905499" w:rsidRDefault="00FA68A0"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-.027[-.154, .099]</w:t>
            </w:r>
          </w:p>
        </w:tc>
        <w:tc>
          <w:tcPr>
            <w:tcW w:w="1708" w:type="dxa"/>
            <w:vAlign w:val="center"/>
          </w:tcPr>
          <w:p w14:paraId="71FDF4E5" w14:textId="0EDB4B82" w:rsidR="0074659A" w:rsidRPr="00905499" w:rsidRDefault="00FA68A0"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-.011[-.137, .115]</w:t>
            </w:r>
          </w:p>
        </w:tc>
        <w:tc>
          <w:tcPr>
            <w:tcW w:w="1694" w:type="dxa"/>
          </w:tcPr>
          <w:p w14:paraId="36A8EB0F" w14:textId="5F256F6A" w:rsidR="0074659A" w:rsidRPr="00905499" w:rsidRDefault="001425BD"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-.101[-.136, .116]</w:t>
            </w:r>
          </w:p>
        </w:tc>
      </w:tr>
      <w:tr w:rsidR="003D4A15" w:rsidRPr="00905499" w14:paraId="5ECCADAA" w14:textId="77777777" w:rsidTr="001C1538">
        <w:trPr>
          <w:trHeight w:val="244"/>
        </w:trPr>
        <w:tc>
          <w:tcPr>
            <w:tcW w:w="1232" w:type="dxa"/>
          </w:tcPr>
          <w:p w14:paraId="37AF41EE" w14:textId="6D2F48FE" w:rsidR="0074659A" w:rsidRPr="00905499" w:rsidRDefault="0074659A"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 xml:space="preserve">Indigenous </w:t>
            </w:r>
          </w:p>
        </w:tc>
        <w:tc>
          <w:tcPr>
            <w:tcW w:w="1711" w:type="dxa"/>
            <w:vAlign w:val="center"/>
          </w:tcPr>
          <w:p w14:paraId="59810C52" w14:textId="17AA6E75" w:rsidR="0074659A" w:rsidRPr="00905499" w:rsidRDefault="0074659A"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-.238[-.540, .064]</w:t>
            </w:r>
          </w:p>
        </w:tc>
        <w:tc>
          <w:tcPr>
            <w:tcW w:w="1701" w:type="dxa"/>
            <w:vAlign w:val="center"/>
          </w:tcPr>
          <w:p w14:paraId="46C27CDB" w14:textId="7C798BFD" w:rsidR="0074659A" w:rsidRPr="00905499" w:rsidRDefault="00246C2F"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-.156[-.773</w:t>
            </w:r>
            <w:proofErr w:type="gramStart"/>
            <w:r w:rsidRPr="00905499">
              <w:rPr>
                <w:rFonts w:ascii="Times New Roman" w:hAnsi="Times New Roman" w:cs="Times New Roman"/>
                <w:sz w:val="15"/>
                <w:szCs w:val="15"/>
                <w:lang w:val="en-US"/>
              </w:rPr>
              <w:t>,.</w:t>
            </w:r>
            <w:proofErr w:type="gramEnd"/>
            <w:r w:rsidRPr="00905499">
              <w:rPr>
                <w:rFonts w:ascii="Times New Roman" w:hAnsi="Times New Roman" w:cs="Times New Roman"/>
                <w:sz w:val="15"/>
                <w:szCs w:val="15"/>
                <w:lang w:val="en-US"/>
              </w:rPr>
              <w:t>461]</w:t>
            </w:r>
          </w:p>
        </w:tc>
        <w:tc>
          <w:tcPr>
            <w:tcW w:w="1701" w:type="dxa"/>
            <w:vAlign w:val="center"/>
          </w:tcPr>
          <w:p w14:paraId="2E3CB9F2" w14:textId="2019B10C" w:rsidR="0074659A" w:rsidRPr="00905499" w:rsidRDefault="00311297"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-.226[-.530, .078]</w:t>
            </w:r>
          </w:p>
        </w:tc>
        <w:tc>
          <w:tcPr>
            <w:tcW w:w="1701" w:type="dxa"/>
            <w:vAlign w:val="center"/>
          </w:tcPr>
          <w:p w14:paraId="6AB65154" w14:textId="54DE97F6" w:rsidR="0074659A" w:rsidRPr="00905499" w:rsidRDefault="00FA68A0"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-.321[-.670, .029]</w:t>
            </w:r>
          </w:p>
        </w:tc>
        <w:tc>
          <w:tcPr>
            <w:tcW w:w="1708" w:type="dxa"/>
            <w:vAlign w:val="center"/>
          </w:tcPr>
          <w:p w14:paraId="6F5AEA3D" w14:textId="0DEC6EE8" w:rsidR="0074659A" w:rsidRPr="00905499" w:rsidRDefault="00FA68A0"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-.209[-.512, .094]</w:t>
            </w:r>
          </w:p>
        </w:tc>
        <w:tc>
          <w:tcPr>
            <w:tcW w:w="1694" w:type="dxa"/>
          </w:tcPr>
          <w:p w14:paraId="0DD9277D" w14:textId="3A300F1F" w:rsidR="0074659A" w:rsidRPr="00905499" w:rsidRDefault="001425BD"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-.129[-.529, .272]</w:t>
            </w:r>
          </w:p>
        </w:tc>
      </w:tr>
      <w:tr w:rsidR="003D4A15" w:rsidRPr="00905499" w14:paraId="2E4AA25F" w14:textId="77777777" w:rsidTr="001C1538">
        <w:trPr>
          <w:trHeight w:val="244"/>
        </w:trPr>
        <w:tc>
          <w:tcPr>
            <w:tcW w:w="1232" w:type="dxa"/>
          </w:tcPr>
          <w:p w14:paraId="4E39D08D" w14:textId="0043D6F5" w:rsidR="0074659A" w:rsidRPr="00905499" w:rsidRDefault="0074659A"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Male</w:t>
            </w:r>
          </w:p>
        </w:tc>
        <w:tc>
          <w:tcPr>
            <w:tcW w:w="1711" w:type="dxa"/>
            <w:vAlign w:val="center"/>
          </w:tcPr>
          <w:p w14:paraId="1B028DC3" w14:textId="005C2AF1" w:rsidR="0074659A" w:rsidRPr="00905499" w:rsidRDefault="0074659A"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.007[-.098, .111]</w:t>
            </w:r>
          </w:p>
        </w:tc>
        <w:tc>
          <w:tcPr>
            <w:tcW w:w="1701" w:type="dxa"/>
            <w:vAlign w:val="center"/>
          </w:tcPr>
          <w:p w14:paraId="4C0531D4" w14:textId="5DFC6717" w:rsidR="0074659A" w:rsidRPr="00905499" w:rsidRDefault="00246C2F"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.007[-.089, .111]</w:t>
            </w:r>
          </w:p>
        </w:tc>
        <w:tc>
          <w:tcPr>
            <w:tcW w:w="1701" w:type="dxa"/>
            <w:vAlign w:val="center"/>
          </w:tcPr>
          <w:p w14:paraId="7E55707F" w14:textId="14A9DFCC" w:rsidR="0074659A" w:rsidRPr="00905499" w:rsidRDefault="00311297"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-.010[.111, .091]</w:t>
            </w:r>
          </w:p>
        </w:tc>
        <w:tc>
          <w:tcPr>
            <w:tcW w:w="1701" w:type="dxa"/>
            <w:vAlign w:val="center"/>
          </w:tcPr>
          <w:p w14:paraId="2EC9BA37" w14:textId="7A78AE14" w:rsidR="0074659A" w:rsidRPr="00905499" w:rsidRDefault="00FA68A0"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-.011[-.111, .090]</w:t>
            </w:r>
          </w:p>
        </w:tc>
        <w:tc>
          <w:tcPr>
            <w:tcW w:w="1708" w:type="dxa"/>
            <w:vAlign w:val="center"/>
          </w:tcPr>
          <w:p w14:paraId="0BF9900C" w14:textId="426761FE" w:rsidR="0074659A" w:rsidRPr="00905499" w:rsidRDefault="00FA68A0"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.001[-.101, .104]</w:t>
            </w:r>
          </w:p>
        </w:tc>
        <w:tc>
          <w:tcPr>
            <w:tcW w:w="1694" w:type="dxa"/>
          </w:tcPr>
          <w:p w14:paraId="0017DB74" w14:textId="60C0FB64" w:rsidR="0074659A" w:rsidRPr="00905499" w:rsidRDefault="001425BD"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.001[-.102, .103]</w:t>
            </w:r>
          </w:p>
        </w:tc>
      </w:tr>
      <w:tr w:rsidR="003D4A15" w:rsidRPr="00905499" w14:paraId="30B53496" w14:textId="77777777" w:rsidTr="001C1538">
        <w:trPr>
          <w:trHeight w:val="244"/>
        </w:trPr>
        <w:tc>
          <w:tcPr>
            <w:tcW w:w="1232" w:type="dxa"/>
          </w:tcPr>
          <w:p w14:paraId="2AAF98F4" w14:textId="32AF3543" w:rsidR="0074659A" w:rsidRPr="00905499" w:rsidRDefault="0074659A"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LSAY 2006</w:t>
            </w:r>
          </w:p>
        </w:tc>
        <w:tc>
          <w:tcPr>
            <w:tcW w:w="1711" w:type="dxa"/>
            <w:vAlign w:val="center"/>
          </w:tcPr>
          <w:p w14:paraId="2D8B9226" w14:textId="0C8A93D0" w:rsidR="0074659A" w:rsidRPr="00905499" w:rsidRDefault="0074659A"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.163[.099, .226]*</w:t>
            </w:r>
            <w:r w:rsidR="00B97A75" w:rsidRPr="00905499">
              <w:rPr>
                <w:rFonts w:ascii="Times New Roman" w:hAnsi="Times New Roman" w:cs="Times New Roman"/>
                <w:sz w:val="15"/>
                <w:szCs w:val="15"/>
                <w:lang w:val="en-US"/>
              </w:rPr>
              <w:t>**</w:t>
            </w:r>
          </w:p>
        </w:tc>
        <w:tc>
          <w:tcPr>
            <w:tcW w:w="1701" w:type="dxa"/>
            <w:vAlign w:val="center"/>
          </w:tcPr>
          <w:p w14:paraId="5E72768C" w14:textId="053547DB" w:rsidR="0074659A" w:rsidRPr="00905499" w:rsidRDefault="00246C2F"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.162[.099, .226]*</w:t>
            </w:r>
            <w:r w:rsidR="003D4A15" w:rsidRPr="00905499">
              <w:rPr>
                <w:rFonts w:ascii="Times New Roman" w:hAnsi="Times New Roman" w:cs="Times New Roman"/>
                <w:sz w:val="15"/>
                <w:szCs w:val="15"/>
                <w:lang w:val="en-US"/>
              </w:rPr>
              <w:t>**</w:t>
            </w:r>
          </w:p>
        </w:tc>
        <w:tc>
          <w:tcPr>
            <w:tcW w:w="1701" w:type="dxa"/>
            <w:vAlign w:val="center"/>
          </w:tcPr>
          <w:p w14:paraId="683AC248" w14:textId="150FA211" w:rsidR="0074659A" w:rsidRPr="00905499" w:rsidRDefault="00FA68A0"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.153[.091, .216]*</w:t>
            </w:r>
            <w:r w:rsidR="003D4A15" w:rsidRPr="00905499">
              <w:rPr>
                <w:rFonts w:ascii="Times New Roman" w:hAnsi="Times New Roman" w:cs="Times New Roman"/>
                <w:sz w:val="15"/>
                <w:szCs w:val="15"/>
                <w:lang w:val="en-US"/>
              </w:rPr>
              <w:t>**</w:t>
            </w:r>
          </w:p>
        </w:tc>
        <w:tc>
          <w:tcPr>
            <w:tcW w:w="1701" w:type="dxa"/>
            <w:vAlign w:val="center"/>
          </w:tcPr>
          <w:p w14:paraId="313C33CD" w14:textId="66AA38D8" w:rsidR="0074659A" w:rsidRPr="00905499" w:rsidRDefault="00FA68A0"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.157[.095, .220]*</w:t>
            </w:r>
            <w:r w:rsidR="009F3105" w:rsidRPr="00905499">
              <w:rPr>
                <w:rFonts w:ascii="Times New Roman" w:hAnsi="Times New Roman" w:cs="Times New Roman"/>
                <w:sz w:val="15"/>
                <w:szCs w:val="15"/>
                <w:lang w:val="en-US"/>
              </w:rPr>
              <w:t>**</w:t>
            </w:r>
          </w:p>
        </w:tc>
        <w:tc>
          <w:tcPr>
            <w:tcW w:w="1708" w:type="dxa"/>
            <w:vAlign w:val="center"/>
          </w:tcPr>
          <w:p w14:paraId="6D9C0BAC" w14:textId="2434FEE9" w:rsidR="0074659A" w:rsidRPr="00905499" w:rsidRDefault="00FA68A0"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.157[.092, .221]*</w:t>
            </w:r>
            <w:r w:rsidR="001C1538" w:rsidRPr="00905499">
              <w:rPr>
                <w:rFonts w:ascii="Times New Roman" w:hAnsi="Times New Roman" w:cs="Times New Roman"/>
                <w:sz w:val="15"/>
                <w:szCs w:val="15"/>
                <w:lang w:val="en-US"/>
              </w:rPr>
              <w:t>**</w:t>
            </w:r>
          </w:p>
        </w:tc>
        <w:tc>
          <w:tcPr>
            <w:tcW w:w="1694" w:type="dxa"/>
          </w:tcPr>
          <w:p w14:paraId="1678BB46" w14:textId="00D29772" w:rsidR="0074659A" w:rsidRPr="00905499" w:rsidRDefault="001425BD"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.159[.095, .223]*</w:t>
            </w:r>
            <w:r w:rsidR="00A17886" w:rsidRPr="00905499">
              <w:rPr>
                <w:rFonts w:ascii="Times New Roman" w:hAnsi="Times New Roman" w:cs="Times New Roman"/>
                <w:sz w:val="15"/>
                <w:szCs w:val="15"/>
                <w:lang w:val="en-US"/>
              </w:rPr>
              <w:t>**</w:t>
            </w:r>
          </w:p>
        </w:tc>
      </w:tr>
      <w:tr w:rsidR="003D4A15" w:rsidRPr="00905499" w14:paraId="0F79BAC1" w14:textId="77777777" w:rsidTr="001C1538">
        <w:trPr>
          <w:trHeight w:val="244"/>
        </w:trPr>
        <w:tc>
          <w:tcPr>
            <w:tcW w:w="1232" w:type="dxa"/>
          </w:tcPr>
          <w:p w14:paraId="0A783A3F" w14:textId="4BFE44FF" w:rsidR="0074659A" w:rsidRPr="00905499" w:rsidRDefault="0074659A"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State of Residence</w:t>
            </w:r>
            <w:r w:rsidRPr="00905499">
              <w:rPr>
                <w:rFonts w:ascii="Times New Roman" w:hAnsi="Times New Roman" w:cs="Times New Roman"/>
                <w:sz w:val="15"/>
                <w:szCs w:val="15"/>
                <w:vertAlign w:val="superscript"/>
                <w:lang w:val="en-US"/>
              </w:rPr>
              <w:t>1</w:t>
            </w:r>
            <w:r w:rsidRPr="00905499">
              <w:rPr>
                <w:rFonts w:ascii="Times New Roman" w:hAnsi="Times New Roman" w:cs="Times New Roman"/>
                <w:sz w:val="15"/>
                <w:szCs w:val="15"/>
                <w:lang w:val="en-US"/>
              </w:rPr>
              <w:t xml:space="preserve">: </w:t>
            </w:r>
          </w:p>
        </w:tc>
        <w:tc>
          <w:tcPr>
            <w:tcW w:w="1711" w:type="dxa"/>
            <w:vAlign w:val="center"/>
          </w:tcPr>
          <w:p w14:paraId="415F42A7" w14:textId="77777777" w:rsidR="0074659A" w:rsidRPr="00905499" w:rsidRDefault="0074659A" w:rsidP="001C1538">
            <w:pPr>
              <w:ind w:left="142" w:hanging="142"/>
              <w:rPr>
                <w:rFonts w:ascii="Times New Roman" w:hAnsi="Times New Roman" w:cs="Times New Roman"/>
                <w:sz w:val="15"/>
                <w:szCs w:val="15"/>
                <w:lang w:val="en-US"/>
              </w:rPr>
            </w:pPr>
          </w:p>
        </w:tc>
        <w:tc>
          <w:tcPr>
            <w:tcW w:w="1701" w:type="dxa"/>
            <w:vAlign w:val="center"/>
          </w:tcPr>
          <w:p w14:paraId="7E8CCA3E" w14:textId="77777777" w:rsidR="0074659A" w:rsidRPr="00905499" w:rsidRDefault="0074659A" w:rsidP="001C1538">
            <w:pPr>
              <w:ind w:left="142" w:hanging="142"/>
              <w:rPr>
                <w:rFonts w:ascii="Times New Roman" w:hAnsi="Times New Roman" w:cs="Times New Roman"/>
                <w:sz w:val="15"/>
                <w:szCs w:val="15"/>
                <w:lang w:val="en-US"/>
              </w:rPr>
            </w:pPr>
          </w:p>
        </w:tc>
        <w:tc>
          <w:tcPr>
            <w:tcW w:w="1701" w:type="dxa"/>
            <w:vAlign w:val="center"/>
          </w:tcPr>
          <w:p w14:paraId="7A37BAF5" w14:textId="77777777" w:rsidR="0074659A" w:rsidRPr="00905499" w:rsidRDefault="0074659A" w:rsidP="001C1538">
            <w:pPr>
              <w:ind w:left="142" w:hanging="142"/>
              <w:rPr>
                <w:rFonts w:ascii="Times New Roman" w:hAnsi="Times New Roman" w:cs="Times New Roman"/>
                <w:sz w:val="15"/>
                <w:szCs w:val="15"/>
                <w:lang w:val="en-US"/>
              </w:rPr>
            </w:pPr>
          </w:p>
        </w:tc>
        <w:tc>
          <w:tcPr>
            <w:tcW w:w="1701" w:type="dxa"/>
            <w:vAlign w:val="center"/>
          </w:tcPr>
          <w:p w14:paraId="470C54BF" w14:textId="76FCDF04" w:rsidR="0074659A" w:rsidRPr="00905499" w:rsidRDefault="0074659A" w:rsidP="001C1538">
            <w:pPr>
              <w:ind w:left="142" w:hanging="142"/>
              <w:rPr>
                <w:rFonts w:ascii="Times New Roman" w:hAnsi="Times New Roman" w:cs="Times New Roman"/>
                <w:sz w:val="15"/>
                <w:szCs w:val="15"/>
                <w:lang w:val="en-US"/>
              </w:rPr>
            </w:pPr>
          </w:p>
        </w:tc>
        <w:tc>
          <w:tcPr>
            <w:tcW w:w="1708" w:type="dxa"/>
            <w:vAlign w:val="center"/>
          </w:tcPr>
          <w:p w14:paraId="3F1BF416" w14:textId="77777777" w:rsidR="0074659A" w:rsidRPr="00905499" w:rsidRDefault="0074659A" w:rsidP="001C1538">
            <w:pPr>
              <w:ind w:left="142" w:hanging="142"/>
              <w:rPr>
                <w:rFonts w:ascii="Times New Roman" w:hAnsi="Times New Roman" w:cs="Times New Roman"/>
                <w:sz w:val="15"/>
                <w:szCs w:val="15"/>
                <w:lang w:val="en-US"/>
              </w:rPr>
            </w:pPr>
          </w:p>
        </w:tc>
        <w:tc>
          <w:tcPr>
            <w:tcW w:w="1694" w:type="dxa"/>
          </w:tcPr>
          <w:p w14:paraId="2E6FBB85" w14:textId="77777777" w:rsidR="0074659A" w:rsidRPr="00905499" w:rsidRDefault="0074659A" w:rsidP="001C1538">
            <w:pPr>
              <w:ind w:left="142" w:hanging="142"/>
              <w:rPr>
                <w:rFonts w:ascii="Times New Roman" w:hAnsi="Times New Roman" w:cs="Times New Roman"/>
                <w:sz w:val="15"/>
                <w:szCs w:val="15"/>
                <w:lang w:val="en-US"/>
              </w:rPr>
            </w:pPr>
          </w:p>
        </w:tc>
      </w:tr>
      <w:tr w:rsidR="003D4A15" w:rsidRPr="00905499" w14:paraId="3D0780BF" w14:textId="77777777" w:rsidTr="001C1538">
        <w:trPr>
          <w:trHeight w:val="244"/>
        </w:trPr>
        <w:tc>
          <w:tcPr>
            <w:tcW w:w="1232" w:type="dxa"/>
          </w:tcPr>
          <w:p w14:paraId="5F3ADA06" w14:textId="63E2FB52" w:rsidR="0074659A" w:rsidRPr="00905499" w:rsidRDefault="0074659A"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 xml:space="preserve">    NSW</w:t>
            </w:r>
          </w:p>
        </w:tc>
        <w:tc>
          <w:tcPr>
            <w:tcW w:w="1711" w:type="dxa"/>
            <w:vAlign w:val="center"/>
          </w:tcPr>
          <w:p w14:paraId="6FCB12AF" w14:textId="3B553AA6" w:rsidR="0074659A" w:rsidRPr="00905499" w:rsidRDefault="0074659A"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1.014[.793,1.235]*</w:t>
            </w:r>
            <w:r w:rsidR="00B97A75" w:rsidRPr="00905499">
              <w:rPr>
                <w:rFonts w:ascii="Times New Roman" w:hAnsi="Times New Roman" w:cs="Times New Roman"/>
                <w:sz w:val="15"/>
                <w:szCs w:val="15"/>
                <w:lang w:val="en-US"/>
              </w:rPr>
              <w:t>**</w:t>
            </w:r>
          </w:p>
        </w:tc>
        <w:tc>
          <w:tcPr>
            <w:tcW w:w="1701" w:type="dxa"/>
            <w:vAlign w:val="center"/>
          </w:tcPr>
          <w:p w14:paraId="5C98C31A" w14:textId="68124983" w:rsidR="0074659A" w:rsidRPr="00905499" w:rsidRDefault="00246C2F"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1.010[.789, 1.230]*</w:t>
            </w:r>
            <w:r w:rsidR="003D4A15" w:rsidRPr="00905499">
              <w:rPr>
                <w:rFonts w:ascii="Times New Roman" w:hAnsi="Times New Roman" w:cs="Times New Roman"/>
                <w:sz w:val="15"/>
                <w:szCs w:val="15"/>
                <w:lang w:val="en-US"/>
              </w:rPr>
              <w:t>**</w:t>
            </w:r>
          </w:p>
        </w:tc>
        <w:tc>
          <w:tcPr>
            <w:tcW w:w="1701" w:type="dxa"/>
            <w:vAlign w:val="center"/>
          </w:tcPr>
          <w:p w14:paraId="6B819C47" w14:textId="13C933CE" w:rsidR="0074659A" w:rsidRPr="00905499" w:rsidRDefault="00FA68A0"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.544[.314, .798]*</w:t>
            </w:r>
            <w:r w:rsidR="003D4A15" w:rsidRPr="00905499">
              <w:rPr>
                <w:rFonts w:ascii="Times New Roman" w:hAnsi="Times New Roman" w:cs="Times New Roman"/>
                <w:sz w:val="15"/>
                <w:szCs w:val="15"/>
                <w:lang w:val="en-US"/>
              </w:rPr>
              <w:t>**</w:t>
            </w:r>
          </w:p>
        </w:tc>
        <w:tc>
          <w:tcPr>
            <w:tcW w:w="1701" w:type="dxa"/>
            <w:vAlign w:val="center"/>
          </w:tcPr>
          <w:p w14:paraId="665535D8" w14:textId="2B53958E" w:rsidR="0074659A" w:rsidRPr="00905499" w:rsidRDefault="00FA68A0"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.584[.352, .815]*</w:t>
            </w:r>
            <w:r w:rsidR="009F3105" w:rsidRPr="00905499">
              <w:rPr>
                <w:rFonts w:ascii="Times New Roman" w:hAnsi="Times New Roman" w:cs="Times New Roman"/>
                <w:sz w:val="15"/>
                <w:szCs w:val="15"/>
                <w:lang w:val="en-US"/>
              </w:rPr>
              <w:t>**</w:t>
            </w:r>
          </w:p>
        </w:tc>
        <w:tc>
          <w:tcPr>
            <w:tcW w:w="1708" w:type="dxa"/>
            <w:vAlign w:val="center"/>
          </w:tcPr>
          <w:p w14:paraId="6DFF8897" w14:textId="2023EB04" w:rsidR="0074659A" w:rsidRPr="00905499" w:rsidRDefault="00FA68A0"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.562[.331, .793]*</w:t>
            </w:r>
            <w:r w:rsidR="001C1538" w:rsidRPr="00905499">
              <w:rPr>
                <w:rFonts w:ascii="Times New Roman" w:hAnsi="Times New Roman" w:cs="Times New Roman"/>
                <w:sz w:val="15"/>
                <w:szCs w:val="15"/>
                <w:lang w:val="en-US"/>
              </w:rPr>
              <w:t>**</w:t>
            </w:r>
          </w:p>
        </w:tc>
        <w:tc>
          <w:tcPr>
            <w:tcW w:w="1694" w:type="dxa"/>
          </w:tcPr>
          <w:p w14:paraId="7F2802FC" w14:textId="2A088EE9" w:rsidR="0074659A" w:rsidRPr="00905499" w:rsidRDefault="001425BD"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.597[.363, .831]*</w:t>
            </w:r>
            <w:r w:rsidR="00A17886" w:rsidRPr="00905499">
              <w:rPr>
                <w:rFonts w:ascii="Times New Roman" w:hAnsi="Times New Roman" w:cs="Times New Roman"/>
                <w:sz w:val="15"/>
                <w:szCs w:val="15"/>
                <w:lang w:val="en-US"/>
              </w:rPr>
              <w:t>**</w:t>
            </w:r>
          </w:p>
        </w:tc>
      </w:tr>
      <w:tr w:rsidR="003D4A15" w:rsidRPr="00905499" w14:paraId="437EA4F9" w14:textId="77777777" w:rsidTr="001C1538">
        <w:trPr>
          <w:trHeight w:val="244"/>
        </w:trPr>
        <w:tc>
          <w:tcPr>
            <w:tcW w:w="1232" w:type="dxa"/>
          </w:tcPr>
          <w:p w14:paraId="620D43CF" w14:textId="6C8BC38A" w:rsidR="0074659A" w:rsidRPr="00905499" w:rsidRDefault="0074659A"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 xml:space="preserve">    VIC</w:t>
            </w:r>
          </w:p>
        </w:tc>
        <w:tc>
          <w:tcPr>
            <w:tcW w:w="1711" w:type="dxa"/>
            <w:vAlign w:val="center"/>
          </w:tcPr>
          <w:p w14:paraId="31EF501D" w14:textId="4FB7D2F6" w:rsidR="0074659A" w:rsidRPr="00905499" w:rsidRDefault="0074659A"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.949[.732,1.166]*</w:t>
            </w:r>
            <w:r w:rsidR="00B97A75" w:rsidRPr="00905499">
              <w:rPr>
                <w:rFonts w:ascii="Times New Roman" w:hAnsi="Times New Roman" w:cs="Times New Roman"/>
                <w:sz w:val="15"/>
                <w:szCs w:val="15"/>
                <w:lang w:val="en-US"/>
              </w:rPr>
              <w:t>**</w:t>
            </w:r>
          </w:p>
        </w:tc>
        <w:tc>
          <w:tcPr>
            <w:tcW w:w="1701" w:type="dxa"/>
            <w:vAlign w:val="center"/>
          </w:tcPr>
          <w:p w14:paraId="44E1424D" w14:textId="209B2632" w:rsidR="0074659A" w:rsidRPr="00905499" w:rsidRDefault="00246C2F"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.946[.729, 1.164]*</w:t>
            </w:r>
            <w:r w:rsidR="003D4A15" w:rsidRPr="00905499">
              <w:rPr>
                <w:rFonts w:ascii="Times New Roman" w:hAnsi="Times New Roman" w:cs="Times New Roman"/>
                <w:sz w:val="15"/>
                <w:szCs w:val="15"/>
                <w:lang w:val="en-US"/>
              </w:rPr>
              <w:t>**</w:t>
            </w:r>
          </w:p>
        </w:tc>
        <w:tc>
          <w:tcPr>
            <w:tcW w:w="1701" w:type="dxa"/>
            <w:vAlign w:val="center"/>
          </w:tcPr>
          <w:p w14:paraId="10B94EAE" w14:textId="28D52035" w:rsidR="0074659A" w:rsidRPr="00905499" w:rsidRDefault="00FA68A0"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.570[.341, .798]*</w:t>
            </w:r>
            <w:r w:rsidR="003D4A15" w:rsidRPr="00905499">
              <w:rPr>
                <w:rFonts w:ascii="Times New Roman" w:hAnsi="Times New Roman" w:cs="Times New Roman"/>
                <w:sz w:val="15"/>
                <w:szCs w:val="15"/>
                <w:lang w:val="en-US"/>
              </w:rPr>
              <w:t>**</w:t>
            </w:r>
          </w:p>
        </w:tc>
        <w:tc>
          <w:tcPr>
            <w:tcW w:w="1701" w:type="dxa"/>
            <w:vAlign w:val="center"/>
          </w:tcPr>
          <w:p w14:paraId="300C205C" w14:textId="409D2F52" w:rsidR="0074659A" w:rsidRPr="00905499" w:rsidRDefault="00FA68A0"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.607[.378, .836]*</w:t>
            </w:r>
            <w:r w:rsidR="009F3105" w:rsidRPr="00905499">
              <w:rPr>
                <w:rFonts w:ascii="Times New Roman" w:hAnsi="Times New Roman" w:cs="Times New Roman"/>
                <w:sz w:val="15"/>
                <w:szCs w:val="15"/>
                <w:lang w:val="en-US"/>
              </w:rPr>
              <w:t>**</w:t>
            </w:r>
          </w:p>
        </w:tc>
        <w:tc>
          <w:tcPr>
            <w:tcW w:w="1708" w:type="dxa"/>
            <w:vAlign w:val="center"/>
          </w:tcPr>
          <w:p w14:paraId="5C423745" w14:textId="1CFBBF0A" w:rsidR="0074659A" w:rsidRPr="00905499" w:rsidRDefault="00FA68A0"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.505[.273, .738]*</w:t>
            </w:r>
            <w:r w:rsidR="001C1538" w:rsidRPr="00905499">
              <w:rPr>
                <w:rFonts w:ascii="Times New Roman" w:hAnsi="Times New Roman" w:cs="Times New Roman"/>
                <w:sz w:val="15"/>
                <w:szCs w:val="15"/>
                <w:lang w:val="en-US"/>
              </w:rPr>
              <w:t>**</w:t>
            </w:r>
          </w:p>
        </w:tc>
        <w:tc>
          <w:tcPr>
            <w:tcW w:w="1694" w:type="dxa"/>
          </w:tcPr>
          <w:p w14:paraId="734F47B3" w14:textId="255F57B7" w:rsidR="0074659A" w:rsidRPr="00905499" w:rsidRDefault="001425BD"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.540[.306, .773]</w:t>
            </w:r>
            <w:r w:rsidR="00A17886" w:rsidRPr="00905499">
              <w:rPr>
                <w:rFonts w:ascii="Times New Roman" w:hAnsi="Times New Roman" w:cs="Times New Roman"/>
                <w:sz w:val="15"/>
                <w:szCs w:val="15"/>
                <w:lang w:val="en-US"/>
              </w:rPr>
              <w:t>**</w:t>
            </w:r>
          </w:p>
        </w:tc>
      </w:tr>
      <w:tr w:rsidR="003D4A15" w:rsidRPr="00905499" w14:paraId="0DFD04D3" w14:textId="77777777" w:rsidTr="001C1538">
        <w:trPr>
          <w:trHeight w:val="244"/>
        </w:trPr>
        <w:tc>
          <w:tcPr>
            <w:tcW w:w="1232" w:type="dxa"/>
          </w:tcPr>
          <w:p w14:paraId="54AAA468" w14:textId="3EAECD2C" w:rsidR="0074659A" w:rsidRPr="00905499" w:rsidRDefault="0074659A"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 xml:space="preserve">    QLD</w:t>
            </w:r>
          </w:p>
        </w:tc>
        <w:tc>
          <w:tcPr>
            <w:tcW w:w="1711" w:type="dxa"/>
            <w:vAlign w:val="center"/>
          </w:tcPr>
          <w:p w14:paraId="31721767" w14:textId="5A250D58" w:rsidR="0074659A" w:rsidRPr="00905499" w:rsidRDefault="0074659A"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1.345[1.091,1.600]*</w:t>
            </w:r>
            <w:r w:rsidR="00B97A75" w:rsidRPr="00905499">
              <w:rPr>
                <w:rFonts w:ascii="Times New Roman" w:hAnsi="Times New Roman" w:cs="Times New Roman"/>
                <w:sz w:val="15"/>
                <w:szCs w:val="15"/>
                <w:lang w:val="en-US"/>
              </w:rPr>
              <w:t>**</w:t>
            </w:r>
          </w:p>
        </w:tc>
        <w:tc>
          <w:tcPr>
            <w:tcW w:w="1701" w:type="dxa"/>
            <w:vAlign w:val="center"/>
          </w:tcPr>
          <w:p w14:paraId="00F89A4C" w14:textId="7B150C73" w:rsidR="0074659A" w:rsidRPr="00905499" w:rsidRDefault="00246C2F"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1.346[1.092, 1.601]*</w:t>
            </w:r>
            <w:r w:rsidR="003D4A15" w:rsidRPr="00905499">
              <w:rPr>
                <w:rFonts w:ascii="Times New Roman" w:hAnsi="Times New Roman" w:cs="Times New Roman"/>
                <w:sz w:val="15"/>
                <w:szCs w:val="15"/>
                <w:lang w:val="en-US"/>
              </w:rPr>
              <w:t>**</w:t>
            </w:r>
          </w:p>
        </w:tc>
        <w:tc>
          <w:tcPr>
            <w:tcW w:w="1701" w:type="dxa"/>
            <w:vAlign w:val="center"/>
          </w:tcPr>
          <w:p w14:paraId="5C43FAD9" w14:textId="134157D7" w:rsidR="0074659A" w:rsidRPr="00905499" w:rsidRDefault="00FA68A0"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1.061[.801, 1.321]*</w:t>
            </w:r>
            <w:r w:rsidR="003D4A15" w:rsidRPr="00905499">
              <w:rPr>
                <w:rFonts w:ascii="Times New Roman" w:hAnsi="Times New Roman" w:cs="Times New Roman"/>
                <w:sz w:val="15"/>
                <w:szCs w:val="15"/>
                <w:lang w:val="en-US"/>
              </w:rPr>
              <w:t>**</w:t>
            </w:r>
          </w:p>
        </w:tc>
        <w:tc>
          <w:tcPr>
            <w:tcW w:w="1701" w:type="dxa"/>
            <w:vAlign w:val="center"/>
          </w:tcPr>
          <w:p w14:paraId="36FB3B3D" w14:textId="692D223F" w:rsidR="0074659A" w:rsidRPr="00905499" w:rsidRDefault="00FA68A0"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1.106[.846, 1.366]*</w:t>
            </w:r>
            <w:r w:rsidR="009F3105" w:rsidRPr="00905499">
              <w:rPr>
                <w:rFonts w:ascii="Times New Roman" w:hAnsi="Times New Roman" w:cs="Times New Roman"/>
                <w:sz w:val="15"/>
                <w:szCs w:val="15"/>
                <w:lang w:val="en-US"/>
              </w:rPr>
              <w:t>**</w:t>
            </w:r>
          </w:p>
        </w:tc>
        <w:tc>
          <w:tcPr>
            <w:tcW w:w="1708" w:type="dxa"/>
            <w:vAlign w:val="center"/>
          </w:tcPr>
          <w:p w14:paraId="5F1C6162" w14:textId="00DC9A29" w:rsidR="0074659A" w:rsidRPr="00905499" w:rsidRDefault="00FA68A0"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1.000[.735, 1.265]*</w:t>
            </w:r>
            <w:r w:rsidR="001C1538" w:rsidRPr="00905499">
              <w:rPr>
                <w:rFonts w:ascii="Times New Roman" w:hAnsi="Times New Roman" w:cs="Times New Roman"/>
                <w:sz w:val="15"/>
                <w:szCs w:val="15"/>
                <w:lang w:val="en-US"/>
              </w:rPr>
              <w:t>**</w:t>
            </w:r>
          </w:p>
        </w:tc>
        <w:tc>
          <w:tcPr>
            <w:tcW w:w="1694" w:type="dxa"/>
          </w:tcPr>
          <w:p w14:paraId="5ED0DEB7" w14:textId="55B4C901" w:rsidR="0074659A" w:rsidRPr="00905499" w:rsidRDefault="001425BD"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.731[.486, .976]*</w:t>
            </w:r>
            <w:r w:rsidR="00A17886" w:rsidRPr="00905499">
              <w:rPr>
                <w:rFonts w:ascii="Times New Roman" w:hAnsi="Times New Roman" w:cs="Times New Roman"/>
                <w:sz w:val="15"/>
                <w:szCs w:val="15"/>
                <w:lang w:val="en-US"/>
              </w:rPr>
              <w:t>**</w:t>
            </w:r>
          </w:p>
        </w:tc>
      </w:tr>
      <w:tr w:rsidR="003D4A15" w:rsidRPr="00905499" w14:paraId="19440B1F" w14:textId="77777777" w:rsidTr="001C1538">
        <w:trPr>
          <w:trHeight w:val="244"/>
        </w:trPr>
        <w:tc>
          <w:tcPr>
            <w:tcW w:w="1232" w:type="dxa"/>
          </w:tcPr>
          <w:p w14:paraId="3223A94F" w14:textId="626B5B7B" w:rsidR="0074659A" w:rsidRPr="00905499" w:rsidRDefault="0074659A"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 xml:space="preserve">    SA</w:t>
            </w:r>
          </w:p>
        </w:tc>
        <w:tc>
          <w:tcPr>
            <w:tcW w:w="1711" w:type="dxa"/>
            <w:vAlign w:val="center"/>
          </w:tcPr>
          <w:p w14:paraId="1D22FA91" w14:textId="5A7DCAF9" w:rsidR="0074659A" w:rsidRPr="00905499" w:rsidRDefault="0074659A"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1.086[.852, 1.320]*</w:t>
            </w:r>
            <w:r w:rsidR="00B97A75" w:rsidRPr="00905499">
              <w:rPr>
                <w:rFonts w:ascii="Times New Roman" w:hAnsi="Times New Roman" w:cs="Times New Roman"/>
                <w:sz w:val="15"/>
                <w:szCs w:val="15"/>
                <w:lang w:val="en-US"/>
              </w:rPr>
              <w:t>**</w:t>
            </w:r>
          </w:p>
        </w:tc>
        <w:tc>
          <w:tcPr>
            <w:tcW w:w="1701" w:type="dxa"/>
            <w:vAlign w:val="center"/>
          </w:tcPr>
          <w:p w14:paraId="61F34F5C" w14:textId="718B9222" w:rsidR="0074659A" w:rsidRPr="00905499" w:rsidRDefault="00246C2F"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1.084[.849, 1.318]*</w:t>
            </w:r>
            <w:r w:rsidR="003D4A15" w:rsidRPr="00905499">
              <w:rPr>
                <w:rFonts w:ascii="Times New Roman" w:hAnsi="Times New Roman" w:cs="Times New Roman"/>
                <w:sz w:val="15"/>
                <w:szCs w:val="15"/>
                <w:lang w:val="en-US"/>
              </w:rPr>
              <w:t>**</w:t>
            </w:r>
          </w:p>
        </w:tc>
        <w:tc>
          <w:tcPr>
            <w:tcW w:w="1701" w:type="dxa"/>
            <w:vAlign w:val="center"/>
          </w:tcPr>
          <w:p w14:paraId="4E386F96" w14:textId="4CD38AA0" w:rsidR="0074659A" w:rsidRPr="00905499" w:rsidRDefault="00FA68A0"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.803[.568, 1.038]*</w:t>
            </w:r>
            <w:r w:rsidR="003D4A15" w:rsidRPr="00905499">
              <w:rPr>
                <w:rFonts w:ascii="Times New Roman" w:hAnsi="Times New Roman" w:cs="Times New Roman"/>
                <w:sz w:val="15"/>
                <w:szCs w:val="15"/>
                <w:lang w:val="en-US"/>
              </w:rPr>
              <w:t>**</w:t>
            </w:r>
          </w:p>
        </w:tc>
        <w:tc>
          <w:tcPr>
            <w:tcW w:w="1701" w:type="dxa"/>
            <w:vAlign w:val="center"/>
          </w:tcPr>
          <w:p w14:paraId="661DAE4C" w14:textId="0387B357" w:rsidR="0074659A" w:rsidRPr="00905499" w:rsidRDefault="00FA68A0"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.844[.607, 1.080]*</w:t>
            </w:r>
            <w:r w:rsidR="009F3105" w:rsidRPr="00905499">
              <w:rPr>
                <w:rFonts w:ascii="Times New Roman" w:hAnsi="Times New Roman" w:cs="Times New Roman"/>
                <w:sz w:val="15"/>
                <w:szCs w:val="15"/>
                <w:lang w:val="en-US"/>
              </w:rPr>
              <w:t>**</w:t>
            </w:r>
          </w:p>
        </w:tc>
        <w:tc>
          <w:tcPr>
            <w:tcW w:w="1708" w:type="dxa"/>
            <w:vAlign w:val="center"/>
          </w:tcPr>
          <w:p w14:paraId="1BB48D87" w14:textId="2A12BADD" w:rsidR="0074659A" w:rsidRPr="00905499" w:rsidRDefault="00FA68A0"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.689[.446, .931]*</w:t>
            </w:r>
            <w:r w:rsidR="001C1538" w:rsidRPr="00905499">
              <w:rPr>
                <w:rFonts w:ascii="Times New Roman" w:hAnsi="Times New Roman" w:cs="Times New Roman"/>
                <w:sz w:val="15"/>
                <w:szCs w:val="15"/>
                <w:lang w:val="en-US"/>
              </w:rPr>
              <w:t>**</w:t>
            </w:r>
          </w:p>
        </w:tc>
        <w:tc>
          <w:tcPr>
            <w:tcW w:w="1694" w:type="dxa"/>
          </w:tcPr>
          <w:p w14:paraId="78A62771" w14:textId="1390126E" w:rsidR="0074659A" w:rsidRPr="00905499" w:rsidRDefault="001425BD"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.731[.486, .976]*</w:t>
            </w:r>
            <w:r w:rsidR="00A17886" w:rsidRPr="00905499">
              <w:rPr>
                <w:rFonts w:ascii="Times New Roman" w:hAnsi="Times New Roman" w:cs="Times New Roman"/>
                <w:sz w:val="15"/>
                <w:szCs w:val="15"/>
                <w:lang w:val="en-US"/>
              </w:rPr>
              <w:t>**</w:t>
            </w:r>
          </w:p>
        </w:tc>
      </w:tr>
      <w:tr w:rsidR="003D4A15" w:rsidRPr="00905499" w14:paraId="2D992289" w14:textId="77777777" w:rsidTr="001C1538">
        <w:trPr>
          <w:trHeight w:val="244"/>
        </w:trPr>
        <w:tc>
          <w:tcPr>
            <w:tcW w:w="1232" w:type="dxa"/>
          </w:tcPr>
          <w:p w14:paraId="5E705987" w14:textId="66CE9D69" w:rsidR="0074659A" w:rsidRPr="00905499" w:rsidRDefault="0074659A"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 xml:space="preserve">    WA</w:t>
            </w:r>
          </w:p>
        </w:tc>
        <w:tc>
          <w:tcPr>
            <w:tcW w:w="1711" w:type="dxa"/>
            <w:vAlign w:val="center"/>
          </w:tcPr>
          <w:p w14:paraId="17277AF8" w14:textId="26E0A2C7" w:rsidR="0074659A" w:rsidRPr="00905499" w:rsidRDefault="0074659A"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1.153[.940, .1.367]*</w:t>
            </w:r>
            <w:r w:rsidR="00B97A75" w:rsidRPr="00905499">
              <w:rPr>
                <w:rFonts w:ascii="Times New Roman" w:hAnsi="Times New Roman" w:cs="Times New Roman"/>
                <w:sz w:val="15"/>
                <w:szCs w:val="15"/>
                <w:lang w:val="en-US"/>
              </w:rPr>
              <w:t>**</w:t>
            </w:r>
          </w:p>
        </w:tc>
        <w:tc>
          <w:tcPr>
            <w:tcW w:w="1701" w:type="dxa"/>
            <w:vAlign w:val="center"/>
          </w:tcPr>
          <w:p w14:paraId="60A53749" w14:textId="12721405" w:rsidR="0074659A" w:rsidRPr="00905499" w:rsidRDefault="00246C2F"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1.149[.936, 1.362]*</w:t>
            </w:r>
            <w:r w:rsidR="003D4A15" w:rsidRPr="00905499">
              <w:rPr>
                <w:rFonts w:ascii="Times New Roman" w:hAnsi="Times New Roman" w:cs="Times New Roman"/>
                <w:sz w:val="15"/>
                <w:szCs w:val="15"/>
                <w:lang w:val="en-US"/>
              </w:rPr>
              <w:t>**</w:t>
            </w:r>
          </w:p>
        </w:tc>
        <w:tc>
          <w:tcPr>
            <w:tcW w:w="1701" w:type="dxa"/>
            <w:vAlign w:val="center"/>
          </w:tcPr>
          <w:p w14:paraId="3D46D864" w14:textId="6A7A0CD1" w:rsidR="0074659A" w:rsidRPr="00905499" w:rsidRDefault="00FA68A0"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1.010[.792, 1.228]*</w:t>
            </w:r>
            <w:r w:rsidR="003D4A15" w:rsidRPr="00905499">
              <w:rPr>
                <w:rFonts w:ascii="Times New Roman" w:hAnsi="Times New Roman" w:cs="Times New Roman"/>
                <w:sz w:val="15"/>
                <w:szCs w:val="15"/>
                <w:lang w:val="en-US"/>
              </w:rPr>
              <w:t>**</w:t>
            </w:r>
          </w:p>
        </w:tc>
        <w:tc>
          <w:tcPr>
            <w:tcW w:w="1701" w:type="dxa"/>
            <w:vAlign w:val="center"/>
          </w:tcPr>
          <w:p w14:paraId="61E84B3E" w14:textId="07F7CC07" w:rsidR="0074659A" w:rsidRPr="00905499" w:rsidRDefault="00FA68A0"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1.039[.819, 1.259]*</w:t>
            </w:r>
            <w:r w:rsidR="009F3105" w:rsidRPr="00905499">
              <w:rPr>
                <w:rFonts w:ascii="Times New Roman" w:hAnsi="Times New Roman" w:cs="Times New Roman"/>
                <w:sz w:val="15"/>
                <w:szCs w:val="15"/>
                <w:lang w:val="en-US"/>
              </w:rPr>
              <w:t>**</w:t>
            </w:r>
          </w:p>
        </w:tc>
        <w:tc>
          <w:tcPr>
            <w:tcW w:w="1708" w:type="dxa"/>
            <w:vAlign w:val="center"/>
          </w:tcPr>
          <w:p w14:paraId="279B7E57" w14:textId="2B976AF5" w:rsidR="0074659A" w:rsidRPr="00905499" w:rsidRDefault="00FA68A0"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1.026[.806[1.247]*</w:t>
            </w:r>
            <w:r w:rsidR="001C1538" w:rsidRPr="00905499">
              <w:rPr>
                <w:rFonts w:ascii="Times New Roman" w:hAnsi="Times New Roman" w:cs="Times New Roman"/>
                <w:sz w:val="15"/>
                <w:szCs w:val="15"/>
                <w:lang w:val="en-US"/>
              </w:rPr>
              <w:t>**</w:t>
            </w:r>
          </w:p>
        </w:tc>
        <w:tc>
          <w:tcPr>
            <w:tcW w:w="1694" w:type="dxa"/>
          </w:tcPr>
          <w:p w14:paraId="134A89E7" w14:textId="191FC6B4" w:rsidR="0074659A" w:rsidRPr="00905499" w:rsidRDefault="001425BD"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1.052[.829, 1.275]*</w:t>
            </w:r>
            <w:r w:rsidR="00A17886" w:rsidRPr="00905499">
              <w:rPr>
                <w:rFonts w:ascii="Times New Roman" w:hAnsi="Times New Roman" w:cs="Times New Roman"/>
                <w:sz w:val="15"/>
                <w:szCs w:val="15"/>
                <w:lang w:val="en-US"/>
              </w:rPr>
              <w:t>**</w:t>
            </w:r>
          </w:p>
        </w:tc>
      </w:tr>
      <w:tr w:rsidR="003D4A15" w:rsidRPr="00905499" w14:paraId="2488ED94" w14:textId="77777777" w:rsidTr="001C1538">
        <w:trPr>
          <w:trHeight w:val="244"/>
        </w:trPr>
        <w:tc>
          <w:tcPr>
            <w:tcW w:w="1232" w:type="dxa"/>
            <w:tcBorders>
              <w:bottom w:val="single" w:sz="4" w:space="0" w:color="auto"/>
            </w:tcBorders>
          </w:tcPr>
          <w:p w14:paraId="747D9947" w14:textId="340F0C73" w:rsidR="0074659A" w:rsidRPr="00905499" w:rsidRDefault="0074659A"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 xml:space="preserve">    NT</w:t>
            </w:r>
          </w:p>
        </w:tc>
        <w:tc>
          <w:tcPr>
            <w:tcW w:w="1711" w:type="dxa"/>
            <w:tcBorders>
              <w:bottom w:val="single" w:sz="4" w:space="0" w:color="auto"/>
            </w:tcBorders>
            <w:vAlign w:val="center"/>
          </w:tcPr>
          <w:p w14:paraId="116E3387" w14:textId="51E97B1C" w:rsidR="0074659A" w:rsidRPr="00905499" w:rsidRDefault="0074659A"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.443[.033, .852]*</w:t>
            </w:r>
          </w:p>
        </w:tc>
        <w:tc>
          <w:tcPr>
            <w:tcW w:w="1701" w:type="dxa"/>
            <w:tcBorders>
              <w:bottom w:val="single" w:sz="4" w:space="0" w:color="auto"/>
            </w:tcBorders>
            <w:vAlign w:val="center"/>
          </w:tcPr>
          <w:p w14:paraId="4BBB89E6" w14:textId="3CED82DD" w:rsidR="0074659A" w:rsidRPr="00905499" w:rsidRDefault="00246C2F"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.439[.031, .848]*</w:t>
            </w:r>
          </w:p>
        </w:tc>
        <w:tc>
          <w:tcPr>
            <w:tcW w:w="1701" w:type="dxa"/>
            <w:tcBorders>
              <w:bottom w:val="single" w:sz="4" w:space="0" w:color="auto"/>
            </w:tcBorders>
            <w:vAlign w:val="center"/>
          </w:tcPr>
          <w:p w14:paraId="74A61DCF" w14:textId="6F388F44" w:rsidR="0074659A" w:rsidRPr="00905499" w:rsidRDefault="003D4A15"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.332[-.089, -.753]</w:t>
            </w:r>
          </w:p>
        </w:tc>
        <w:tc>
          <w:tcPr>
            <w:tcW w:w="1701" w:type="dxa"/>
            <w:tcBorders>
              <w:bottom w:val="single" w:sz="4" w:space="0" w:color="auto"/>
            </w:tcBorders>
            <w:vAlign w:val="center"/>
          </w:tcPr>
          <w:p w14:paraId="23D28590" w14:textId="61BECE06" w:rsidR="0074659A" w:rsidRPr="00905499" w:rsidRDefault="00FA68A0"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.364[-.061, .790]</w:t>
            </w:r>
          </w:p>
        </w:tc>
        <w:tc>
          <w:tcPr>
            <w:tcW w:w="1708" w:type="dxa"/>
            <w:tcBorders>
              <w:bottom w:val="single" w:sz="4" w:space="0" w:color="auto"/>
            </w:tcBorders>
            <w:vAlign w:val="center"/>
          </w:tcPr>
          <w:p w14:paraId="5E5AA66C" w14:textId="7E3AD32C" w:rsidR="0074659A" w:rsidRPr="00905499" w:rsidRDefault="00FA68A0"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.329[-.094, .752]</w:t>
            </w:r>
          </w:p>
        </w:tc>
        <w:tc>
          <w:tcPr>
            <w:tcW w:w="1694" w:type="dxa"/>
            <w:tcBorders>
              <w:bottom w:val="single" w:sz="4" w:space="0" w:color="auto"/>
            </w:tcBorders>
          </w:tcPr>
          <w:p w14:paraId="56AF7784" w14:textId="1F2911CA" w:rsidR="0074659A" w:rsidRPr="00905499" w:rsidRDefault="001425BD" w:rsidP="001C1538">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.361[-.066, .489]</w:t>
            </w:r>
          </w:p>
        </w:tc>
      </w:tr>
    </w:tbl>
    <w:p w14:paraId="14387B29" w14:textId="1B42591A" w:rsidR="00904DAF" w:rsidRPr="00905499" w:rsidRDefault="00904DAF" w:rsidP="00904DAF">
      <w:pPr>
        <w:rPr>
          <w:sz w:val="20"/>
          <w:szCs w:val="20"/>
          <w:lang w:val="en-US"/>
        </w:rPr>
      </w:pPr>
      <w:r w:rsidRPr="00905499">
        <w:rPr>
          <w:i/>
          <w:sz w:val="20"/>
          <w:szCs w:val="20"/>
          <w:lang w:val="en-US"/>
        </w:rPr>
        <w:t xml:space="preserve">Notes. </w:t>
      </w:r>
      <w:r w:rsidRPr="00905499">
        <w:rPr>
          <w:b/>
          <w:sz w:val="20"/>
          <w:szCs w:val="20"/>
          <w:vertAlign w:val="superscript"/>
          <w:lang w:val="en-US"/>
        </w:rPr>
        <w:t>1</w:t>
      </w:r>
      <w:r w:rsidRPr="00905499">
        <w:rPr>
          <w:sz w:val="20"/>
          <w:szCs w:val="20"/>
          <w:lang w:val="en-US"/>
        </w:rPr>
        <w:t>The Australian Capital [ACT] is used as the reference group for state of residence. IEO is the Australian Bureau of Statistics index of educational and occupational level. It has an Australian mean of 1000.</w:t>
      </w:r>
      <w:r w:rsidR="00FD68B7" w:rsidRPr="00FD68B7">
        <w:rPr>
          <w:sz w:val="20"/>
          <w:szCs w:val="20"/>
          <w:lang w:val="en-US"/>
        </w:rPr>
        <w:t xml:space="preserve"> </w:t>
      </w:r>
      <w:r w:rsidR="00FD68B7" w:rsidRPr="00905499">
        <w:rPr>
          <w:sz w:val="20"/>
          <w:szCs w:val="20"/>
          <w:lang w:val="en-US"/>
        </w:rPr>
        <w:t xml:space="preserve">* </w:t>
      </w:r>
      <w:proofErr w:type="gramStart"/>
      <w:r w:rsidR="00FD68B7" w:rsidRPr="00905499">
        <w:rPr>
          <w:i/>
          <w:sz w:val="20"/>
          <w:szCs w:val="20"/>
          <w:lang w:val="en-US"/>
        </w:rPr>
        <w:t>p</w:t>
      </w:r>
      <w:proofErr w:type="gramEnd"/>
      <w:r w:rsidR="00FD68B7" w:rsidRPr="00905499">
        <w:rPr>
          <w:sz w:val="20"/>
          <w:szCs w:val="20"/>
          <w:lang w:val="en-US"/>
        </w:rPr>
        <w:t xml:space="preserve"> &lt; .05; ** </w:t>
      </w:r>
      <w:r w:rsidR="00FD68B7" w:rsidRPr="00905499">
        <w:rPr>
          <w:i/>
          <w:sz w:val="20"/>
          <w:szCs w:val="20"/>
          <w:lang w:val="en-US"/>
        </w:rPr>
        <w:t>p</w:t>
      </w:r>
      <w:r w:rsidR="00FD68B7" w:rsidRPr="00905499">
        <w:rPr>
          <w:sz w:val="20"/>
          <w:szCs w:val="20"/>
          <w:lang w:val="en-US"/>
        </w:rPr>
        <w:t xml:space="preserve"> &lt; .01; *** </w:t>
      </w:r>
      <w:r w:rsidR="00FD68B7" w:rsidRPr="00905499">
        <w:rPr>
          <w:i/>
          <w:sz w:val="20"/>
          <w:szCs w:val="20"/>
          <w:lang w:val="en-US"/>
        </w:rPr>
        <w:t>p</w:t>
      </w:r>
      <w:r w:rsidR="00FD68B7" w:rsidRPr="00905499">
        <w:rPr>
          <w:sz w:val="20"/>
          <w:szCs w:val="20"/>
          <w:lang w:val="en-US"/>
        </w:rPr>
        <w:t xml:space="preserve"> &lt;.001.</w:t>
      </w:r>
    </w:p>
    <w:p w14:paraId="37397BFB" w14:textId="77777777" w:rsidR="00E30B12" w:rsidRPr="00905499" w:rsidRDefault="00E30B12" w:rsidP="00F608B4">
      <w:pPr>
        <w:rPr>
          <w:b/>
          <w:lang w:val="en-US"/>
        </w:rPr>
      </w:pPr>
    </w:p>
    <w:p w14:paraId="697D6821" w14:textId="77777777" w:rsidR="00CE0791" w:rsidRPr="00905499" w:rsidRDefault="00CE0791" w:rsidP="00F608B4">
      <w:pPr>
        <w:rPr>
          <w:b/>
          <w:lang w:val="en-US"/>
        </w:rPr>
      </w:pPr>
    </w:p>
    <w:p w14:paraId="21B3C274" w14:textId="77777777" w:rsidR="00763412" w:rsidRPr="00905499" w:rsidRDefault="00763412" w:rsidP="00CE0791">
      <w:pPr>
        <w:rPr>
          <w:b/>
          <w:lang w:val="en-US"/>
        </w:rPr>
      </w:pPr>
    </w:p>
    <w:p w14:paraId="0837A520" w14:textId="77777777" w:rsidR="00763412" w:rsidRPr="00905499" w:rsidRDefault="00763412" w:rsidP="00CE0791">
      <w:pPr>
        <w:rPr>
          <w:b/>
          <w:lang w:val="en-US"/>
        </w:rPr>
      </w:pPr>
    </w:p>
    <w:p w14:paraId="59C66CF4" w14:textId="77777777" w:rsidR="00763412" w:rsidRPr="00905499" w:rsidRDefault="00763412" w:rsidP="00CE0791">
      <w:pPr>
        <w:rPr>
          <w:b/>
          <w:lang w:val="en-US"/>
        </w:rPr>
      </w:pPr>
    </w:p>
    <w:p w14:paraId="2C4EAC8D" w14:textId="77777777" w:rsidR="00763412" w:rsidRPr="00905499" w:rsidRDefault="00763412" w:rsidP="00CE0791">
      <w:pPr>
        <w:rPr>
          <w:b/>
          <w:lang w:val="en-US"/>
        </w:rPr>
      </w:pPr>
    </w:p>
    <w:p w14:paraId="613E63E1" w14:textId="77777777" w:rsidR="00763412" w:rsidRPr="00905499" w:rsidRDefault="00763412" w:rsidP="00CE0791">
      <w:pPr>
        <w:rPr>
          <w:b/>
          <w:lang w:val="en-US"/>
        </w:rPr>
      </w:pPr>
    </w:p>
    <w:p w14:paraId="318A9398" w14:textId="77777777" w:rsidR="00763412" w:rsidRPr="00905499" w:rsidRDefault="00763412" w:rsidP="00CE0791">
      <w:pPr>
        <w:rPr>
          <w:b/>
          <w:lang w:val="en-US"/>
        </w:rPr>
      </w:pPr>
    </w:p>
    <w:p w14:paraId="2C4CF46E" w14:textId="77777777" w:rsidR="00763412" w:rsidRPr="00905499" w:rsidRDefault="00763412" w:rsidP="00CE0791">
      <w:pPr>
        <w:rPr>
          <w:b/>
          <w:lang w:val="en-US"/>
        </w:rPr>
      </w:pPr>
    </w:p>
    <w:p w14:paraId="1F49DB02" w14:textId="77777777" w:rsidR="00763412" w:rsidRPr="00905499" w:rsidRDefault="00763412" w:rsidP="00CE0791">
      <w:pPr>
        <w:rPr>
          <w:b/>
          <w:lang w:val="en-US"/>
        </w:rPr>
      </w:pPr>
    </w:p>
    <w:p w14:paraId="3896ADFF" w14:textId="77777777" w:rsidR="00C33FA4" w:rsidRPr="00905499" w:rsidRDefault="00C33FA4" w:rsidP="00CE0791">
      <w:pPr>
        <w:rPr>
          <w:b/>
          <w:lang w:val="en-US"/>
        </w:rPr>
      </w:pPr>
      <w:r w:rsidRPr="00905499">
        <w:rPr>
          <w:b/>
          <w:lang w:val="en-US"/>
        </w:rPr>
        <w:br w:type="page"/>
      </w:r>
    </w:p>
    <w:p w14:paraId="19E01448" w14:textId="5BB136F8" w:rsidR="00CE0791" w:rsidRPr="00905499" w:rsidRDefault="00CE0791" w:rsidP="00CE0791">
      <w:pPr>
        <w:rPr>
          <w:b/>
          <w:lang w:val="en-US"/>
        </w:rPr>
      </w:pPr>
      <w:r w:rsidRPr="00905499">
        <w:rPr>
          <w:b/>
          <w:lang w:val="en-US"/>
        </w:rPr>
        <w:lastRenderedPageBreak/>
        <w:t>Table 5</w:t>
      </w:r>
    </w:p>
    <w:p w14:paraId="4476C54E" w14:textId="77777777" w:rsidR="00CE0791" w:rsidRPr="00905499" w:rsidRDefault="00CE0791" w:rsidP="00CE0791">
      <w:pPr>
        <w:rPr>
          <w:lang w:val="en-US"/>
        </w:rPr>
      </w:pPr>
      <w:r w:rsidRPr="00905499">
        <w:rPr>
          <w:lang w:val="en-US"/>
        </w:rPr>
        <w:t>Log-Odds of Distance on Attendance of a University Information Session Age 16</w:t>
      </w:r>
    </w:p>
    <w:tbl>
      <w:tblPr>
        <w:tblStyle w:val="TableGrid"/>
        <w:tblpPr w:leftFromText="180" w:rightFromText="180" w:vertAnchor="text" w:tblpX="-1365" w:tblpY="1"/>
        <w:tblOverlap w:val="never"/>
        <w:tblW w:w="10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560"/>
        <w:gridCol w:w="1559"/>
        <w:gridCol w:w="1502"/>
        <w:gridCol w:w="1497"/>
        <w:gridCol w:w="1507"/>
        <w:gridCol w:w="1480"/>
        <w:gridCol w:w="22"/>
      </w:tblGrid>
      <w:tr w:rsidR="00763412" w:rsidRPr="00905499" w14:paraId="3A05D17C" w14:textId="77777777" w:rsidTr="00BD6210">
        <w:trPr>
          <w:trHeight w:val="471"/>
        </w:trPr>
        <w:tc>
          <w:tcPr>
            <w:tcW w:w="1242" w:type="dxa"/>
            <w:vMerge w:val="restart"/>
            <w:tcBorders>
              <w:top w:val="single" w:sz="12" w:space="0" w:color="auto"/>
            </w:tcBorders>
          </w:tcPr>
          <w:p w14:paraId="070A912E" w14:textId="77777777" w:rsidR="00763412" w:rsidRPr="00905499" w:rsidRDefault="00763412" w:rsidP="00494949">
            <w:pPr>
              <w:ind w:left="142" w:hanging="142"/>
              <w:rPr>
                <w:rFonts w:ascii="Times New Roman" w:hAnsi="Times New Roman" w:cs="Times New Roman"/>
                <w:sz w:val="15"/>
                <w:szCs w:val="15"/>
                <w:lang w:val="en-US"/>
              </w:rPr>
            </w:pPr>
          </w:p>
        </w:tc>
        <w:tc>
          <w:tcPr>
            <w:tcW w:w="3119" w:type="dxa"/>
            <w:gridSpan w:val="2"/>
            <w:tcBorders>
              <w:top w:val="single" w:sz="12" w:space="0" w:color="auto"/>
              <w:bottom w:val="single" w:sz="6" w:space="0" w:color="auto"/>
            </w:tcBorders>
            <w:vAlign w:val="center"/>
          </w:tcPr>
          <w:p w14:paraId="3B7043B0" w14:textId="77777777" w:rsidR="00763412" w:rsidRPr="00905499" w:rsidRDefault="00763412" w:rsidP="00494949">
            <w:pPr>
              <w:ind w:left="142" w:hanging="142"/>
              <w:jc w:val="center"/>
              <w:rPr>
                <w:rFonts w:ascii="Times New Roman" w:hAnsi="Times New Roman" w:cs="Times New Roman"/>
                <w:sz w:val="15"/>
                <w:szCs w:val="15"/>
                <w:lang w:val="en-US"/>
              </w:rPr>
            </w:pPr>
            <w:r w:rsidRPr="00905499">
              <w:rPr>
                <w:rFonts w:ascii="Times New Roman" w:hAnsi="Times New Roman" w:cs="Times New Roman"/>
                <w:sz w:val="15"/>
                <w:szCs w:val="15"/>
                <w:lang w:val="en-US"/>
              </w:rPr>
              <w:t>At least one campus</w:t>
            </w:r>
          </w:p>
        </w:tc>
        <w:tc>
          <w:tcPr>
            <w:tcW w:w="2999" w:type="dxa"/>
            <w:gridSpan w:val="2"/>
            <w:tcBorders>
              <w:top w:val="single" w:sz="12" w:space="0" w:color="auto"/>
              <w:bottom w:val="single" w:sz="6" w:space="0" w:color="auto"/>
            </w:tcBorders>
            <w:vAlign w:val="center"/>
          </w:tcPr>
          <w:p w14:paraId="5CE196B2" w14:textId="77777777" w:rsidR="00763412" w:rsidRPr="00905499" w:rsidRDefault="00763412" w:rsidP="00494949">
            <w:pPr>
              <w:ind w:left="142" w:hanging="142"/>
              <w:jc w:val="center"/>
              <w:rPr>
                <w:rFonts w:ascii="Times New Roman" w:hAnsi="Times New Roman" w:cs="Times New Roman"/>
                <w:sz w:val="15"/>
                <w:szCs w:val="15"/>
                <w:lang w:val="en-US"/>
              </w:rPr>
            </w:pPr>
            <w:r w:rsidRPr="00905499">
              <w:rPr>
                <w:rFonts w:ascii="Times New Roman" w:hAnsi="Times New Roman" w:cs="Times New Roman"/>
                <w:sz w:val="15"/>
                <w:szCs w:val="15"/>
                <w:lang w:val="en-US"/>
              </w:rPr>
              <w:t>Number of Campuses</w:t>
            </w:r>
          </w:p>
        </w:tc>
        <w:tc>
          <w:tcPr>
            <w:tcW w:w="3009" w:type="dxa"/>
            <w:gridSpan w:val="3"/>
            <w:tcBorders>
              <w:top w:val="single" w:sz="12" w:space="0" w:color="auto"/>
              <w:bottom w:val="single" w:sz="6" w:space="0" w:color="auto"/>
            </w:tcBorders>
            <w:vAlign w:val="center"/>
          </w:tcPr>
          <w:p w14:paraId="555F09BF" w14:textId="77777777" w:rsidR="00763412" w:rsidRPr="00905499" w:rsidRDefault="00763412" w:rsidP="00494949">
            <w:pPr>
              <w:ind w:left="142" w:hanging="142"/>
              <w:jc w:val="center"/>
              <w:rPr>
                <w:rFonts w:ascii="Times New Roman" w:hAnsi="Times New Roman" w:cs="Times New Roman"/>
                <w:sz w:val="15"/>
                <w:szCs w:val="15"/>
                <w:lang w:val="en-US"/>
              </w:rPr>
            </w:pPr>
            <w:r w:rsidRPr="00905499">
              <w:rPr>
                <w:rFonts w:ascii="Times New Roman" w:hAnsi="Times New Roman" w:cs="Times New Roman"/>
                <w:sz w:val="15"/>
                <w:szCs w:val="15"/>
                <w:lang w:val="en-US"/>
              </w:rPr>
              <w:t>Number of Campuses: Polynomial</w:t>
            </w:r>
          </w:p>
        </w:tc>
      </w:tr>
      <w:tr w:rsidR="00763412" w:rsidRPr="00905499" w14:paraId="61951471" w14:textId="77777777" w:rsidTr="00BD6210">
        <w:trPr>
          <w:trHeight w:val="227"/>
        </w:trPr>
        <w:tc>
          <w:tcPr>
            <w:tcW w:w="1242" w:type="dxa"/>
            <w:vMerge/>
            <w:tcBorders>
              <w:bottom w:val="single" w:sz="4" w:space="0" w:color="auto"/>
            </w:tcBorders>
          </w:tcPr>
          <w:p w14:paraId="0C424782" w14:textId="77777777" w:rsidR="00763412" w:rsidRPr="00905499" w:rsidRDefault="00763412" w:rsidP="00494949">
            <w:pPr>
              <w:ind w:left="142" w:hanging="142"/>
              <w:rPr>
                <w:sz w:val="15"/>
                <w:szCs w:val="15"/>
                <w:lang w:val="en-US"/>
              </w:rPr>
            </w:pPr>
          </w:p>
        </w:tc>
        <w:tc>
          <w:tcPr>
            <w:tcW w:w="1560" w:type="dxa"/>
            <w:tcBorders>
              <w:bottom w:val="single" w:sz="4" w:space="0" w:color="auto"/>
            </w:tcBorders>
            <w:vAlign w:val="center"/>
          </w:tcPr>
          <w:p w14:paraId="65BE0850" w14:textId="77777777" w:rsidR="00763412" w:rsidRPr="00905499" w:rsidRDefault="00763412" w:rsidP="0049494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Model 1</w:t>
            </w:r>
          </w:p>
        </w:tc>
        <w:tc>
          <w:tcPr>
            <w:tcW w:w="1559" w:type="dxa"/>
            <w:tcBorders>
              <w:bottom w:val="single" w:sz="4" w:space="0" w:color="auto"/>
            </w:tcBorders>
            <w:vAlign w:val="center"/>
          </w:tcPr>
          <w:p w14:paraId="4651C6D8" w14:textId="77777777" w:rsidR="00763412" w:rsidRPr="00905499" w:rsidRDefault="00763412" w:rsidP="0049494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Model 2</w:t>
            </w:r>
          </w:p>
        </w:tc>
        <w:tc>
          <w:tcPr>
            <w:tcW w:w="1502" w:type="dxa"/>
            <w:tcBorders>
              <w:bottom w:val="single" w:sz="4" w:space="0" w:color="auto"/>
            </w:tcBorders>
            <w:vAlign w:val="center"/>
          </w:tcPr>
          <w:p w14:paraId="4A4627E2" w14:textId="77777777" w:rsidR="00763412" w:rsidRPr="00905499" w:rsidRDefault="00763412" w:rsidP="0049494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Model 1</w:t>
            </w:r>
          </w:p>
        </w:tc>
        <w:tc>
          <w:tcPr>
            <w:tcW w:w="1497" w:type="dxa"/>
            <w:tcBorders>
              <w:bottom w:val="single" w:sz="4" w:space="0" w:color="auto"/>
            </w:tcBorders>
            <w:vAlign w:val="center"/>
          </w:tcPr>
          <w:p w14:paraId="0074D3A9" w14:textId="77777777" w:rsidR="00763412" w:rsidRPr="00905499" w:rsidRDefault="00763412" w:rsidP="0049494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Model 2</w:t>
            </w:r>
          </w:p>
        </w:tc>
        <w:tc>
          <w:tcPr>
            <w:tcW w:w="1507" w:type="dxa"/>
            <w:tcBorders>
              <w:bottom w:val="single" w:sz="4" w:space="0" w:color="auto"/>
            </w:tcBorders>
            <w:vAlign w:val="center"/>
          </w:tcPr>
          <w:p w14:paraId="1CE8A39C" w14:textId="77777777" w:rsidR="00763412" w:rsidRPr="00905499" w:rsidRDefault="00763412" w:rsidP="0049494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Model 1</w:t>
            </w:r>
          </w:p>
        </w:tc>
        <w:tc>
          <w:tcPr>
            <w:tcW w:w="1502" w:type="dxa"/>
            <w:gridSpan w:val="2"/>
            <w:tcBorders>
              <w:bottom w:val="single" w:sz="4" w:space="0" w:color="auto"/>
            </w:tcBorders>
            <w:vAlign w:val="center"/>
          </w:tcPr>
          <w:p w14:paraId="23D94768" w14:textId="77777777" w:rsidR="00763412" w:rsidRPr="00905499" w:rsidRDefault="00763412" w:rsidP="0049494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Model 2</w:t>
            </w:r>
          </w:p>
        </w:tc>
      </w:tr>
      <w:tr w:rsidR="00763412" w:rsidRPr="00905499" w14:paraId="1FE9A7E0" w14:textId="77777777" w:rsidTr="00BD6210">
        <w:trPr>
          <w:trHeight w:val="227"/>
        </w:trPr>
        <w:tc>
          <w:tcPr>
            <w:tcW w:w="1242" w:type="dxa"/>
            <w:tcBorders>
              <w:top w:val="single" w:sz="4" w:space="0" w:color="auto"/>
            </w:tcBorders>
          </w:tcPr>
          <w:p w14:paraId="2F3E2954" w14:textId="77777777" w:rsidR="00763412" w:rsidRPr="00905499" w:rsidRDefault="00763412" w:rsidP="00494949">
            <w:pPr>
              <w:ind w:left="142" w:hanging="142"/>
              <w:rPr>
                <w:rFonts w:ascii="Times New Roman" w:hAnsi="Times New Roman" w:cs="Times New Roman"/>
                <w:sz w:val="15"/>
                <w:szCs w:val="15"/>
                <w:lang w:val="en-US"/>
              </w:rPr>
            </w:pPr>
            <w:r w:rsidRPr="00905499">
              <w:rPr>
                <w:sz w:val="15"/>
                <w:szCs w:val="15"/>
                <w:lang w:val="en-US"/>
              </w:rPr>
              <w:t>Distance</w:t>
            </w:r>
          </w:p>
        </w:tc>
        <w:tc>
          <w:tcPr>
            <w:tcW w:w="1560" w:type="dxa"/>
            <w:tcBorders>
              <w:top w:val="single" w:sz="4" w:space="0" w:color="auto"/>
            </w:tcBorders>
            <w:vAlign w:val="center"/>
          </w:tcPr>
          <w:p w14:paraId="7EC43774" w14:textId="3DD56604" w:rsidR="00763412" w:rsidRPr="00905499" w:rsidRDefault="00494949"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.088[-.154, .330]</w:t>
            </w:r>
          </w:p>
        </w:tc>
        <w:tc>
          <w:tcPr>
            <w:tcW w:w="1559" w:type="dxa"/>
            <w:tcBorders>
              <w:top w:val="single" w:sz="4" w:space="0" w:color="auto"/>
            </w:tcBorders>
            <w:vAlign w:val="center"/>
          </w:tcPr>
          <w:p w14:paraId="48906955" w14:textId="2CFB6365" w:rsidR="00763412" w:rsidRPr="00905499" w:rsidRDefault="00A04974"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.040[-.211, .291]</w:t>
            </w:r>
          </w:p>
        </w:tc>
        <w:tc>
          <w:tcPr>
            <w:tcW w:w="1502" w:type="dxa"/>
            <w:tcBorders>
              <w:top w:val="single" w:sz="4" w:space="0" w:color="auto"/>
            </w:tcBorders>
            <w:vAlign w:val="center"/>
          </w:tcPr>
          <w:p w14:paraId="6725B605" w14:textId="6B81D871" w:rsidR="00763412" w:rsidRPr="00905499" w:rsidRDefault="002D09E3"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.007[-.004, .019]</w:t>
            </w:r>
          </w:p>
        </w:tc>
        <w:tc>
          <w:tcPr>
            <w:tcW w:w="1497" w:type="dxa"/>
            <w:tcBorders>
              <w:top w:val="single" w:sz="4" w:space="0" w:color="auto"/>
            </w:tcBorders>
            <w:vAlign w:val="center"/>
          </w:tcPr>
          <w:p w14:paraId="2CC4DD59" w14:textId="24098306" w:rsidR="00763412" w:rsidRPr="00905499" w:rsidRDefault="00456E23"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.007[-.005, .019]</w:t>
            </w:r>
          </w:p>
        </w:tc>
        <w:tc>
          <w:tcPr>
            <w:tcW w:w="1507" w:type="dxa"/>
            <w:tcBorders>
              <w:top w:val="single" w:sz="4" w:space="0" w:color="auto"/>
            </w:tcBorders>
            <w:vAlign w:val="center"/>
          </w:tcPr>
          <w:p w14:paraId="176C58A8" w14:textId="4CD7B5C5" w:rsidR="00763412" w:rsidRPr="00905499" w:rsidRDefault="00456E23"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.011[-.031, .053]</w:t>
            </w:r>
          </w:p>
        </w:tc>
        <w:tc>
          <w:tcPr>
            <w:tcW w:w="1502" w:type="dxa"/>
            <w:gridSpan w:val="2"/>
            <w:tcBorders>
              <w:top w:val="single" w:sz="4" w:space="0" w:color="auto"/>
            </w:tcBorders>
            <w:vAlign w:val="center"/>
          </w:tcPr>
          <w:p w14:paraId="3291D6C9" w14:textId="6A2D56DF" w:rsidR="00763412" w:rsidRPr="00905499" w:rsidRDefault="00511949"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.012[-.030, .054]</w:t>
            </w:r>
          </w:p>
        </w:tc>
      </w:tr>
      <w:tr w:rsidR="00763412" w:rsidRPr="00905499" w14:paraId="1508483A" w14:textId="77777777" w:rsidTr="00BD6210">
        <w:trPr>
          <w:trHeight w:val="227"/>
        </w:trPr>
        <w:tc>
          <w:tcPr>
            <w:tcW w:w="1242" w:type="dxa"/>
          </w:tcPr>
          <w:p w14:paraId="61DA0175" w14:textId="77777777" w:rsidR="00763412" w:rsidRPr="00905499" w:rsidRDefault="00763412" w:rsidP="00494949">
            <w:pPr>
              <w:ind w:left="142" w:hanging="142"/>
              <w:rPr>
                <w:sz w:val="15"/>
                <w:szCs w:val="15"/>
                <w:lang w:val="en-US"/>
              </w:rPr>
            </w:pPr>
            <w:r w:rsidRPr="00905499">
              <w:rPr>
                <w:sz w:val="15"/>
                <w:szCs w:val="15"/>
                <w:lang w:val="en-US"/>
              </w:rPr>
              <w:t>Distance</w:t>
            </w:r>
            <w:r w:rsidRPr="00905499">
              <w:rPr>
                <w:sz w:val="15"/>
                <w:szCs w:val="15"/>
                <w:vertAlign w:val="superscript"/>
                <w:lang w:val="en-US"/>
              </w:rPr>
              <w:t xml:space="preserve"> 2</w:t>
            </w:r>
          </w:p>
        </w:tc>
        <w:tc>
          <w:tcPr>
            <w:tcW w:w="1560" w:type="dxa"/>
            <w:vAlign w:val="center"/>
          </w:tcPr>
          <w:p w14:paraId="0376D17B" w14:textId="77777777" w:rsidR="00763412" w:rsidRPr="00905499" w:rsidRDefault="00763412" w:rsidP="00A04974">
            <w:pPr>
              <w:ind w:left="142" w:hanging="142"/>
              <w:rPr>
                <w:rFonts w:ascii="Times New Roman" w:hAnsi="Times New Roman" w:cs="Times New Roman"/>
                <w:sz w:val="15"/>
                <w:szCs w:val="15"/>
                <w:lang w:val="en-US"/>
              </w:rPr>
            </w:pPr>
          </w:p>
        </w:tc>
        <w:tc>
          <w:tcPr>
            <w:tcW w:w="1559" w:type="dxa"/>
            <w:vAlign w:val="center"/>
          </w:tcPr>
          <w:p w14:paraId="004F0559" w14:textId="77777777" w:rsidR="00763412" w:rsidRPr="00905499" w:rsidRDefault="00763412" w:rsidP="00A04974">
            <w:pPr>
              <w:ind w:left="142" w:hanging="142"/>
              <w:rPr>
                <w:rFonts w:ascii="Times New Roman" w:hAnsi="Times New Roman" w:cs="Times New Roman"/>
                <w:sz w:val="15"/>
                <w:szCs w:val="15"/>
                <w:lang w:val="en-US"/>
              </w:rPr>
            </w:pPr>
          </w:p>
        </w:tc>
        <w:tc>
          <w:tcPr>
            <w:tcW w:w="1502" w:type="dxa"/>
            <w:vAlign w:val="center"/>
          </w:tcPr>
          <w:p w14:paraId="728CDA81" w14:textId="77777777" w:rsidR="00763412" w:rsidRPr="00905499" w:rsidRDefault="00763412" w:rsidP="00A04974">
            <w:pPr>
              <w:ind w:left="142" w:hanging="142"/>
              <w:rPr>
                <w:rFonts w:ascii="Times New Roman" w:hAnsi="Times New Roman" w:cs="Times New Roman"/>
                <w:sz w:val="15"/>
                <w:szCs w:val="15"/>
                <w:lang w:val="en-US"/>
              </w:rPr>
            </w:pPr>
          </w:p>
        </w:tc>
        <w:tc>
          <w:tcPr>
            <w:tcW w:w="1497" w:type="dxa"/>
            <w:vAlign w:val="center"/>
          </w:tcPr>
          <w:p w14:paraId="20A78964" w14:textId="77777777" w:rsidR="00763412" w:rsidRPr="00905499" w:rsidRDefault="00763412" w:rsidP="00A04974">
            <w:pPr>
              <w:ind w:left="142" w:hanging="142"/>
              <w:rPr>
                <w:rFonts w:ascii="Times New Roman" w:hAnsi="Times New Roman" w:cs="Times New Roman"/>
                <w:sz w:val="15"/>
                <w:szCs w:val="15"/>
                <w:lang w:val="en-US"/>
              </w:rPr>
            </w:pPr>
          </w:p>
        </w:tc>
        <w:tc>
          <w:tcPr>
            <w:tcW w:w="1507" w:type="dxa"/>
            <w:vAlign w:val="center"/>
          </w:tcPr>
          <w:p w14:paraId="564E9339" w14:textId="0A65152B" w:rsidR="00763412" w:rsidRPr="00905499" w:rsidRDefault="00456E23"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.000[-.001, .001]</w:t>
            </w:r>
          </w:p>
        </w:tc>
        <w:tc>
          <w:tcPr>
            <w:tcW w:w="1502" w:type="dxa"/>
            <w:gridSpan w:val="2"/>
            <w:vAlign w:val="center"/>
          </w:tcPr>
          <w:p w14:paraId="1F72E001" w14:textId="686A8911" w:rsidR="00763412" w:rsidRPr="00905499" w:rsidRDefault="00511949"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.000[-.001, .001]</w:t>
            </w:r>
          </w:p>
        </w:tc>
      </w:tr>
      <w:tr w:rsidR="00763412" w:rsidRPr="00905499" w14:paraId="52771717" w14:textId="77777777" w:rsidTr="00BD6210">
        <w:trPr>
          <w:trHeight w:val="244"/>
        </w:trPr>
        <w:tc>
          <w:tcPr>
            <w:tcW w:w="1242" w:type="dxa"/>
          </w:tcPr>
          <w:p w14:paraId="79C7A5F2" w14:textId="77777777" w:rsidR="00763412" w:rsidRPr="00905499" w:rsidRDefault="00763412" w:rsidP="00494949">
            <w:pPr>
              <w:ind w:left="142" w:hanging="142"/>
              <w:rPr>
                <w:rFonts w:ascii="Times New Roman" w:hAnsi="Times New Roman" w:cs="Times New Roman"/>
                <w:sz w:val="15"/>
                <w:szCs w:val="15"/>
                <w:lang w:val="en-US"/>
              </w:rPr>
            </w:pPr>
            <w:proofErr w:type="gramStart"/>
            <w:r w:rsidRPr="00905499">
              <w:rPr>
                <w:rFonts w:ascii="Times New Roman" w:hAnsi="Times New Roman" w:cs="Times New Roman"/>
                <w:sz w:val="15"/>
                <w:szCs w:val="15"/>
                <w:lang w:val="en-US"/>
              </w:rPr>
              <w:t>z</w:t>
            </w:r>
            <w:proofErr w:type="gramEnd"/>
            <w:r w:rsidRPr="00905499">
              <w:rPr>
                <w:rFonts w:ascii="Times New Roman" w:hAnsi="Times New Roman" w:cs="Times New Roman"/>
                <w:sz w:val="15"/>
                <w:szCs w:val="15"/>
                <w:lang w:val="en-US"/>
              </w:rPr>
              <w:t>-score ESCS</w:t>
            </w:r>
          </w:p>
        </w:tc>
        <w:tc>
          <w:tcPr>
            <w:tcW w:w="1560" w:type="dxa"/>
            <w:vAlign w:val="center"/>
          </w:tcPr>
          <w:p w14:paraId="7B361CB0" w14:textId="5149F810" w:rsidR="00763412" w:rsidRPr="00905499" w:rsidRDefault="00494949"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.137[.071, .203]*</w:t>
            </w:r>
            <w:r w:rsidR="00BD6210" w:rsidRPr="00905499">
              <w:rPr>
                <w:rFonts w:ascii="Times New Roman" w:hAnsi="Times New Roman" w:cs="Times New Roman"/>
                <w:sz w:val="15"/>
                <w:szCs w:val="15"/>
                <w:lang w:val="en-US"/>
              </w:rPr>
              <w:t>**</w:t>
            </w:r>
          </w:p>
        </w:tc>
        <w:tc>
          <w:tcPr>
            <w:tcW w:w="1559" w:type="dxa"/>
            <w:vAlign w:val="center"/>
          </w:tcPr>
          <w:p w14:paraId="65F77BCE" w14:textId="2AF41739" w:rsidR="00763412" w:rsidRPr="00905499" w:rsidRDefault="00A04974"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.236[.116, .356]*</w:t>
            </w:r>
            <w:r w:rsidR="00BD6210" w:rsidRPr="00905499">
              <w:rPr>
                <w:rFonts w:ascii="Times New Roman" w:hAnsi="Times New Roman" w:cs="Times New Roman"/>
                <w:sz w:val="15"/>
                <w:szCs w:val="15"/>
                <w:lang w:val="en-US"/>
              </w:rPr>
              <w:t>**</w:t>
            </w:r>
          </w:p>
        </w:tc>
        <w:tc>
          <w:tcPr>
            <w:tcW w:w="1502" w:type="dxa"/>
            <w:vAlign w:val="center"/>
          </w:tcPr>
          <w:p w14:paraId="62556F04" w14:textId="0827A2A1" w:rsidR="00763412" w:rsidRPr="00905499" w:rsidRDefault="002D09E3"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.141[.076, .206]*</w:t>
            </w:r>
            <w:r w:rsidR="005F223C" w:rsidRPr="00905499">
              <w:rPr>
                <w:rFonts w:ascii="Times New Roman" w:hAnsi="Times New Roman" w:cs="Times New Roman"/>
                <w:sz w:val="15"/>
                <w:szCs w:val="15"/>
                <w:lang w:val="en-US"/>
              </w:rPr>
              <w:t>**</w:t>
            </w:r>
          </w:p>
        </w:tc>
        <w:tc>
          <w:tcPr>
            <w:tcW w:w="1497" w:type="dxa"/>
            <w:vAlign w:val="center"/>
          </w:tcPr>
          <w:p w14:paraId="0290DCDA" w14:textId="33177756" w:rsidR="00763412" w:rsidRPr="00905499" w:rsidRDefault="00456E23"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.130[.056, .205]*</w:t>
            </w:r>
            <w:r w:rsidR="00C33295" w:rsidRPr="00905499">
              <w:rPr>
                <w:rFonts w:ascii="Times New Roman" w:hAnsi="Times New Roman" w:cs="Times New Roman"/>
                <w:sz w:val="15"/>
                <w:szCs w:val="15"/>
                <w:lang w:val="en-US"/>
              </w:rPr>
              <w:t>**</w:t>
            </w:r>
          </w:p>
        </w:tc>
        <w:tc>
          <w:tcPr>
            <w:tcW w:w="1507" w:type="dxa"/>
            <w:vAlign w:val="center"/>
          </w:tcPr>
          <w:p w14:paraId="0A7535FF" w14:textId="637FE84C" w:rsidR="00763412" w:rsidRPr="00905499" w:rsidRDefault="00456E23"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.141[.075, .207]*</w:t>
            </w:r>
            <w:r w:rsidR="003C3560" w:rsidRPr="00905499">
              <w:rPr>
                <w:rFonts w:ascii="Times New Roman" w:hAnsi="Times New Roman" w:cs="Times New Roman"/>
                <w:sz w:val="15"/>
                <w:szCs w:val="15"/>
                <w:lang w:val="en-US"/>
              </w:rPr>
              <w:t>**</w:t>
            </w:r>
          </w:p>
        </w:tc>
        <w:tc>
          <w:tcPr>
            <w:tcW w:w="1502" w:type="dxa"/>
            <w:gridSpan w:val="2"/>
            <w:vAlign w:val="center"/>
          </w:tcPr>
          <w:p w14:paraId="4DA51DDA" w14:textId="52736A82" w:rsidR="00763412" w:rsidRPr="00905499" w:rsidRDefault="00511949"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.158[.069, .247]*</w:t>
            </w:r>
            <w:r w:rsidR="00681D07" w:rsidRPr="00905499">
              <w:rPr>
                <w:rFonts w:ascii="Times New Roman" w:hAnsi="Times New Roman" w:cs="Times New Roman"/>
                <w:sz w:val="15"/>
                <w:szCs w:val="15"/>
                <w:lang w:val="en-US"/>
              </w:rPr>
              <w:t>**</w:t>
            </w:r>
          </w:p>
        </w:tc>
      </w:tr>
      <w:tr w:rsidR="00763412" w:rsidRPr="00905499" w14:paraId="2B9A500D" w14:textId="77777777" w:rsidTr="00BD6210">
        <w:trPr>
          <w:trHeight w:val="244"/>
        </w:trPr>
        <w:tc>
          <w:tcPr>
            <w:tcW w:w="1242" w:type="dxa"/>
          </w:tcPr>
          <w:p w14:paraId="3DBDB548" w14:textId="77777777" w:rsidR="00763412" w:rsidRPr="00905499" w:rsidRDefault="00763412" w:rsidP="00494949">
            <w:pPr>
              <w:ind w:left="142" w:hanging="142"/>
              <w:rPr>
                <w:rFonts w:ascii="Times New Roman" w:hAnsi="Times New Roman" w:cs="Times New Roman"/>
                <w:sz w:val="15"/>
                <w:szCs w:val="15"/>
                <w:lang w:val="en-US"/>
              </w:rPr>
            </w:pPr>
            <w:r w:rsidRPr="00905499">
              <w:rPr>
                <w:sz w:val="15"/>
                <w:szCs w:val="15"/>
                <w:lang w:val="en-US"/>
              </w:rPr>
              <w:t>Distance *ESCS</w:t>
            </w:r>
          </w:p>
        </w:tc>
        <w:tc>
          <w:tcPr>
            <w:tcW w:w="1560" w:type="dxa"/>
            <w:vAlign w:val="center"/>
          </w:tcPr>
          <w:p w14:paraId="31E06286" w14:textId="77777777" w:rsidR="00763412" w:rsidRPr="00905499" w:rsidRDefault="00763412" w:rsidP="00A04974">
            <w:pPr>
              <w:ind w:left="142" w:hanging="142"/>
              <w:rPr>
                <w:rFonts w:ascii="Times New Roman" w:hAnsi="Times New Roman" w:cs="Times New Roman"/>
                <w:sz w:val="15"/>
                <w:szCs w:val="15"/>
                <w:lang w:val="en-US"/>
              </w:rPr>
            </w:pPr>
          </w:p>
        </w:tc>
        <w:tc>
          <w:tcPr>
            <w:tcW w:w="1559" w:type="dxa"/>
            <w:vAlign w:val="center"/>
          </w:tcPr>
          <w:p w14:paraId="08308094" w14:textId="6F628532" w:rsidR="00763412" w:rsidRPr="00905499" w:rsidRDefault="002D09E3"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-.136[-.286, .013]</w:t>
            </w:r>
          </w:p>
        </w:tc>
        <w:tc>
          <w:tcPr>
            <w:tcW w:w="1502" w:type="dxa"/>
            <w:vAlign w:val="center"/>
          </w:tcPr>
          <w:p w14:paraId="47C175B2" w14:textId="77777777" w:rsidR="00763412" w:rsidRPr="00905499" w:rsidRDefault="00763412" w:rsidP="00A04974">
            <w:pPr>
              <w:ind w:left="142" w:hanging="142"/>
              <w:rPr>
                <w:rFonts w:ascii="Times New Roman" w:hAnsi="Times New Roman" w:cs="Times New Roman"/>
                <w:sz w:val="15"/>
                <w:szCs w:val="15"/>
                <w:lang w:val="en-US"/>
              </w:rPr>
            </w:pPr>
          </w:p>
        </w:tc>
        <w:tc>
          <w:tcPr>
            <w:tcW w:w="1497" w:type="dxa"/>
            <w:vAlign w:val="center"/>
          </w:tcPr>
          <w:p w14:paraId="63CD15E3" w14:textId="1BF43ABC" w:rsidR="00763412" w:rsidRPr="00905499" w:rsidRDefault="00456E23"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.001[-.005, .008]</w:t>
            </w:r>
          </w:p>
        </w:tc>
        <w:tc>
          <w:tcPr>
            <w:tcW w:w="1507" w:type="dxa"/>
            <w:vAlign w:val="center"/>
          </w:tcPr>
          <w:p w14:paraId="4DCD98B4" w14:textId="77777777" w:rsidR="00763412" w:rsidRPr="00905499" w:rsidRDefault="00763412" w:rsidP="00A04974">
            <w:pPr>
              <w:ind w:left="142" w:hanging="142"/>
              <w:rPr>
                <w:rFonts w:ascii="Times New Roman" w:hAnsi="Times New Roman" w:cs="Times New Roman"/>
                <w:sz w:val="15"/>
                <w:szCs w:val="15"/>
                <w:lang w:val="en-US"/>
              </w:rPr>
            </w:pPr>
          </w:p>
        </w:tc>
        <w:tc>
          <w:tcPr>
            <w:tcW w:w="1502" w:type="dxa"/>
            <w:gridSpan w:val="2"/>
            <w:vAlign w:val="center"/>
          </w:tcPr>
          <w:p w14:paraId="6368192A" w14:textId="178A90F7" w:rsidR="00763412" w:rsidRPr="00905499" w:rsidRDefault="00511949"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-.013[-.040, .015]</w:t>
            </w:r>
          </w:p>
        </w:tc>
      </w:tr>
      <w:tr w:rsidR="00763412" w:rsidRPr="00905499" w14:paraId="4E5BCB76" w14:textId="77777777" w:rsidTr="00BD6210">
        <w:trPr>
          <w:trHeight w:val="244"/>
        </w:trPr>
        <w:tc>
          <w:tcPr>
            <w:tcW w:w="1242" w:type="dxa"/>
          </w:tcPr>
          <w:p w14:paraId="59FDDCDC" w14:textId="77777777" w:rsidR="00763412" w:rsidRPr="00905499" w:rsidRDefault="00763412" w:rsidP="00494949">
            <w:pPr>
              <w:ind w:left="142" w:hanging="142"/>
              <w:rPr>
                <w:rFonts w:ascii="Times New Roman" w:hAnsi="Times New Roman" w:cs="Times New Roman"/>
                <w:sz w:val="15"/>
                <w:szCs w:val="15"/>
                <w:lang w:val="en-US"/>
              </w:rPr>
            </w:pPr>
            <w:r w:rsidRPr="00905499">
              <w:rPr>
                <w:sz w:val="15"/>
                <w:szCs w:val="15"/>
                <w:lang w:val="en-US"/>
              </w:rPr>
              <w:t>Distance</w:t>
            </w:r>
            <w:r w:rsidRPr="00905499">
              <w:rPr>
                <w:sz w:val="15"/>
                <w:szCs w:val="15"/>
                <w:vertAlign w:val="superscript"/>
                <w:lang w:val="en-US"/>
              </w:rPr>
              <w:t xml:space="preserve"> 2</w:t>
            </w:r>
            <w:r w:rsidRPr="00905499">
              <w:rPr>
                <w:sz w:val="15"/>
                <w:szCs w:val="15"/>
                <w:lang w:val="en-US"/>
              </w:rPr>
              <w:t>*ESCS</w:t>
            </w:r>
          </w:p>
        </w:tc>
        <w:tc>
          <w:tcPr>
            <w:tcW w:w="1560" w:type="dxa"/>
            <w:vAlign w:val="center"/>
          </w:tcPr>
          <w:p w14:paraId="7B0ED177" w14:textId="77777777" w:rsidR="00763412" w:rsidRPr="00905499" w:rsidRDefault="00763412" w:rsidP="00A04974">
            <w:pPr>
              <w:ind w:left="142" w:hanging="142"/>
              <w:rPr>
                <w:rFonts w:ascii="Times New Roman" w:hAnsi="Times New Roman" w:cs="Times New Roman"/>
                <w:sz w:val="15"/>
                <w:szCs w:val="15"/>
                <w:lang w:val="en-US"/>
              </w:rPr>
            </w:pPr>
          </w:p>
        </w:tc>
        <w:tc>
          <w:tcPr>
            <w:tcW w:w="1559" w:type="dxa"/>
            <w:vAlign w:val="center"/>
          </w:tcPr>
          <w:p w14:paraId="0286B181" w14:textId="77777777" w:rsidR="00763412" w:rsidRPr="00905499" w:rsidRDefault="00763412" w:rsidP="00A04974">
            <w:pPr>
              <w:ind w:left="142" w:hanging="142"/>
              <w:rPr>
                <w:rFonts w:ascii="Times New Roman" w:hAnsi="Times New Roman" w:cs="Times New Roman"/>
                <w:sz w:val="15"/>
                <w:szCs w:val="15"/>
                <w:lang w:val="en-US"/>
              </w:rPr>
            </w:pPr>
          </w:p>
        </w:tc>
        <w:tc>
          <w:tcPr>
            <w:tcW w:w="1502" w:type="dxa"/>
            <w:vAlign w:val="center"/>
          </w:tcPr>
          <w:p w14:paraId="04544B4D" w14:textId="77777777" w:rsidR="00763412" w:rsidRPr="00905499" w:rsidRDefault="00763412" w:rsidP="00A04974">
            <w:pPr>
              <w:ind w:left="142" w:hanging="142"/>
              <w:rPr>
                <w:rFonts w:ascii="Times New Roman" w:hAnsi="Times New Roman" w:cs="Times New Roman"/>
                <w:sz w:val="15"/>
                <w:szCs w:val="15"/>
                <w:lang w:val="en-US"/>
              </w:rPr>
            </w:pPr>
          </w:p>
        </w:tc>
        <w:tc>
          <w:tcPr>
            <w:tcW w:w="1497" w:type="dxa"/>
            <w:vAlign w:val="center"/>
          </w:tcPr>
          <w:p w14:paraId="30D98D9C" w14:textId="77777777" w:rsidR="00763412" w:rsidRPr="00905499" w:rsidRDefault="00763412" w:rsidP="00A04974">
            <w:pPr>
              <w:ind w:left="142" w:hanging="142"/>
              <w:rPr>
                <w:rFonts w:ascii="Times New Roman" w:hAnsi="Times New Roman" w:cs="Times New Roman"/>
                <w:sz w:val="15"/>
                <w:szCs w:val="15"/>
                <w:lang w:val="en-US"/>
              </w:rPr>
            </w:pPr>
          </w:p>
        </w:tc>
        <w:tc>
          <w:tcPr>
            <w:tcW w:w="1507" w:type="dxa"/>
            <w:vAlign w:val="center"/>
          </w:tcPr>
          <w:p w14:paraId="251A72D4" w14:textId="77777777" w:rsidR="00763412" w:rsidRPr="00905499" w:rsidRDefault="00763412" w:rsidP="00A04974">
            <w:pPr>
              <w:ind w:left="142" w:hanging="142"/>
              <w:rPr>
                <w:rFonts w:ascii="Times New Roman" w:hAnsi="Times New Roman" w:cs="Times New Roman"/>
                <w:sz w:val="15"/>
                <w:szCs w:val="15"/>
                <w:lang w:val="en-US"/>
              </w:rPr>
            </w:pPr>
          </w:p>
        </w:tc>
        <w:tc>
          <w:tcPr>
            <w:tcW w:w="1502" w:type="dxa"/>
            <w:gridSpan w:val="2"/>
            <w:vAlign w:val="center"/>
          </w:tcPr>
          <w:p w14:paraId="02B3FF75" w14:textId="39E81AB0" w:rsidR="00763412" w:rsidRPr="00905499" w:rsidRDefault="00511949"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.000[.000, .001]</w:t>
            </w:r>
          </w:p>
        </w:tc>
      </w:tr>
      <w:tr w:rsidR="00763412" w:rsidRPr="00905499" w14:paraId="3609014A" w14:textId="77777777" w:rsidTr="00BD6210">
        <w:trPr>
          <w:trHeight w:val="244"/>
        </w:trPr>
        <w:tc>
          <w:tcPr>
            <w:tcW w:w="1242" w:type="dxa"/>
          </w:tcPr>
          <w:p w14:paraId="3299468C" w14:textId="17739C61" w:rsidR="00763412" w:rsidRPr="00905499" w:rsidRDefault="00763412" w:rsidP="00494949">
            <w:pPr>
              <w:ind w:left="142" w:hanging="142"/>
              <w:rPr>
                <w:sz w:val="15"/>
                <w:szCs w:val="15"/>
                <w:lang w:val="en-US"/>
              </w:rPr>
            </w:pPr>
            <w:r w:rsidRPr="00905499">
              <w:rPr>
                <w:sz w:val="15"/>
                <w:szCs w:val="15"/>
                <w:lang w:val="en-US"/>
              </w:rPr>
              <w:t>Distance *Indigenous</w:t>
            </w:r>
          </w:p>
        </w:tc>
        <w:tc>
          <w:tcPr>
            <w:tcW w:w="1560" w:type="dxa"/>
            <w:vAlign w:val="center"/>
          </w:tcPr>
          <w:p w14:paraId="3D344565" w14:textId="77777777" w:rsidR="00763412" w:rsidRPr="00905499" w:rsidRDefault="00763412" w:rsidP="00A04974">
            <w:pPr>
              <w:ind w:left="142" w:hanging="142"/>
              <w:rPr>
                <w:rFonts w:ascii="Times New Roman" w:hAnsi="Times New Roman" w:cs="Times New Roman"/>
                <w:sz w:val="15"/>
                <w:szCs w:val="15"/>
                <w:lang w:val="en-US"/>
              </w:rPr>
            </w:pPr>
          </w:p>
        </w:tc>
        <w:tc>
          <w:tcPr>
            <w:tcW w:w="1559" w:type="dxa"/>
            <w:vAlign w:val="center"/>
          </w:tcPr>
          <w:p w14:paraId="19571A0C" w14:textId="5EE63760" w:rsidR="00763412" w:rsidRPr="00905499" w:rsidRDefault="002D09E3"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.013[-.843, .870]</w:t>
            </w:r>
          </w:p>
        </w:tc>
        <w:tc>
          <w:tcPr>
            <w:tcW w:w="1502" w:type="dxa"/>
            <w:vAlign w:val="center"/>
          </w:tcPr>
          <w:p w14:paraId="3D8EF67B" w14:textId="77777777" w:rsidR="00763412" w:rsidRPr="00905499" w:rsidRDefault="00763412" w:rsidP="00A04974">
            <w:pPr>
              <w:ind w:left="142" w:hanging="142"/>
              <w:rPr>
                <w:rFonts w:ascii="Times New Roman" w:hAnsi="Times New Roman" w:cs="Times New Roman"/>
                <w:sz w:val="15"/>
                <w:szCs w:val="15"/>
                <w:lang w:val="en-US"/>
              </w:rPr>
            </w:pPr>
          </w:p>
        </w:tc>
        <w:tc>
          <w:tcPr>
            <w:tcW w:w="1497" w:type="dxa"/>
            <w:vAlign w:val="center"/>
          </w:tcPr>
          <w:p w14:paraId="3092A866" w14:textId="037E0D50" w:rsidR="00763412" w:rsidRPr="00905499" w:rsidRDefault="00456E23"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.025[-.019, .068]</w:t>
            </w:r>
          </w:p>
        </w:tc>
        <w:tc>
          <w:tcPr>
            <w:tcW w:w="1507" w:type="dxa"/>
            <w:vAlign w:val="center"/>
          </w:tcPr>
          <w:p w14:paraId="0553111F" w14:textId="77777777" w:rsidR="00763412" w:rsidRPr="00905499" w:rsidRDefault="00763412" w:rsidP="00A04974">
            <w:pPr>
              <w:ind w:left="142" w:hanging="142"/>
              <w:rPr>
                <w:rFonts w:ascii="Times New Roman" w:hAnsi="Times New Roman" w:cs="Times New Roman"/>
                <w:sz w:val="15"/>
                <w:szCs w:val="15"/>
                <w:lang w:val="en-US"/>
              </w:rPr>
            </w:pPr>
          </w:p>
        </w:tc>
        <w:tc>
          <w:tcPr>
            <w:tcW w:w="1502" w:type="dxa"/>
            <w:gridSpan w:val="2"/>
            <w:vAlign w:val="center"/>
          </w:tcPr>
          <w:p w14:paraId="5EC4915A" w14:textId="1854AC4E" w:rsidR="00763412" w:rsidRPr="00905499" w:rsidRDefault="00511949"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.019[-.142, .180]</w:t>
            </w:r>
          </w:p>
        </w:tc>
      </w:tr>
      <w:tr w:rsidR="00763412" w:rsidRPr="00905499" w14:paraId="7B6FA7A5" w14:textId="77777777" w:rsidTr="00BD6210">
        <w:trPr>
          <w:trHeight w:val="244"/>
        </w:trPr>
        <w:tc>
          <w:tcPr>
            <w:tcW w:w="1242" w:type="dxa"/>
          </w:tcPr>
          <w:p w14:paraId="12833453" w14:textId="2AC63989" w:rsidR="00763412" w:rsidRPr="00905499" w:rsidRDefault="00763412" w:rsidP="00494949">
            <w:pPr>
              <w:ind w:left="142" w:hanging="142"/>
              <w:rPr>
                <w:sz w:val="15"/>
                <w:szCs w:val="15"/>
                <w:lang w:val="en-US"/>
              </w:rPr>
            </w:pPr>
            <w:r w:rsidRPr="00905499">
              <w:rPr>
                <w:sz w:val="15"/>
                <w:szCs w:val="15"/>
                <w:lang w:val="en-US"/>
              </w:rPr>
              <w:t>Distance</w:t>
            </w:r>
            <w:r w:rsidRPr="00905499">
              <w:rPr>
                <w:sz w:val="15"/>
                <w:szCs w:val="15"/>
                <w:vertAlign w:val="superscript"/>
                <w:lang w:val="en-US"/>
              </w:rPr>
              <w:t xml:space="preserve"> 2</w:t>
            </w:r>
            <w:r w:rsidRPr="00905499">
              <w:rPr>
                <w:sz w:val="15"/>
                <w:szCs w:val="15"/>
                <w:lang w:val="en-US"/>
              </w:rPr>
              <w:t>*Indigenous</w:t>
            </w:r>
          </w:p>
        </w:tc>
        <w:tc>
          <w:tcPr>
            <w:tcW w:w="1560" w:type="dxa"/>
            <w:vAlign w:val="center"/>
          </w:tcPr>
          <w:p w14:paraId="4E7B0FB8" w14:textId="77777777" w:rsidR="00763412" w:rsidRPr="00905499" w:rsidRDefault="00763412" w:rsidP="00A04974">
            <w:pPr>
              <w:ind w:left="142" w:hanging="142"/>
              <w:rPr>
                <w:rFonts w:ascii="Times New Roman" w:hAnsi="Times New Roman" w:cs="Times New Roman"/>
                <w:sz w:val="15"/>
                <w:szCs w:val="15"/>
                <w:lang w:val="en-US"/>
              </w:rPr>
            </w:pPr>
          </w:p>
        </w:tc>
        <w:tc>
          <w:tcPr>
            <w:tcW w:w="1559" w:type="dxa"/>
            <w:vAlign w:val="center"/>
          </w:tcPr>
          <w:p w14:paraId="6216EF31" w14:textId="59564D74" w:rsidR="00763412" w:rsidRPr="00905499" w:rsidRDefault="00763412" w:rsidP="00A04974">
            <w:pPr>
              <w:ind w:left="142" w:hanging="142"/>
              <w:rPr>
                <w:rFonts w:ascii="Times New Roman" w:hAnsi="Times New Roman" w:cs="Times New Roman"/>
                <w:sz w:val="15"/>
                <w:szCs w:val="15"/>
                <w:lang w:val="en-US"/>
              </w:rPr>
            </w:pPr>
          </w:p>
        </w:tc>
        <w:tc>
          <w:tcPr>
            <w:tcW w:w="1502" w:type="dxa"/>
            <w:vAlign w:val="center"/>
          </w:tcPr>
          <w:p w14:paraId="24E3137A" w14:textId="77777777" w:rsidR="00763412" w:rsidRPr="00905499" w:rsidRDefault="00763412" w:rsidP="00A04974">
            <w:pPr>
              <w:ind w:left="142" w:hanging="142"/>
              <w:rPr>
                <w:rFonts w:ascii="Times New Roman" w:hAnsi="Times New Roman" w:cs="Times New Roman"/>
                <w:sz w:val="15"/>
                <w:szCs w:val="15"/>
                <w:lang w:val="en-US"/>
              </w:rPr>
            </w:pPr>
          </w:p>
        </w:tc>
        <w:tc>
          <w:tcPr>
            <w:tcW w:w="1497" w:type="dxa"/>
            <w:vAlign w:val="center"/>
          </w:tcPr>
          <w:p w14:paraId="366EFFA5" w14:textId="77777777" w:rsidR="00763412" w:rsidRPr="00905499" w:rsidRDefault="00763412" w:rsidP="00A04974">
            <w:pPr>
              <w:ind w:left="142" w:hanging="142"/>
              <w:rPr>
                <w:rFonts w:ascii="Times New Roman" w:hAnsi="Times New Roman" w:cs="Times New Roman"/>
                <w:sz w:val="15"/>
                <w:szCs w:val="15"/>
                <w:lang w:val="en-US"/>
              </w:rPr>
            </w:pPr>
          </w:p>
        </w:tc>
        <w:tc>
          <w:tcPr>
            <w:tcW w:w="1507" w:type="dxa"/>
            <w:vAlign w:val="center"/>
          </w:tcPr>
          <w:p w14:paraId="5B522BFD" w14:textId="77777777" w:rsidR="00763412" w:rsidRPr="00905499" w:rsidRDefault="00763412" w:rsidP="00A04974">
            <w:pPr>
              <w:ind w:left="142" w:hanging="142"/>
              <w:rPr>
                <w:rFonts w:ascii="Times New Roman" w:hAnsi="Times New Roman" w:cs="Times New Roman"/>
                <w:sz w:val="15"/>
                <w:szCs w:val="15"/>
                <w:lang w:val="en-US"/>
              </w:rPr>
            </w:pPr>
          </w:p>
        </w:tc>
        <w:tc>
          <w:tcPr>
            <w:tcW w:w="1502" w:type="dxa"/>
            <w:gridSpan w:val="2"/>
            <w:vAlign w:val="center"/>
          </w:tcPr>
          <w:p w14:paraId="7A6E7AF3" w14:textId="0362E210" w:rsidR="00763412" w:rsidRPr="00905499" w:rsidRDefault="00511949"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.000[-.004, .004]</w:t>
            </w:r>
          </w:p>
        </w:tc>
      </w:tr>
      <w:tr w:rsidR="00763412" w:rsidRPr="00905499" w14:paraId="01673366" w14:textId="77777777" w:rsidTr="00BD6210">
        <w:trPr>
          <w:gridAfter w:val="1"/>
          <w:wAfter w:w="22" w:type="dxa"/>
          <w:trHeight w:val="244"/>
        </w:trPr>
        <w:tc>
          <w:tcPr>
            <w:tcW w:w="1242" w:type="dxa"/>
          </w:tcPr>
          <w:p w14:paraId="057F7063" w14:textId="77777777" w:rsidR="00763412" w:rsidRPr="00905499" w:rsidRDefault="00763412" w:rsidP="00494949">
            <w:pPr>
              <w:ind w:left="142" w:hanging="142"/>
              <w:rPr>
                <w:sz w:val="15"/>
                <w:szCs w:val="15"/>
                <w:lang w:val="en-US"/>
              </w:rPr>
            </w:pPr>
          </w:p>
        </w:tc>
        <w:tc>
          <w:tcPr>
            <w:tcW w:w="9105" w:type="dxa"/>
            <w:gridSpan w:val="6"/>
            <w:tcBorders>
              <w:bottom w:val="single" w:sz="4" w:space="0" w:color="auto"/>
            </w:tcBorders>
            <w:vAlign w:val="center"/>
          </w:tcPr>
          <w:p w14:paraId="05073ACB" w14:textId="77777777" w:rsidR="00763412" w:rsidRPr="00905499" w:rsidRDefault="00763412" w:rsidP="00494949">
            <w:pPr>
              <w:ind w:left="142" w:hanging="142"/>
              <w:jc w:val="center"/>
              <w:rPr>
                <w:rFonts w:ascii="Times New Roman" w:hAnsi="Times New Roman" w:cs="Times New Roman"/>
                <w:sz w:val="15"/>
                <w:szCs w:val="15"/>
                <w:lang w:val="en-US"/>
              </w:rPr>
            </w:pPr>
            <w:r w:rsidRPr="00905499">
              <w:rPr>
                <w:rFonts w:ascii="Times New Roman" w:hAnsi="Times New Roman" w:cs="Times New Roman"/>
                <w:sz w:val="15"/>
                <w:szCs w:val="15"/>
                <w:lang w:val="en-US"/>
              </w:rPr>
              <w:t>Covariates</w:t>
            </w:r>
          </w:p>
        </w:tc>
      </w:tr>
      <w:tr w:rsidR="00494949" w:rsidRPr="00905499" w14:paraId="3BF4F05F" w14:textId="77777777" w:rsidTr="00BD6210">
        <w:trPr>
          <w:trHeight w:val="244"/>
        </w:trPr>
        <w:tc>
          <w:tcPr>
            <w:tcW w:w="1242" w:type="dxa"/>
          </w:tcPr>
          <w:p w14:paraId="6F2B85A0" w14:textId="77777777" w:rsidR="00494949" w:rsidRPr="00905499" w:rsidRDefault="00494949" w:rsidP="00494949">
            <w:pPr>
              <w:ind w:left="142" w:hanging="142"/>
              <w:rPr>
                <w:sz w:val="15"/>
                <w:szCs w:val="15"/>
                <w:lang w:val="en-US"/>
              </w:rPr>
            </w:pPr>
            <w:r w:rsidRPr="00905499">
              <w:rPr>
                <w:rFonts w:ascii="Times New Roman" w:hAnsi="Times New Roman" w:cs="Times New Roman"/>
                <w:sz w:val="15"/>
                <w:szCs w:val="15"/>
                <w:lang w:val="en-US"/>
              </w:rPr>
              <w:t>IEO</w:t>
            </w:r>
          </w:p>
        </w:tc>
        <w:tc>
          <w:tcPr>
            <w:tcW w:w="1560" w:type="dxa"/>
            <w:tcBorders>
              <w:top w:val="single" w:sz="4" w:space="0" w:color="auto"/>
            </w:tcBorders>
            <w:vAlign w:val="center"/>
          </w:tcPr>
          <w:p w14:paraId="73B24675" w14:textId="1E80C799" w:rsidR="00494949" w:rsidRPr="00905499" w:rsidRDefault="00494949"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.066[-.047, .178]</w:t>
            </w:r>
          </w:p>
        </w:tc>
        <w:tc>
          <w:tcPr>
            <w:tcW w:w="1559" w:type="dxa"/>
            <w:tcBorders>
              <w:top w:val="single" w:sz="4" w:space="0" w:color="auto"/>
            </w:tcBorders>
            <w:vAlign w:val="center"/>
          </w:tcPr>
          <w:p w14:paraId="1945DB23" w14:textId="4AFEF2A2" w:rsidR="00494949" w:rsidRPr="00905499" w:rsidRDefault="00A04974"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.076</w:t>
            </w:r>
            <w:r w:rsidR="00494949" w:rsidRPr="00905499">
              <w:rPr>
                <w:rFonts w:ascii="Times New Roman" w:hAnsi="Times New Roman" w:cs="Times New Roman"/>
                <w:sz w:val="15"/>
                <w:szCs w:val="15"/>
                <w:lang w:val="en-US"/>
              </w:rPr>
              <w:t>[-.0</w:t>
            </w:r>
            <w:r w:rsidRPr="00905499">
              <w:rPr>
                <w:rFonts w:ascii="Times New Roman" w:hAnsi="Times New Roman" w:cs="Times New Roman"/>
                <w:sz w:val="15"/>
                <w:szCs w:val="15"/>
                <w:lang w:val="en-US"/>
              </w:rPr>
              <w:t>36</w:t>
            </w:r>
            <w:r w:rsidR="00494949" w:rsidRPr="00905499">
              <w:rPr>
                <w:rFonts w:ascii="Times New Roman" w:hAnsi="Times New Roman" w:cs="Times New Roman"/>
                <w:sz w:val="15"/>
                <w:szCs w:val="15"/>
                <w:lang w:val="en-US"/>
              </w:rPr>
              <w:t>, .1</w:t>
            </w:r>
            <w:r w:rsidRPr="00905499">
              <w:rPr>
                <w:rFonts w:ascii="Times New Roman" w:hAnsi="Times New Roman" w:cs="Times New Roman"/>
                <w:sz w:val="15"/>
                <w:szCs w:val="15"/>
                <w:lang w:val="en-US"/>
              </w:rPr>
              <w:t>8</w:t>
            </w:r>
            <w:r w:rsidR="00494949" w:rsidRPr="00905499">
              <w:rPr>
                <w:rFonts w:ascii="Times New Roman" w:hAnsi="Times New Roman" w:cs="Times New Roman"/>
                <w:sz w:val="15"/>
                <w:szCs w:val="15"/>
                <w:lang w:val="en-US"/>
              </w:rPr>
              <w:t>8]</w:t>
            </w:r>
          </w:p>
        </w:tc>
        <w:tc>
          <w:tcPr>
            <w:tcW w:w="1502" w:type="dxa"/>
            <w:tcBorders>
              <w:top w:val="single" w:sz="4" w:space="0" w:color="auto"/>
            </w:tcBorders>
            <w:vAlign w:val="center"/>
          </w:tcPr>
          <w:p w14:paraId="27F47F18" w14:textId="283BA76A" w:rsidR="00494949" w:rsidRPr="00905499" w:rsidRDefault="00114207"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.022[-.114, .159]</w:t>
            </w:r>
          </w:p>
        </w:tc>
        <w:tc>
          <w:tcPr>
            <w:tcW w:w="1497" w:type="dxa"/>
            <w:tcBorders>
              <w:top w:val="single" w:sz="4" w:space="0" w:color="auto"/>
            </w:tcBorders>
            <w:vAlign w:val="center"/>
          </w:tcPr>
          <w:p w14:paraId="69BC8A17" w14:textId="32791F38" w:rsidR="00494949" w:rsidRPr="00905499" w:rsidRDefault="00456E23"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.019[-.117, .155]</w:t>
            </w:r>
          </w:p>
        </w:tc>
        <w:tc>
          <w:tcPr>
            <w:tcW w:w="1507" w:type="dxa"/>
            <w:tcBorders>
              <w:top w:val="single" w:sz="4" w:space="0" w:color="auto"/>
            </w:tcBorders>
            <w:vAlign w:val="center"/>
          </w:tcPr>
          <w:p w14:paraId="010A9469" w14:textId="407DBAEE" w:rsidR="00494949" w:rsidRPr="00905499" w:rsidRDefault="00456E23"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.018[-.136, .171]</w:t>
            </w:r>
          </w:p>
        </w:tc>
        <w:tc>
          <w:tcPr>
            <w:tcW w:w="1502" w:type="dxa"/>
            <w:gridSpan w:val="2"/>
            <w:tcBorders>
              <w:top w:val="single" w:sz="4" w:space="0" w:color="auto"/>
            </w:tcBorders>
            <w:vAlign w:val="center"/>
          </w:tcPr>
          <w:p w14:paraId="0DEC43E2" w14:textId="03873C5C" w:rsidR="00494949" w:rsidRPr="00905499" w:rsidRDefault="00511949"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.019[-.132, .170]</w:t>
            </w:r>
          </w:p>
        </w:tc>
      </w:tr>
      <w:tr w:rsidR="00114207" w:rsidRPr="00905499" w14:paraId="02C83BAC" w14:textId="77777777" w:rsidTr="00BD6210">
        <w:trPr>
          <w:trHeight w:val="244"/>
        </w:trPr>
        <w:tc>
          <w:tcPr>
            <w:tcW w:w="1242" w:type="dxa"/>
          </w:tcPr>
          <w:p w14:paraId="3EB6457D" w14:textId="77777777" w:rsidR="00114207" w:rsidRPr="00905499" w:rsidRDefault="00114207" w:rsidP="00114207">
            <w:pPr>
              <w:ind w:left="142" w:hanging="142"/>
              <w:rPr>
                <w:sz w:val="15"/>
                <w:szCs w:val="15"/>
                <w:lang w:val="en-US"/>
              </w:rPr>
            </w:pPr>
            <w:r w:rsidRPr="00905499">
              <w:rPr>
                <w:rFonts w:ascii="Times New Roman" w:hAnsi="Times New Roman" w:cs="Times New Roman"/>
                <w:sz w:val="15"/>
                <w:szCs w:val="15"/>
                <w:lang w:val="en-US"/>
              </w:rPr>
              <w:t>Math Achievement</w:t>
            </w:r>
          </w:p>
        </w:tc>
        <w:tc>
          <w:tcPr>
            <w:tcW w:w="1560" w:type="dxa"/>
            <w:vAlign w:val="center"/>
          </w:tcPr>
          <w:p w14:paraId="7194ADD0" w14:textId="4D75EB28" w:rsidR="00114207" w:rsidRPr="00905499" w:rsidRDefault="00114207" w:rsidP="0011420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.001[-.001, .003]</w:t>
            </w:r>
          </w:p>
        </w:tc>
        <w:tc>
          <w:tcPr>
            <w:tcW w:w="1559" w:type="dxa"/>
            <w:vAlign w:val="center"/>
          </w:tcPr>
          <w:p w14:paraId="6FDD09DB" w14:textId="6E15268E" w:rsidR="00114207" w:rsidRPr="00905499" w:rsidRDefault="00114207" w:rsidP="0011420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.001[-.001, .003]</w:t>
            </w:r>
          </w:p>
        </w:tc>
        <w:tc>
          <w:tcPr>
            <w:tcW w:w="1502" w:type="dxa"/>
            <w:vAlign w:val="center"/>
          </w:tcPr>
          <w:p w14:paraId="0DD01C29" w14:textId="213227AA" w:rsidR="00114207" w:rsidRPr="00905499" w:rsidRDefault="00114207" w:rsidP="0011420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.001[-.001, .003]</w:t>
            </w:r>
          </w:p>
        </w:tc>
        <w:tc>
          <w:tcPr>
            <w:tcW w:w="1497" w:type="dxa"/>
            <w:vAlign w:val="center"/>
          </w:tcPr>
          <w:p w14:paraId="03D4FF47" w14:textId="5E9F11FD" w:rsidR="00114207" w:rsidRPr="00905499" w:rsidRDefault="00114207" w:rsidP="0011420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.001[-.001, .003]</w:t>
            </w:r>
          </w:p>
        </w:tc>
        <w:tc>
          <w:tcPr>
            <w:tcW w:w="1507" w:type="dxa"/>
            <w:vAlign w:val="center"/>
          </w:tcPr>
          <w:p w14:paraId="1D520AFB" w14:textId="776B2893" w:rsidR="00114207" w:rsidRPr="00905499" w:rsidRDefault="00114207" w:rsidP="0011420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.001[-.001, .003]</w:t>
            </w:r>
          </w:p>
        </w:tc>
        <w:tc>
          <w:tcPr>
            <w:tcW w:w="1502" w:type="dxa"/>
            <w:gridSpan w:val="2"/>
            <w:vAlign w:val="center"/>
          </w:tcPr>
          <w:p w14:paraId="6F7BFDE5" w14:textId="29BB7BEF" w:rsidR="00114207" w:rsidRPr="00905499" w:rsidRDefault="00114207" w:rsidP="0011420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.001[-.001, .003]</w:t>
            </w:r>
          </w:p>
        </w:tc>
      </w:tr>
      <w:tr w:rsidR="00114207" w:rsidRPr="00905499" w14:paraId="182734C9" w14:textId="77777777" w:rsidTr="00BD6210">
        <w:trPr>
          <w:trHeight w:val="244"/>
        </w:trPr>
        <w:tc>
          <w:tcPr>
            <w:tcW w:w="1242" w:type="dxa"/>
          </w:tcPr>
          <w:p w14:paraId="56A5E42A" w14:textId="77777777" w:rsidR="00114207" w:rsidRPr="00905499" w:rsidRDefault="00114207" w:rsidP="00114207">
            <w:pPr>
              <w:ind w:left="142" w:hanging="142"/>
              <w:rPr>
                <w:sz w:val="15"/>
                <w:szCs w:val="15"/>
                <w:lang w:val="en-US"/>
              </w:rPr>
            </w:pPr>
            <w:r w:rsidRPr="00905499">
              <w:rPr>
                <w:rFonts w:ascii="Times New Roman" w:hAnsi="Times New Roman" w:cs="Times New Roman"/>
                <w:sz w:val="15"/>
                <w:szCs w:val="15"/>
                <w:lang w:val="en-US"/>
              </w:rPr>
              <w:t>Reading Achievement</w:t>
            </w:r>
          </w:p>
        </w:tc>
        <w:tc>
          <w:tcPr>
            <w:tcW w:w="1560" w:type="dxa"/>
            <w:vAlign w:val="center"/>
          </w:tcPr>
          <w:p w14:paraId="352EFF52" w14:textId="3FCB4EAC" w:rsidR="00114207" w:rsidRPr="00905499" w:rsidRDefault="00114207" w:rsidP="0011420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.002[.000, .005]</w:t>
            </w:r>
          </w:p>
        </w:tc>
        <w:tc>
          <w:tcPr>
            <w:tcW w:w="1559" w:type="dxa"/>
            <w:vAlign w:val="center"/>
          </w:tcPr>
          <w:p w14:paraId="6705B205" w14:textId="3C7501EF" w:rsidR="00114207" w:rsidRPr="00905499" w:rsidRDefault="00114207" w:rsidP="0011420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.002[.000, .005]</w:t>
            </w:r>
          </w:p>
        </w:tc>
        <w:tc>
          <w:tcPr>
            <w:tcW w:w="1502" w:type="dxa"/>
            <w:vAlign w:val="center"/>
          </w:tcPr>
          <w:p w14:paraId="608B63B9" w14:textId="1C2861D4" w:rsidR="00114207" w:rsidRPr="00905499" w:rsidRDefault="00114207" w:rsidP="0011420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.002[.000, .005]</w:t>
            </w:r>
          </w:p>
        </w:tc>
        <w:tc>
          <w:tcPr>
            <w:tcW w:w="1497" w:type="dxa"/>
            <w:vAlign w:val="center"/>
          </w:tcPr>
          <w:p w14:paraId="5E7D9E5A" w14:textId="1781EEBB" w:rsidR="00114207" w:rsidRPr="00905499" w:rsidRDefault="00114207" w:rsidP="0011420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.002[.000, .005]</w:t>
            </w:r>
          </w:p>
        </w:tc>
        <w:tc>
          <w:tcPr>
            <w:tcW w:w="1507" w:type="dxa"/>
            <w:vAlign w:val="center"/>
          </w:tcPr>
          <w:p w14:paraId="1430BCFD" w14:textId="65007A06" w:rsidR="00114207" w:rsidRPr="00905499" w:rsidRDefault="00114207" w:rsidP="0011420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.002[.000, .005]</w:t>
            </w:r>
          </w:p>
        </w:tc>
        <w:tc>
          <w:tcPr>
            <w:tcW w:w="1502" w:type="dxa"/>
            <w:gridSpan w:val="2"/>
            <w:vAlign w:val="center"/>
          </w:tcPr>
          <w:p w14:paraId="2CCEE4AB" w14:textId="188E5120" w:rsidR="00114207" w:rsidRPr="00905499" w:rsidRDefault="00114207" w:rsidP="0011420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.002[.000, .005]</w:t>
            </w:r>
          </w:p>
        </w:tc>
      </w:tr>
      <w:tr w:rsidR="00114207" w:rsidRPr="00905499" w14:paraId="366F1058" w14:textId="77777777" w:rsidTr="00BD6210">
        <w:trPr>
          <w:trHeight w:val="244"/>
        </w:trPr>
        <w:tc>
          <w:tcPr>
            <w:tcW w:w="1242" w:type="dxa"/>
          </w:tcPr>
          <w:p w14:paraId="3320D37E" w14:textId="77777777" w:rsidR="00114207" w:rsidRPr="00905499" w:rsidRDefault="00114207" w:rsidP="00114207">
            <w:pPr>
              <w:ind w:left="142" w:hanging="142"/>
              <w:rPr>
                <w:sz w:val="15"/>
                <w:szCs w:val="15"/>
                <w:lang w:val="en-US"/>
              </w:rPr>
            </w:pPr>
            <w:r w:rsidRPr="00905499">
              <w:rPr>
                <w:rFonts w:ascii="Times New Roman" w:hAnsi="Times New Roman" w:cs="Times New Roman"/>
                <w:sz w:val="15"/>
                <w:szCs w:val="15"/>
                <w:lang w:val="en-US"/>
              </w:rPr>
              <w:t>Science Achievement</w:t>
            </w:r>
          </w:p>
        </w:tc>
        <w:tc>
          <w:tcPr>
            <w:tcW w:w="1560" w:type="dxa"/>
            <w:vAlign w:val="center"/>
          </w:tcPr>
          <w:p w14:paraId="0D5E65C3" w14:textId="759600F6" w:rsidR="00114207" w:rsidRPr="00905499" w:rsidRDefault="00114207" w:rsidP="0011420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.002[-.001, .004]</w:t>
            </w:r>
          </w:p>
        </w:tc>
        <w:tc>
          <w:tcPr>
            <w:tcW w:w="1559" w:type="dxa"/>
            <w:vAlign w:val="center"/>
          </w:tcPr>
          <w:p w14:paraId="7972AD46" w14:textId="6FD7FA79" w:rsidR="00114207" w:rsidRPr="00905499" w:rsidRDefault="00114207" w:rsidP="0011420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.002[-.001, .004]</w:t>
            </w:r>
          </w:p>
        </w:tc>
        <w:tc>
          <w:tcPr>
            <w:tcW w:w="1502" w:type="dxa"/>
            <w:vAlign w:val="center"/>
          </w:tcPr>
          <w:p w14:paraId="3F6E428D" w14:textId="543DB6EA" w:rsidR="00114207" w:rsidRPr="00905499" w:rsidRDefault="00114207" w:rsidP="0011420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.002[-.001, .004]</w:t>
            </w:r>
          </w:p>
        </w:tc>
        <w:tc>
          <w:tcPr>
            <w:tcW w:w="1497" w:type="dxa"/>
            <w:vAlign w:val="center"/>
          </w:tcPr>
          <w:p w14:paraId="03FBF943" w14:textId="6EB02AE9" w:rsidR="00114207" w:rsidRPr="00905499" w:rsidRDefault="00114207" w:rsidP="0011420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.002[-.001, .004]</w:t>
            </w:r>
          </w:p>
        </w:tc>
        <w:tc>
          <w:tcPr>
            <w:tcW w:w="1507" w:type="dxa"/>
            <w:vAlign w:val="center"/>
          </w:tcPr>
          <w:p w14:paraId="7496313D" w14:textId="5E56244D" w:rsidR="00114207" w:rsidRPr="00905499" w:rsidRDefault="00114207" w:rsidP="0011420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.002[-.001, .004]</w:t>
            </w:r>
          </w:p>
        </w:tc>
        <w:tc>
          <w:tcPr>
            <w:tcW w:w="1502" w:type="dxa"/>
            <w:gridSpan w:val="2"/>
            <w:vAlign w:val="center"/>
          </w:tcPr>
          <w:p w14:paraId="40EBF050" w14:textId="26CAEF2D" w:rsidR="00114207" w:rsidRPr="00905499" w:rsidRDefault="00114207" w:rsidP="00114207">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.002[-.001, .004]</w:t>
            </w:r>
          </w:p>
        </w:tc>
      </w:tr>
      <w:tr w:rsidR="00494949" w:rsidRPr="00905499" w14:paraId="1E87A0C0" w14:textId="77777777" w:rsidTr="00BD6210">
        <w:trPr>
          <w:trHeight w:val="244"/>
        </w:trPr>
        <w:tc>
          <w:tcPr>
            <w:tcW w:w="1242" w:type="dxa"/>
          </w:tcPr>
          <w:p w14:paraId="5DD2CD4B" w14:textId="52EE35BE" w:rsidR="00494949" w:rsidRPr="00905499" w:rsidRDefault="00494949" w:rsidP="00361744">
            <w:pPr>
              <w:ind w:left="142" w:hanging="142"/>
              <w:rPr>
                <w:sz w:val="15"/>
                <w:szCs w:val="15"/>
                <w:lang w:val="en-US"/>
              </w:rPr>
            </w:pPr>
            <w:r w:rsidRPr="00905499">
              <w:rPr>
                <w:rFonts w:ascii="Times New Roman" w:hAnsi="Times New Roman" w:cs="Times New Roman"/>
                <w:sz w:val="15"/>
                <w:szCs w:val="15"/>
                <w:lang w:val="en-US"/>
              </w:rPr>
              <w:t xml:space="preserve">Indigenous </w:t>
            </w:r>
          </w:p>
        </w:tc>
        <w:tc>
          <w:tcPr>
            <w:tcW w:w="1560" w:type="dxa"/>
            <w:vAlign w:val="center"/>
          </w:tcPr>
          <w:p w14:paraId="7B1AA177" w14:textId="1DBE5FAC" w:rsidR="00494949" w:rsidRPr="00905499" w:rsidRDefault="00494949"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-.111[-.483, .261]</w:t>
            </w:r>
          </w:p>
        </w:tc>
        <w:tc>
          <w:tcPr>
            <w:tcW w:w="1559" w:type="dxa"/>
            <w:vAlign w:val="center"/>
          </w:tcPr>
          <w:p w14:paraId="47B14FA9" w14:textId="712BAE16" w:rsidR="00494949" w:rsidRPr="00905499" w:rsidRDefault="00494949"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w:t>
            </w:r>
            <w:r w:rsidR="00A04974" w:rsidRPr="00905499">
              <w:rPr>
                <w:rFonts w:ascii="Times New Roman" w:hAnsi="Times New Roman" w:cs="Times New Roman"/>
                <w:sz w:val="15"/>
                <w:szCs w:val="15"/>
                <w:lang w:val="en-US"/>
              </w:rPr>
              <w:t>096</w:t>
            </w:r>
            <w:r w:rsidRPr="00905499">
              <w:rPr>
                <w:rFonts w:ascii="Times New Roman" w:hAnsi="Times New Roman" w:cs="Times New Roman"/>
                <w:sz w:val="15"/>
                <w:szCs w:val="15"/>
                <w:lang w:val="en-US"/>
              </w:rPr>
              <w:t>[-.</w:t>
            </w:r>
            <w:r w:rsidR="00A04974" w:rsidRPr="00905499">
              <w:rPr>
                <w:rFonts w:ascii="Times New Roman" w:hAnsi="Times New Roman" w:cs="Times New Roman"/>
                <w:sz w:val="15"/>
                <w:szCs w:val="15"/>
                <w:lang w:val="en-US"/>
              </w:rPr>
              <w:t>775</w:t>
            </w:r>
            <w:r w:rsidRPr="00905499">
              <w:rPr>
                <w:rFonts w:ascii="Times New Roman" w:hAnsi="Times New Roman" w:cs="Times New Roman"/>
                <w:sz w:val="15"/>
                <w:szCs w:val="15"/>
                <w:lang w:val="en-US"/>
              </w:rPr>
              <w:t xml:space="preserve"> .</w:t>
            </w:r>
            <w:r w:rsidR="00A04974" w:rsidRPr="00905499">
              <w:rPr>
                <w:rFonts w:ascii="Times New Roman" w:hAnsi="Times New Roman" w:cs="Times New Roman"/>
                <w:sz w:val="15"/>
                <w:szCs w:val="15"/>
                <w:lang w:val="en-US"/>
              </w:rPr>
              <w:t>584</w:t>
            </w:r>
            <w:r w:rsidRPr="00905499">
              <w:rPr>
                <w:rFonts w:ascii="Times New Roman" w:hAnsi="Times New Roman" w:cs="Times New Roman"/>
                <w:sz w:val="15"/>
                <w:szCs w:val="15"/>
                <w:lang w:val="en-US"/>
              </w:rPr>
              <w:t>]</w:t>
            </w:r>
          </w:p>
        </w:tc>
        <w:tc>
          <w:tcPr>
            <w:tcW w:w="1502" w:type="dxa"/>
            <w:vAlign w:val="center"/>
          </w:tcPr>
          <w:p w14:paraId="7849E2EE" w14:textId="793F006B" w:rsidR="00494949" w:rsidRPr="00905499" w:rsidRDefault="00456E23"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-.129[-.509, .252]</w:t>
            </w:r>
          </w:p>
        </w:tc>
        <w:tc>
          <w:tcPr>
            <w:tcW w:w="1497" w:type="dxa"/>
            <w:vAlign w:val="center"/>
          </w:tcPr>
          <w:p w14:paraId="4593AAD0" w14:textId="56C4C6FC" w:rsidR="00494949" w:rsidRPr="00905499" w:rsidRDefault="00456E23"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-.207[-.637, .222]</w:t>
            </w:r>
          </w:p>
        </w:tc>
        <w:tc>
          <w:tcPr>
            <w:tcW w:w="1507" w:type="dxa"/>
            <w:vAlign w:val="center"/>
          </w:tcPr>
          <w:p w14:paraId="4D0CCC32" w14:textId="1816FA5B" w:rsidR="00494949" w:rsidRPr="00905499" w:rsidRDefault="00456E23" w:rsidP="00456E23">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-.126[-.508, .256]</w:t>
            </w:r>
          </w:p>
        </w:tc>
        <w:tc>
          <w:tcPr>
            <w:tcW w:w="1502" w:type="dxa"/>
            <w:gridSpan w:val="2"/>
            <w:vAlign w:val="center"/>
          </w:tcPr>
          <w:p w14:paraId="7F0283CF" w14:textId="292C38EC" w:rsidR="00494949" w:rsidRPr="00905499" w:rsidRDefault="00511949"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-.185[-.699, .318]</w:t>
            </w:r>
          </w:p>
        </w:tc>
      </w:tr>
      <w:tr w:rsidR="00494949" w:rsidRPr="00905499" w14:paraId="3635C666" w14:textId="77777777" w:rsidTr="00BD6210">
        <w:trPr>
          <w:trHeight w:val="244"/>
        </w:trPr>
        <w:tc>
          <w:tcPr>
            <w:tcW w:w="1242" w:type="dxa"/>
          </w:tcPr>
          <w:p w14:paraId="542EA5AA" w14:textId="7DB2E453" w:rsidR="00494949" w:rsidRPr="00905499" w:rsidRDefault="00361744" w:rsidP="00494949">
            <w:pPr>
              <w:ind w:left="142" w:hanging="142"/>
              <w:rPr>
                <w:sz w:val="15"/>
                <w:szCs w:val="15"/>
                <w:lang w:val="en-US"/>
              </w:rPr>
            </w:pPr>
            <w:r w:rsidRPr="00905499">
              <w:rPr>
                <w:rFonts w:ascii="Times New Roman" w:hAnsi="Times New Roman" w:cs="Times New Roman"/>
                <w:sz w:val="15"/>
                <w:szCs w:val="15"/>
                <w:lang w:val="en-US"/>
              </w:rPr>
              <w:t>Male</w:t>
            </w:r>
          </w:p>
        </w:tc>
        <w:tc>
          <w:tcPr>
            <w:tcW w:w="1560" w:type="dxa"/>
            <w:vAlign w:val="center"/>
          </w:tcPr>
          <w:p w14:paraId="1C964247" w14:textId="7169F783" w:rsidR="00494949" w:rsidRPr="00905499" w:rsidRDefault="00494949"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-.225[-.404, -.046]*</w:t>
            </w:r>
          </w:p>
        </w:tc>
        <w:tc>
          <w:tcPr>
            <w:tcW w:w="1559" w:type="dxa"/>
            <w:vAlign w:val="center"/>
          </w:tcPr>
          <w:p w14:paraId="4B795743" w14:textId="33C26DAA" w:rsidR="00494949" w:rsidRPr="00905499" w:rsidRDefault="00494949"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-.22</w:t>
            </w:r>
            <w:r w:rsidR="00A04974" w:rsidRPr="00905499">
              <w:rPr>
                <w:rFonts w:ascii="Times New Roman" w:hAnsi="Times New Roman" w:cs="Times New Roman"/>
                <w:sz w:val="15"/>
                <w:szCs w:val="15"/>
                <w:lang w:val="en-US"/>
              </w:rPr>
              <w:t>0[-.399</w:t>
            </w:r>
            <w:r w:rsidRPr="00905499">
              <w:rPr>
                <w:rFonts w:ascii="Times New Roman" w:hAnsi="Times New Roman" w:cs="Times New Roman"/>
                <w:sz w:val="15"/>
                <w:szCs w:val="15"/>
                <w:lang w:val="en-US"/>
              </w:rPr>
              <w:t>, -.04</w:t>
            </w:r>
            <w:r w:rsidR="00A04974" w:rsidRPr="00905499">
              <w:rPr>
                <w:rFonts w:ascii="Times New Roman" w:hAnsi="Times New Roman" w:cs="Times New Roman"/>
                <w:sz w:val="15"/>
                <w:szCs w:val="15"/>
                <w:lang w:val="en-US"/>
              </w:rPr>
              <w:t>1</w:t>
            </w:r>
            <w:r w:rsidRPr="00905499">
              <w:rPr>
                <w:rFonts w:ascii="Times New Roman" w:hAnsi="Times New Roman" w:cs="Times New Roman"/>
                <w:sz w:val="15"/>
                <w:szCs w:val="15"/>
                <w:lang w:val="en-US"/>
              </w:rPr>
              <w:t>]*</w:t>
            </w:r>
            <w:r w:rsidR="00BD6210" w:rsidRPr="00905499">
              <w:rPr>
                <w:rFonts w:ascii="Times New Roman" w:hAnsi="Times New Roman" w:cs="Times New Roman"/>
                <w:sz w:val="15"/>
                <w:szCs w:val="15"/>
                <w:lang w:val="en-US"/>
              </w:rPr>
              <w:t>**</w:t>
            </w:r>
          </w:p>
        </w:tc>
        <w:tc>
          <w:tcPr>
            <w:tcW w:w="1502" w:type="dxa"/>
            <w:vAlign w:val="center"/>
          </w:tcPr>
          <w:p w14:paraId="09158B65" w14:textId="01000422" w:rsidR="00494949" w:rsidRPr="00905499" w:rsidRDefault="00456E23"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-.226[-.406, -.046]*</w:t>
            </w:r>
          </w:p>
        </w:tc>
        <w:tc>
          <w:tcPr>
            <w:tcW w:w="1497" w:type="dxa"/>
            <w:vAlign w:val="center"/>
          </w:tcPr>
          <w:p w14:paraId="1A91644E" w14:textId="56128773" w:rsidR="00494949" w:rsidRPr="00905499" w:rsidRDefault="00456E23"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-.229[-.409, -.049]*</w:t>
            </w:r>
          </w:p>
        </w:tc>
        <w:tc>
          <w:tcPr>
            <w:tcW w:w="1507" w:type="dxa"/>
            <w:vAlign w:val="center"/>
          </w:tcPr>
          <w:p w14:paraId="56C1CA2B" w14:textId="2470D7E4" w:rsidR="00494949" w:rsidRPr="00905499" w:rsidRDefault="00456E23"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-.225[-.406, -.044]*</w:t>
            </w:r>
          </w:p>
        </w:tc>
        <w:tc>
          <w:tcPr>
            <w:tcW w:w="1502" w:type="dxa"/>
            <w:gridSpan w:val="2"/>
            <w:vAlign w:val="center"/>
          </w:tcPr>
          <w:p w14:paraId="6375B88C" w14:textId="76233FE7" w:rsidR="00494949" w:rsidRPr="00905499" w:rsidRDefault="00511949"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-.227[-.408, -.047]*</w:t>
            </w:r>
          </w:p>
        </w:tc>
      </w:tr>
      <w:tr w:rsidR="00494949" w:rsidRPr="00905499" w14:paraId="315235B6" w14:textId="77777777" w:rsidTr="00BD6210">
        <w:trPr>
          <w:trHeight w:val="244"/>
        </w:trPr>
        <w:tc>
          <w:tcPr>
            <w:tcW w:w="1242" w:type="dxa"/>
          </w:tcPr>
          <w:p w14:paraId="6A8F95E1" w14:textId="77777777" w:rsidR="00494949" w:rsidRPr="00905499" w:rsidRDefault="00494949" w:rsidP="00494949">
            <w:pPr>
              <w:ind w:left="142" w:hanging="142"/>
              <w:rPr>
                <w:sz w:val="15"/>
                <w:szCs w:val="15"/>
                <w:lang w:val="en-US"/>
              </w:rPr>
            </w:pPr>
            <w:r w:rsidRPr="00905499">
              <w:rPr>
                <w:rFonts w:ascii="Times New Roman" w:hAnsi="Times New Roman" w:cs="Times New Roman"/>
                <w:sz w:val="15"/>
                <w:szCs w:val="15"/>
                <w:lang w:val="en-US"/>
              </w:rPr>
              <w:t>State of Residence</w:t>
            </w:r>
            <w:r w:rsidRPr="00905499">
              <w:rPr>
                <w:rFonts w:ascii="Times New Roman" w:hAnsi="Times New Roman" w:cs="Times New Roman"/>
                <w:sz w:val="15"/>
                <w:szCs w:val="15"/>
                <w:vertAlign w:val="superscript"/>
                <w:lang w:val="en-US"/>
              </w:rPr>
              <w:t>1</w:t>
            </w:r>
            <w:r w:rsidRPr="00905499">
              <w:rPr>
                <w:rFonts w:ascii="Times New Roman" w:hAnsi="Times New Roman" w:cs="Times New Roman"/>
                <w:sz w:val="15"/>
                <w:szCs w:val="15"/>
                <w:lang w:val="en-US"/>
              </w:rPr>
              <w:t xml:space="preserve">: </w:t>
            </w:r>
          </w:p>
        </w:tc>
        <w:tc>
          <w:tcPr>
            <w:tcW w:w="1560" w:type="dxa"/>
            <w:vAlign w:val="center"/>
          </w:tcPr>
          <w:p w14:paraId="2175D02D" w14:textId="77777777" w:rsidR="00494949" w:rsidRPr="00905499" w:rsidRDefault="00494949" w:rsidP="00A04974">
            <w:pPr>
              <w:ind w:left="142" w:hanging="142"/>
              <w:rPr>
                <w:rFonts w:ascii="Times New Roman" w:hAnsi="Times New Roman" w:cs="Times New Roman"/>
                <w:sz w:val="15"/>
                <w:szCs w:val="15"/>
                <w:lang w:val="en-US"/>
              </w:rPr>
            </w:pPr>
          </w:p>
        </w:tc>
        <w:tc>
          <w:tcPr>
            <w:tcW w:w="1559" w:type="dxa"/>
            <w:vAlign w:val="center"/>
          </w:tcPr>
          <w:p w14:paraId="3FC0165B" w14:textId="77777777" w:rsidR="00494949" w:rsidRPr="00905499" w:rsidRDefault="00494949" w:rsidP="00A04974">
            <w:pPr>
              <w:ind w:left="142" w:hanging="142"/>
              <w:rPr>
                <w:rFonts w:ascii="Times New Roman" w:hAnsi="Times New Roman" w:cs="Times New Roman"/>
                <w:sz w:val="15"/>
                <w:szCs w:val="15"/>
                <w:lang w:val="en-US"/>
              </w:rPr>
            </w:pPr>
          </w:p>
        </w:tc>
        <w:tc>
          <w:tcPr>
            <w:tcW w:w="1502" w:type="dxa"/>
            <w:vAlign w:val="center"/>
          </w:tcPr>
          <w:p w14:paraId="472669E4" w14:textId="77777777" w:rsidR="00494949" w:rsidRPr="00905499" w:rsidRDefault="00494949" w:rsidP="00A04974">
            <w:pPr>
              <w:ind w:left="142" w:hanging="142"/>
              <w:rPr>
                <w:rFonts w:ascii="Times New Roman" w:hAnsi="Times New Roman" w:cs="Times New Roman"/>
                <w:sz w:val="15"/>
                <w:szCs w:val="15"/>
                <w:lang w:val="en-US"/>
              </w:rPr>
            </w:pPr>
          </w:p>
        </w:tc>
        <w:tc>
          <w:tcPr>
            <w:tcW w:w="1497" w:type="dxa"/>
            <w:vAlign w:val="center"/>
          </w:tcPr>
          <w:p w14:paraId="27B91896" w14:textId="77777777" w:rsidR="00494949" w:rsidRPr="00905499" w:rsidRDefault="00494949" w:rsidP="00A04974">
            <w:pPr>
              <w:ind w:left="142" w:hanging="142"/>
              <w:rPr>
                <w:rFonts w:ascii="Times New Roman" w:hAnsi="Times New Roman" w:cs="Times New Roman"/>
                <w:sz w:val="15"/>
                <w:szCs w:val="15"/>
                <w:lang w:val="en-US"/>
              </w:rPr>
            </w:pPr>
          </w:p>
        </w:tc>
        <w:tc>
          <w:tcPr>
            <w:tcW w:w="1507" w:type="dxa"/>
            <w:vAlign w:val="center"/>
          </w:tcPr>
          <w:p w14:paraId="02F0F449" w14:textId="77777777" w:rsidR="00494949" w:rsidRPr="00905499" w:rsidRDefault="00494949" w:rsidP="00A04974">
            <w:pPr>
              <w:ind w:left="142" w:hanging="142"/>
              <w:rPr>
                <w:rFonts w:ascii="Times New Roman" w:hAnsi="Times New Roman" w:cs="Times New Roman"/>
                <w:sz w:val="15"/>
                <w:szCs w:val="15"/>
                <w:lang w:val="en-US"/>
              </w:rPr>
            </w:pPr>
          </w:p>
        </w:tc>
        <w:tc>
          <w:tcPr>
            <w:tcW w:w="1502" w:type="dxa"/>
            <w:gridSpan w:val="2"/>
            <w:vAlign w:val="center"/>
          </w:tcPr>
          <w:p w14:paraId="70D83410" w14:textId="77777777" w:rsidR="00494949" w:rsidRPr="00905499" w:rsidRDefault="00494949" w:rsidP="00A04974">
            <w:pPr>
              <w:ind w:left="142" w:hanging="142"/>
              <w:rPr>
                <w:rFonts w:ascii="Times New Roman" w:hAnsi="Times New Roman" w:cs="Times New Roman"/>
                <w:sz w:val="15"/>
                <w:szCs w:val="15"/>
                <w:lang w:val="en-US"/>
              </w:rPr>
            </w:pPr>
          </w:p>
        </w:tc>
      </w:tr>
      <w:tr w:rsidR="00A04974" w:rsidRPr="00905499" w14:paraId="1D277A0C" w14:textId="77777777" w:rsidTr="00BD6210">
        <w:trPr>
          <w:trHeight w:val="244"/>
        </w:trPr>
        <w:tc>
          <w:tcPr>
            <w:tcW w:w="1242" w:type="dxa"/>
          </w:tcPr>
          <w:p w14:paraId="39E36740" w14:textId="77777777" w:rsidR="00A04974" w:rsidRPr="00905499" w:rsidRDefault="00A04974" w:rsidP="00A04974">
            <w:pPr>
              <w:ind w:left="142" w:hanging="142"/>
              <w:rPr>
                <w:sz w:val="15"/>
                <w:szCs w:val="15"/>
                <w:lang w:val="en-US"/>
              </w:rPr>
            </w:pPr>
            <w:r w:rsidRPr="00905499">
              <w:rPr>
                <w:rFonts w:ascii="Times New Roman" w:hAnsi="Times New Roman" w:cs="Times New Roman"/>
                <w:sz w:val="15"/>
                <w:szCs w:val="15"/>
                <w:lang w:val="en-US"/>
              </w:rPr>
              <w:t xml:space="preserve">    NSW</w:t>
            </w:r>
          </w:p>
        </w:tc>
        <w:tc>
          <w:tcPr>
            <w:tcW w:w="1560" w:type="dxa"/>
            <w:vAlign w:val="center"/>
          </w:tcPr>
          <w:p w14:paraId="63FCDDCF" w14:textId="2B690581" w:rsidR="00A04974" w:rsidRPr="00905499" w:rsidRDefault="00A04974"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.374[.104, 645]*</w:t>
            </w:r>
            <w:r w:rsidR="00BD6210" w:rsidRPr="00905499">
              <w:rPr>
                <w:rFonts w:ascii="Times New Roman" w:hAnsi="Times New Roman" w:cs="Times New Roman"/>
                <w:sz w:val="15"/>
                <w:szCs w:val="15"/>
                <w:lang w:val="en-US"/>
              </w:rPr>
              <w:t>**</w:t>
            </w:r>
          </w:p>
        </w:tc>
        <w:tc>
          <w:tcPr>
            <w:tcW w:w="1559" w:type="dxa"/>
            <w:vAlign w:val="center"/>
          </w:tcPr>
          <w:p w14:paraId="76D64D0D" w14:textId="44F5ED59" w:rsidR="00A04974" w:rsidRPr="00905499" w:rsidRDefault="00A04974"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.367[.096, 638]*</w:t>
            </w:r>
            <w:r w:rsidR="00BD6210" w:rsidRPr="00905499">
              <w:rPr>
                <w:rFonts w:ascii="Times New Roman" w:hAnsi="Times New Roman" w:cs="Times New Roman"/>
                <w:sz w:val="15"/>
                <w:szCs w:val="15"/>
                <w:lang w:val="en-US"/>
              </w:rPr>
              <w:t>**</w:t>
            </w:r>
          </w:p>
        </w:tc>
        <w:tc>
          <w:tcPr>
            <w:tcW w:w="1502" w:type="dxa"/>
            <w:vAlign w:val="center"/>
          </w:tcPr>
          <w:p w14:paraId="1656D96C" w14:textId="78AB382E" w:rsidR="00A04974" w:rsidRPr="00905499" w:rsidRDefault="00456E23"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.247[-.074, .568]</w:t>
            </w:r>
          </w:p>
        </w:tc>
        <w:tc>
          <w:tcPr>
            <w:tcW w:w="1497" w:type="dxa"/>
            <w:vAlign w:val="center"/>
          </w:tcPr>
          <w:p w14:paraId="1CDFB4B7" w14:textId="1FE33D77" w:rsidR="00A04974" w:rsidRPr="00905499" w:rsidRDefault="00456E23"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.237[-.079, .553]</w:t>
            </w:r>
          </w:p>
        </w:tc>
        <w:tc>
          <w:tcPr>
            <w:tcW w:w="1507" w:type="dxa"/>
            <w:vAlign w:val="center"/>
          </w:tcPr>
          <w:p w14:paraId="4D2497F6" w14:textId="448F3532" w:rsidR="00A04974" w:rsidRPr="00905499" w:rsidRDefault="00456E23"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.248[-.070, .566]</w:t>
            </w:r>
          </w:p>
        </w:tc>
        <w:tc>
          <w:tcPr>
            <w:tcW w:w="1502" w:type="dxa"/>
            <w:gridSpan w:val="2"/>
            <w:vAlign w:val="center"/>
          </w:tcPr>
          <w:p w14:paraId="0FE69D26" w14:textId="415780BF" w:rsidR="00A04974" w:rsidRPr="00905499" w:rsidRDefault="00511949"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.244[-.066, .554]</w:t>
            </w:r>
          </w:p>
        </w:tc>
      </w:tr>
      <w:tr w:rsidR="00A04974" w:rsidRPr="00905499" w14:paraId="281EBC1E" w14:textId="77777777" w:rsidTr="00BD6210">
        <w:trPr>
          <w:trHeight w:val="244"/>
        </w:trPr>
        <w:tc>
          <w:tcPr>
            <w:tcW w:w="1242" w:type="dxa"/>
          </w:tcPr>
          <w:p w14:paraId="0E81DD87" w14:textId="77777777" w:rsidR="00A04974" w:rsidRPr="00905499" w:rsidRDefault="00A04974" w:rsidP="00A04974">
            <w:pPr>
              <w:ind w:left="142" w:hanging="142"/>
              <w:rPr>
                <w:sz w:val="15"/>
                <w:szCs w:val="15"/>
                <w:lang w:val="en-US"/>
              </w:rPr>
            </w:pPr>
            <w:r w:rsidRPr="00905499">
              <w:rPr>
                <w:rFonts w:ascii="Times New Roman" w:hAnsi="Times New Roman" w:cs="Times New Roman"/>
                <w:sz w:val="15"/>
                <w:szCs w:val="15"/>
                <w:lang w:val="en-US"/>
              </w:rPr>
              <w:t xml:space="preserve">    VIC</w:t>
            </w:r>
          </w:p>
        </w:tc>
        <w:tc>
          <w:tcPr>
            <w:tcW w:w="1560" w:type="dxa"/>
            <w:vAlign w:val="center"/>
          </w:tcPr>
          <w:p w14:paraId="271C3C3E" w14:textId="7704EC4B" w:rsidR="00A04974" w:rsidRPr="00905499" w:rsidRDefault="00A04974"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.756[.486, 1.027]*</w:t>
            </w:r>
            <w:r w:rsidR="00BD6210" w:rsidRPr="00905499">
              <w:rPr>
                <w:rFonts w:ascii="Times New Roman" w:hAnsi="Times New Roman" w:cs="Times New Roman"/>
                <w:sz w:val="15"/>
                <w:szCs w:val="15"/>
                <w:lang w:val="en-US"/>
              </w:rPr>
              <w:t>**</w:t>
            </w:r>
          </w:p>
        </w:tc>
        <w:tc>
          <w:tcPr>
            <w:tcW w:w="1559" w:type="dxa"/>
            <w:vAlign w:val="center"/>
          </w:tcPr>
          <w:p w14:paraId="013FD2D8" w14:textId="299F39F6" w:rsidR="00A04974" w:rsidRPr="00905499" w:rsidRDefault="00A04974"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.751[.486, 1.021]*</w:t>
            </w:r>
            <w:r w:rsidR="00BD6210" w:rsidRPr="00905499">
              <w:rPr>
                <w:rFonts w:ascii="Times New Roman" w:hAnsi="Times New Roman" w:cs="Times New Roman"/>
                <w:sz w:val="15"/>
                <w:szCs w:val="15"/>
                <w:lang w:val="en-US"/>
              </w:rPr>
              <w:t>**</w:t>
            </w:r>
          </w:p>
        </w:tc>
        <w:tc>
          <w:tcPr>
            <w:tcW w:w="1502" w:type="dxa"/>
            <w:vAlign w:val="center"/>
          </w:tcPr>
          <w:p w14:paraId="0888646A" w14:textId="5B9746E1" w:rsidR="00A04974" w:rsidRPr="00905499" w:rsidRDefault="00456E23"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.643[.309, .978]*</w:t>
            </w:r>
          </w:p>
        </w:tc>
        <w:tc>
          <w:tcPr>
            <w:tcW w:w="1497" w:type="dxa"/>
            <w:vAlign w:val="center"/>
          </w:tcPr>
          <w:p w14:paraId="7380F5F8" w14:textId="2649DF0F" w:rsidR="00A04974" w:rsidRPr="00905499" w:rsidRDefault="00456E23" w:rsidP="00456E23">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.637[.304, .970]*</w:t>
            </w:r>
            <w:r w:rsidR="00C33295" w:rsidRPr="00905499">
              <w:rPr>
                <w:rFonts w:ascii="Times New Roman" w:hAnsi="Times New Roman" w:cs="Times New Roman"/>
                <w:sz w:val="15"/>
                <w:szCs w:val="15"/>
                <w:lang w:val="en-US"/>
              </w:rPr>
              <w:t>**</w:t>
            </w:r>
          </w:p>
        </w:tc>
        <w:tc>
          <w:tcPr>
            <w:tcW w:w="1507" w:type="dxa"/>
            <w:vAlign w:val="center"/>
          </w:tcPr>
          <w:p w14:paraId="35693107" w14:textId="3CFF8752" w:rsidR="00A04974" w:rsidRPr="00905499" w:rsidRDefault="00456E23"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.639[.297, .981]*</w:t>
            </w:r>
            <w:r w:rsidR="003C3560" w:rsidRPr="00905499">
              <w:rPr>
                <w:rFonts w:ascii="Times New Roman" w:hAnsi="Times New Roman" w:cs="Times New Roman"/>
                <w:sz w:val="15"/>
                <w:szCs w:val="15"/>
                <w:lang w:val="en-US"/>
              </w:rPr>
              <w:t>**</w:t>
            </w:r>
          </w:p>
        </w:tc>
        <w:tc>
          <w:tcPr>
            <w:tcW w:w="1502" w:type="dxa"/>
            <w:gridSpan w:val="2"/>
            <w:vAlign w:val="center"/>
          </w:tcPr>
          <w:p w14:paraId="1F8ABA6D" w14:textId="30C9F184" w:rsidR="00A04974" w:rsidRPr="00905499" w:rsidRDefault="00511949"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.637[.297, .976]*</w:t>
            </w:r>
            <w:r w:rsidR="00681D07" w:rsidRPr="00905499">
              <w:rPr>
                <w:rFonts w:ascii="Times New Roman" w:hAnsi="Times New Roman" w:cs="Times New Roman"/>
                <w:sz w:val="15"/>
                <w:szCs w:val="15"/>
                <w:lang w:val="en-US"/>
              </w:rPr>
              <w:t>**</w:t>
            </w:r>
          </w:p>
        </w:tc>
      </w:tr>
      <w:tr w:rsidR="00494949" w:rsidRPr="00905499" w14:paraId="34B257CA" w14:textId="77777777" w:rsidTr="00BD6210">
        <w:trPr>
          <w:trHeight w:val="244"/>
        </w:trPr>
        <w:tc>
          <w:tcPr>
            <w:tcW w:w="1242" w:type="dxa"/>
          </w:tcPr>
          <w:p w14:paraId="3E23A08B" w14:textId="77777777" w:rsidR="00494949" w:rsidRPr="00905499" w:rsidRDefault="00494949" w:rsidP="00494949">
            <w:pPr>
              <w:ind w:left="142" w:hanging="142"/>
              <w:rPr>
                <w:sz w:val="15"/>
                <w:szCs w:val="15"/>
                <w:lang w:val="en-US"/>
              </w:rPr>
            </w:pPr>
            <w:r w:rsidRPr="00905499">
              <w:rPr>
                <w:rFonts w:ascii="Times New Roman" w:hAnsi="Times New Roman" w:cs="Times New Roman"/>
                <w:sz w:val="15"/>
                <w:szCs w:val="15"/>
                <w:lang w:val="en-US"/>
              </w:rPr>
              <w:t xml:space="preserve">    QLD</w:t>
            </w:r>
          </w:p>
        </w:tc>
        <w:tc>
          <w:tcPr>
            <w:tcW w:w="1560" w:type="dxa"/>
            <w:vAlign w:val="center"/>
          </w:tcPr>
          <w:p w14:paraId="77D2BF92" w14:textId="12E9EF90" w:rsidR="00494949" w:rsidRPr="00905499" w:rsidRDefault="00494949"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1.084[.800, 1.367]*</w:t>
            </w:r>
            <w:r w:rsidR="00BD6210" w:rsidRPr="00905499">
              <w:rPr>
                <w:rFonts w:ascii="Times New Roman" w:hAnsi="Times New Roman" w:cs="Times New Roman"/>
                <w:sz w:val="15"/>
                <w:szCs w:val="15"/>
                <w:lang w:val="en-US"/>
              </w:rPr>
              <w:t>*</w:t>
            </w:r>
          </w:p>
        </w:tc>
        <w:tc>
          <w:tcPr>
            <w:tcW w:w="1559" w:type="dxa"/>
            <w:vAlign w:val="center"/>
          </w:tcPr>
          <w:p w14:paraId="6B0C4464" w14:textId="5C7F68E8" w:rsidR="00494949" w:rsidRPr="00905499" w:rsidRDefault="00494949"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1.08</w:t>
            </w:r>
            <w:r w:rsidR="00A04974" w:rsidRPr="00905499">
              <w:rPr>
                <w:rFonts w:ascii="Times New Roman" w:hAnsi="Times New Roman" w:cs="Times New Roman"/>
                <w:sz w:val="15"/>
                <w:szCs w:val="15"/>
                <w:lang w:val="en-US"/>
              </w:rPr>
              <w:t>5</w:t>
            </w:r>
            <w:r w:rsidRPr="00905499">
              <w:rPr>
                <w:rFonts w:ascii="Times New Roman" w:hAnsi="Times New Roman" w:cs="Times New Roman"/>
                <w:sz w:val="15"/>
                <w:szCs w:val="15"/>
                <w:lang w:val="en-US"/>
              </w:rPr>
              <w:t>[.80</w:t>
            </w:r>
            <w:r w:rsidR="00A04974" w:rsidRPr="00905499">
              <w:rPr>
                <w:rFonts w:ascii="Times New Roman" w:hAnsi="Times New Roman" w:cs="Times New Roman"/>
                <w:sz w:val="15"/>
                <w:szCs w:val="15"/>
                <w:lang w:val="en-US"/>
              </w:rPr>
              <w:t>3</w:t>
            </w:r>
            <w:r w:rsidRPr="00905499">
              <w:rPr>
                <w:rFonts w:ascii="Times New Roman" w:hAnsi="Times New Roman" w:cs="Times New Roman"/>
                <w:sz w:val="15"/>
                <w:szCs w:val="15"/>
                <w:lang w:val="en-US"/>
              </w:rPr>
              <w:t>, 1.367]*</w:t>
            </w:r>
            <w:r w:rsidR="00BD6210" w:rsidRPr="00905499">
              <w:rPr>
                <w:rFonts w:ascii="Times New Roman" w:hAnsi="Times New Roman" w:cs="Times New Roman"/>
                <w:sz w:val="15"/>
                <w:szCs w:val="15"/>
                <w:lang w:val="en-US"/>
              </w:rPr>
              <w:t>**</w:t>
            </w:r>
          </w:p>
        </w:tc>
        <w:tc>
          <w:tcPr>
            <w:tcW w:w="1502" w:type="dxa"/>
            <w:vAlign w:val="center"/>
          </w:tcPr>
          <w:p w14:paraId="50A89003" w14:textId="7396B022" w:rsidR="00494949" w:rsidRPr="00905499" w:rsidRDefault="00456E23"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.994[.675, 1.314]*</w:t>
            </w:r>
            <w:r w:rsidR="005F223C" w:rsidRPr="00905499">
              <w:rPr>
                <w:rFonts w:ascii="Times New Roman" w:hAnsi="Times New Roman" w:cs="Times New Roman"/>
                <w:sz w:val="15"/>
                <w:szCs w:val="15"/>
                <w:lang w:val="en-US"/>
              </w:rPr>
              <w:t>**</w:t>
            </w:r>
          </w:p>
        </w:tc>
        <w:tc>
          <w:tcPr>
            <w:tcW w:w="1497" w:type="dxa"/>
            <w:vAlign w:val="center"/>
          </w:tcPr>
          <w:p w14:paraId="6DA99B47" w14:textId="7AFEFA7E" w:rsidR="00494949" w:rsidRPr="00905499" w:rsidRDefault="00456E23"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.985[.667, 1.304]*</w:t>
            </w:r>
            <w:r w:rsidR="00C33295" w:rsidRPr="00905499">
              <w:rPr>
                <w:rFonts w:ascii="Times New Roman" w:hAnsi="Times New Roman" w:cs="Times New Roman"/>
                <w:sz w:val="15"/>
                <w:szCs w:val="15"/>
                <w:lang w:val="en-US"/>
              </w:rPr>
              <w:t>**</w:t>
            </w:r>
          </w:p>
        </w:tc>
        <w:tc>
          <w:tcPr>
            <w:tcW w:w="1507" w:type="dxa"/>
            <w:vAlign w:val="center"/>
          </w:tcPr>
          <w:p w14:paraId="1EB6EAFB" w14:textId="31F73B38" w:rsidR="00494949" w:rsidRPr="00905499" w:rsidRDefault="00456E23"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.990[.662, 1.318]*</w:t>
            </w:r>
            <w:r w:rsidR="003C3560" w:rsidRPr="00905499">
              <w:rPr>
                <w:rFonts w:ascii="Times New Roman" w:hAnsi="Times New Roman" w:cs="Times New Roman"/>
                <w:sz w:val="15"/>
                <w:szCs w:val="15"/>
                <w:lang w:val="en-US"/>
              </w:rPr>
              <w:t>**</w:t>
            </w:r>
          </w:p>
        </w:tc>
        <w:tc>
          <w:tcPr>
            <w:tcW w:w="1502" w:type="dxa"/>
            <w:gridSpan w:val="2"/>
            <w:vAlign w:val="center"/>
          </w:tcPr>
          <w:p w14:paraId="6A616025" w14:textId="4E432B32" w:rsidR="00494949" w:rsidRPr="00905499" w:rsidRDefault="00511949"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.984[.659, 1.308]*</w:t>
            </w:r>
            <w:r w:rsidR="00681D07" w:rsidRPr="00905499">
              <w:rPr>
                <w:rFonts w:ascii="Times New Roman" w:hAnsi="Times New Roman" w:cs="Times New Roman"/>
                <w:sz w:val="15"/>
                <w:szCs w:val="15"/>
                <w:lang w:val="en-US"/>
              </w:rPr>
              <w:t>**</w:t>
            </w:r>
          </w:p>
        </w:tc>
      </w:tr>
      <w:tr w:rsidR="00494949" w:rsidRPr="00905499" w14:paraId="4C46CEC5" w14:textId="77777777" w:rsidTr="00BD6210">
        <w:trPr>
          <w:trHeight w:val="244"/>
        </w:trPr>
        <w:tc>
          <w:tcPr>
            <w:tcW w:w="1242" w:type="dxa"/>
          </w:tcPr>
          <w:p w14:paraId="38DEACE3" w14:textId="77777777" w:rsidR="00494949" w:rsidRPr="00905499" w:rsidRDefault="00494949" w:rsidP="00494949">
            <w:pPr>
              <w:ind w:left="142" w:hanging="142"/>
              <w:rPr>
                <w:sz w:val="15"/>
                <w:szCs w:val="15"/>
                <w:lang w:val="en-US"/>
              </w:rPr>
            </w:pPr>
            <w:r w:rsidRPr="00905499">
              <w:rPr>
                <w:rFonts w:ascii="Times New Roman" w:hAnsi="Times New Roman" w:cs="Times New Roman"/>
                <w:sz w:val="15"/>
                <w:szCs w:val="15"/>
                <w:lang w:val="en-US"/>
              </w:rPr>
              <w:t xml:space="preserve">    SA</w:t>
            </w:r>
          </w:p>
        </w:tc>
        <w:tc>
          <w:tcPr>
            <w:tcW w:w="1560" w:type="dxa"/>
            <w:vAlign w:val="center"/>
          </w:tcPr>
          <w:p w14:paraId="519B4566" w14:textId="33981399" w:rsidR="00494949" w:rsidRPr="00905499" w:rsidRDefault="00494949"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.694[.394, .993]*</w:t>
            </w:r>
            <w:r w:rsidR="00BD6210" w:rsidRPr="00905499">
              <w:rPr>
                <w:rFonts w:ascii="Times New Roman" w:hAnsi="Times New Roman" w:cs="Times New Roman"/>
                <w:sz w:val="15"/>
                <w:szCs w:val="15"/>
                <w:lang w:val="en-US"/>
              </w:rPr>
              <w:t>**</w:t>
            </w:r>
          </w:p>
        </w:tc>
        <w:tc>
          <w:tcPr>
            <w:tcW w:w="1559" w:type="dxa"/>
            <w:vAlign w:val="center"/>
          </w:tcPr>
          <w:p w14:paraId="4CC23817" w14:textId="1EE8849E" w:rsidR="00494949" w:rsidRPr="00905499" w:rsidRDefault="00494949"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.69</w:t>
            </w:r>
            <w:r w:rsidR="00A04974" w:rsidRPr="00905499">
              <w:rPr>
                <w:rFonts w:ascii="Times New Roman" w:hAnsi="Times New Roman" w:cs="Times New Roman"/>
                <w:sz w:val="15"/>
                <w:szCs w:val="15"/>
                <w:lang w:val="en-US"/>
              </w:rPr>
              <w:t>7</w:t>
            </w:r>
            <w:r w:rsidRPr="00905499">
              <w:rPr>
                <w:rFonts w:ascii="Times New Roman" w:hAnsi="Times New Roman" w:cs="Times New Roman"/>
                <w:sz w:val="15"/>
                <w:szCs w:val="15"/>
                <w:lang w:val="en-US"/>
              </w:rPr>
              <w:t>[.39</w:t>
            </w:r>
            <w:r w:rsidR="00A04974" w:rsidRPr="00905499">
              <w:rPr>
                <w:rFonts w:ascii="Times New Roman" w:hAnsi="Times New Roman" w:cs="Times New Roman"/>
                <w:sz w:val="15"/>
                <w:szCs w:val="15"/>
                <w:lang w:val="en-US"/>
              </w:rPr>
              <w:t>9</w:t>
            </w:r>
            <w:r w:rsidRPr="00905499">
              <w:rPr>
                <w:rFonts w:ascii="Times New Roman" w:hAnsi="Times New Roman" w:cs="Times New Roman"/>
                <w:sz w:val="15"/>
                <w:szCs w:val="15"/>
                <w:lang w:val="en-US"/>
              </w:rPr>
              <w:t>, .99</w:t>
            </w:r>
            <w:r w:rsidR="00A04974" w:rsidRPr="00905499">
              <w:rPr>
                <w:rFonts w:ascii="Times New Roman" w:hAnsi="Times New Roman" w:cs="Times New Roman"/>
                <w:sz w:val="15"/>
                <w:szCs w:val="15"/>
                <w:lang w:val="en-US"/>
              </w:rPr>
              <w:t>6</w:t>
            </w:r>
            <w:r w:rsidRPr="00905499">
              <w:rPr>
                <w:rFonts w:ascii="Times New Roman" w:hAnsi="Times New Roman" w:cs="Times New Roman"/>
                <w:sz w:val="15"/>
                <w:szCs w:val="15"/>
                <w:lang w:val="en-US"/>
              </w:rPr>
              <w:t>]*</w:t>
            </w:r>
            <w:r w:rsidR="00BD6210" w:rsidRPr="00905499">
              <w:rPr>
                <w:rFonts w:ascii="Times New Roman" w:hAnsi="Times New Roman" w:cs="Times New Roman"/>
                <w:sz w:val="15"/>
                <w:szCs w:val="15"/>
                <w:lang w:val="en-US"/>
              </w:rPr>
              <w:t>**</w:t>
            </w:r>
          </w:p>
        </w:tc>
        <w:tc>
          <w:tcPr>
            <w:tcW w:w="1502" w:type="dxa"/>
            <w:vAlign w:val="center"/>
          </w:tcPr>
          <w:p w14:paraId="51EEA29F" w14:textId="76F00AA6" w:rsidR="00494949" w:rsidRPr="00905499" w:rsidRDefault="00456E23"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.605[.270, .941]*</w:t>
            </w:r>
            <w:r w:rsidR="005F223C" w:rsidRPr="00905499">
              <w:rPr>
                <w:rFonts w:ascii="Times New Roman" w:hAnsi="Times New Roman" w:cs="Times New Roman"/>
                <w:sz w:val="15"/>
                <w:szCs w:val="15"/>
                <w:lang w:val="en-US"/>
              </w:rPr>
              <w:t>**</w:t>
            </w:r>
          </w:p>
        </w:tc>
        <w:tc>
          <w:tcPr>
            <w:tcW w:w="1497" w:type="dxa"/>
            <w:vAlign w:val="center"/>
          </w:tcPr>
          <w:p w14:paraId="4AE1868D" w14:textId="22DCAEE2" w:rsidR="00494949" w:rsidRPr="00905499" w:rsidRDefault="00456E23"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.596[.263, .929]*</w:t>
            </w:r>
            <w:r w:rsidR="00C33295" w:rsidRPr="00905499">
              <w:rPr>
                <w:rFonts w:ascii="Times New Roman" w:hAnsi="Times New Roman" w:cs="Times New Roman"/>
                <w:sz w:val="15"/>
                <w:szCs w:val="15"/>
                <w:lang w:val="en-US"/>
              </w:rPr>
              <w:t>**</w:t>
            </w:r>
          </w:p>
        </w:tc>
        <w:tc>
          <w:tcPr>
            <w:tcW w:w="1507" w:type="dxa"/>
            <w:vAlign w:val="center"/>
          </w:tcPr>
          <w:p w14:paraId="48F3B26D" w14:textId="74A7926E" w:rsidR="00494949" w:rsidRPr="00905499" w:rsidRDefault="00456E23"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 xml:space="preserve">.598[.241, </w:t>
            </w:r>
            <w:r w:rsidR="00511949" w:rsidRPr="00905499">
              <w:rPr>
                <w:rFonts w:ascii="Times New Roman" w:hAnsi="Times New Roman" w:cs="Times New Roman"/>
                <w:sz w:val="15"/>
                <w:szCs w:val="15"/>
                <w:lang w:val="en-US"/>
              </w:rPr>
              <w:t>.954]*</w:t>
            </w:r>
            <w:r w:rsidR="003C3560" w:rsidRPr="00905499">
              <w:rPr>
                <w:rFonts w:ascii="Times New Roman" w:hAnsi="Times New Roman" w:cs="Times New Roman"/>
                <w:sz w:val="15"/>
                <w:szCs w:val="15"/>
                <w:lang w:val="en-US"/>
              </w:rPr>
              <w:t>**</w:t>
            </w:r>
          </w:p>
        </w:tc>
        <w:tc>
          <w:tcPr>
            <w:tcW w:w="1502" w:type="dxa"/>
            <w:gridSpan w:val="2"/>
            <w:vAlign w:val="center"/>
          </w:tcPr>
          <w:p w14:paraId="4810EC52" w14:textId="01DCF9A1" w:rsidR="00494949" w:rsidRPr="00905499" w:rsidRDefault="00511949"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.592[.238, .947]*</w:t>
            </w:r>
            <w:r w:rsidR="00681D07" w:rsidRPr="00905499">
              <w:rPr>
                <w:rFonts w:ascii="Times New Roman" w:hAnsi="Times New Roman" w:cs="Times New Roman"/>
                <w:sz w:val="15"/>
                <w:szCs w:val="15"/>
                <w:lang w:val="en-US"/>
              </w:rPr>
              <w:t>**</w:t>
            </w:r>
          </w:p>
        </w:tc>
      </w:tr>
      <w:tr w:rsidR="00494949" w:rsidRPr="00905499" w14:paraId="75E6B20F" w14:textId="77777777" w:rsidTr="00BD6210">
        <w:trPr>
          <w:trHeight w:val="244"/>
        </w:trPr>
        <w:tc>
          <w:tcPr>
            <w:tcW w:w="1242" w:type="dxa"/>
          </w:tcPr>
          <w:p w14:paraId="53773242" w14:textId="77777777" w:rsidR="00494949" w:rsidRPr="00905499" w:rsidRDefault="00494949" w:rsidP="00494949">
            <w:pPr>
              <w:ind w:left="142" w:hanging="142"/>
              <w:rPr>
                <w:sz w:val="15"/>
                <w:szCs w:val="15"/>
                <w:lang w:val="en-US"/>
              </w:rPr>
            </w:pPr>
            <w:r w:rsidRPr="00905499">
              <w:rPr>
                <w:rFonts w:ascii="Times New Roman" w:hAnsi="Times New Roman" w:cs="Times New Roman"/>
                <w:sz w:val="15"/>
                <w:szCs w:val="15"/>
                <w:lang w:val="en-US"/>
              </w:rPr>
              <w:t xml:space="preserve">    WA</w:t>
            </w:r>
          </w:p>
        </w:tc>
        <w:tc>
          <w:tcPr>
            <w:tcW w:w="1560" w:type="dxa"/>
            <w:vAlign w:val="center"/>
          </w:tcPr>
          <w:p w14:paraId="1ECFEDE3" w14:textId="6C349578" w:rsidR="00494949" w:rsidRPr="00905499" w:rsidRDefault="00494949"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.966[.663, 1.269]*</w:t>
            </w:r>
            <w:r w:rsidR="00BD6210" w:rsidRPr="00905499">
              <w:rPr>
                <w:rFonts w:ascii="Times New Roman" w:hAnsi="Times New Roman" w:cs="Times New Roman"/>
                <w:sz w:val="15"/>
                <w:szCs w:val="15"/>
                <w:lang w:val="en-US"/>
              </w:rPr>
              <w:t>**</w:t>
            </w:r>
          </w:p>
        </w:tc>
        <w:tc>
          <w:tcPr>
            <w:tcW w:w="1559" w:type="dxa"/>
            <w:vAlign w:val="center"/>
          </w:tcPr>
          <w:p w14:paraId="29E5E420" w14:textId="5934704C" w:rsidR="00494949" w:rsidRPr="00905499" w:rsidRDefault="00494949"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.96</w:t>
            </w:r>
            <w:r w:rsidR="00A04974" w:rsidRPr="00905499">
              <w:rPr>
                <w:rFonts w:ascii="Times New Roman" w:hAnsi="Times New Roman" w:cs="Times New Roman"/>
                <w:sz w:val="15"/>
                <w:szCs w:val="15"/>
                <w:lang w:val="en-US"/>
              </w:rPr>
              <w:t>4</w:t>
            </w:r>
            <w:r w:rsidRPr="00905499">
              <w:rPr>
                <w:rFonts w:ascii="Times New Roman" w:hAnsi="Times New Roman" w:cs="Times New Roman"/>
                <w:sz w:val="15"/>
                <w:szCs w:val="15"/>
                <w:lang w:val="en-US"/>
              </w:rPr>
              <w:t>[.</w:t>
            </w:r>
            <w:r w:rsidR="00A04974" w:rsidRPr="00905499">
              <w:rPr>
                <w:rFonts w:ascii="Times New Roman" w:hAnsi="Times New Roman" w:cs="Times New Roman"/>
                <w:sz w:val="15"/>
                <w:szCs w:val="15"/>
                <w:lang w:val="en-US"/>
              </w:rPr>
              <w:t>662</w:t>
            </w:r>
            <w:r w:rsidRPr="00905499">
              <w:rPr>
                <w:rFonts w:ascii="Times New Roman" w:hAnsi="Times New Roman" w:cs="Times New Roman"/>
                <w:sz w:val="15"/>
                <w:szCs w:val="15"/>
                <w:lang w:val="en-US"/>
              </w:rPr>
              <w:t>, 1.26</w:t>
            </w:r>
            <w:r w:rsidR="00A04974" w:rsidRPr="00905499">
              <w:rPr>
                <w:rFonts w:ascii="Times New Roman" w:hAnsi="Times New Roman" w:cs="Times New Roman"/>
                <w:sz w:val="15"/>
                <w:szCs w:val="15"/>
                <w:lang w:val="en-US"/>
              </w:rPr>
              <w:t>5</w:t>
            </w:r>
            <w:r w:rsidRPr="00905499">
              <w:rPr>
                <w:rFonts w:ascii="Times New Roman" w:hAnsi="Times New Roman" w:cs="Times New Roman"/>
                <w:sz w:val="15"/>
                <w:szCs w:val="15"/>
                <w:lang w:val="en-US"/>
              </w:rPr>
              <w:t>]*</w:t>
            </w:r>
            <w:r w:rsidR="00BD6210" w:rsidRPr="00905499">
              <w:rPr>
                <w:rFonts w:ascii="Times New Roman" w:hAnsi="Times New Roman" w:cs="Times New Roman"/>
                <w:sz w:val="15"/>
                <w:szCs w:val="15"/>
                <w:lang w:val="en-US"/>
              </w:rPr>
              <w:t>**</w:t>
            </w:r>
          </w:p>
        </w:tc>
        <w:tc>
          <w:tcPr>
            <w:tcW w:w="1502" w:type="dxa"/>
            <w:vAlign w:val="center"/>
          </w:tcPr>
          <w:p w14:paraId="736D5E1D" w14:textId="71D57DB5" w:rsidR="00494949" w:rsidRPr="00905499" w:rsidRDefault="00456E23"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.909[.604, 1.214]*</w:t>
            </w:r>
            <w:r w:rsidR="005F223C" w:rsidRPr="00905499">
              <w:rPr>
                <w:rFonts w:ascii="Times New Roman" w:hAnsi="Times New Roman" w:cs="Times New Roman"/>
                <w:sz w:val="15"/>
                <w:szCs w:val="15"/>
                <w:lang w:val="en-US"/>
              </w:rPr>
              <w:t>**</w:t>
            </w:r>
          </w:p>
        </w:tc>
        <w:tc>
          <w:tcPr>
            <w:tcW w:w="1497" w:type="dxa"/>
            <w:vAlign w:val="center"/>
          </w:tcPr>
          <w:p w14:paraId="45C06B1B" w14:textId="072DD85D" w:rsidR="00494949" w:rsidRPr="00905499" w:rsidRDefault="00456E23"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.903[.601, 1.206]*</w:t>
            </w:r>
            <w:r w:rsidR="00C33295" w:rsidRPr="00905499">
              <w:rPr>
                <w:rFonts w:ascii="Times New Roman" w:hAnsi="Times New Roman" w:cs="Times New Roman"/>
                <w:sz w:val="15"/>
                <w:szCs w:val="15"/>
                <w:lang w:val="en-US"/>
              </w:rPr>
              <w:t>**</w:t>
            </w:r>
          </w:p>
        </w:tc>
        <w:tc>
          <w:tcPr>
            <w:tcW w:w="1507" w:type="dxa"/>
            <w:vAlign w:val="center"/>
          </w:tcPr>
          <w:p w14:paraId="01D9CC4B" w14:textId="5BA983EA" w:rsidR="00494949" w:rsidRPr="00905499" w:rsidRDefault="00511949"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.910[.608, 1.212]*</w:t>
            </w:r>
            <w:r w:rsidR="003C3560" w:rsidRPr="00905499">
              <w:rPr>
                <w:rFonts w:ascii="Times New Roman" w:hAnsi="Times New Roman" w:cs="Times New Roman"/>
                <w:sz w:val="15"/>
                <w:szCs w:val="15"/>
                <w:lang w:val="en-US"/>
              </w:rPr>
              <w:t>**</w:t>
            </w:r>
          </w:p>
        </w:tc>
        <w:tc>
          <w:tcPr>
            <w:tcW w:w="1502" w:type="dxa"/>
            <w:gridSpan w:val="2"/>
            <w:vAlign w:val="center"/>
          </w:tcPr>
          <w:p w14:paraId="1B7F18CA" w14:textId="15614E83" w:rsidR="00494949" w:rsidRPr="00905499" w:rsidRDefault="00511949"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.906[.610, 1.203]*</w:t>
            </w:r>
            <w:r w:rsidR="00681D07" w:rsidRPr="00905499">
              <w:rPr>
                <w:rFonts w:ascii="Times New Roman" w:hAnsi="Times New Roman" w:cs="Times New Roman"/>
                <w:sz w:val="15"/>
                <w:szCs w:val="15"/>
                <w:lang w:val="en-US"/>
              </w:rPr>
              <w:t>**</w:t>
            </w:r>
          </w:p>
        </w:tc>
      </w:tr>
      <w:tr w:rsidR="00494949" w:rsidRPr="00905499" w14:paraId="5E87FAF7" w14:textId="77777777" w:rsidTr="00BD6210">
        <w:trPr>
          <w:trHeight w:val="244"/>
        </w:trPr>
        <w:tc>
          <w:tcPr>
            <w:tcW w:w="1242" w:type="dxa"/>
            <w:tcBorders>
              <w:bottom w:val="single" w:sz="4" w:space="0" w:color="auto"/>
            </w:tcBorders>
          </w:tcPr>
          <w:p w14:paraId="2E49CE87" w14:textId="77777777" w:rsidR="00494949" w:rsidRPr="00905499" w:rsidRDefault="00494949" w:rsidP="00494949">
            <w:pPr>
              <w:ind w:left="142" w:hanging="142"/>
              <w:rPr>
                <w:sz w:val="15"/>
                <w:szCs w:val="15"/>
                <w:lang w:val="en-US"/>
              </w:rPr>
            </w:pPr>
            <w:r w:rsidRPr="00905499">
              <w:rPr>
                <w:rFonts w:ascii="Times New Roman" w:hAnsi="Times New Roman" w:cs="Times New Roman"/>
                <w:sz w:val="15"/>
                <w:szCs w:val="15"/>
                <w:lang w:val="en-US"/>
              </w:rPr>
              <w:t xml:space="preserve">    NT</w:t>
            </w:r>
          </w:p>
        </w:tc>
        <w:tc>
          <w:tcPr>
            <w:tcW w:w="1560" w:type="dxa"/>
            <w:tcBorders>
              <w:bottom w:val="single" w:sz="4" w:space="0" w:color="auto"/>
            </w:tcBorders>
            <w:vAlign w:val="center"/>
          </w:tcPr>
          <w:p w14:paraId="6084EC3B" w14:textId="385701F9" w:rsidR="00494949" w:rsidRPr="00905499" w:rsidRDefault="00494949"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.562[.186, .939]*</w:t>
            </w:r>
            <w:r w:rsidR="00BD6210" w:rsidRPr="00905499">
              <w:rPr>
                <w:rFonts w:ascii="Times New Roman" w:hAnsi="Times New Roman" w:cs="Times New Roman"/>
                <w:sz w:val="15"/>
                <w:szCs w:val="15"/>
                <w:lang w:val="en-US"/>
              </w:rPr>
              <w:t>*</w:t>
            </w:r>
          </w:p>
        </w:tc>
        <w:tc>
          <w:tcPr>
            <w:tcW w:w="1559" w:type="dxa"/>
            <w:tcBorders>
              <w:bottom w:val="single" w:sz="4" w:space="0" w:color="auto"/>
            </w:tcBorders>
            <w:vAlign w:val="center"/>
          </w:tcPr>
          <w:p w14:paraId="66676F72" w14:textId="4BC4F7B7" w:rsidR="00494949" w:rsidRPr="00905499" w:rsidRDefault="00494949"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.5</w:t>
            </w:r>
            <w:r w:rsidR="00A04974" w:rsidRPr="00905499">
              <w:rPr>
                <w:rFonts w:ascii="Times New Roman" w:hAnsi="Times New Roman" w:cs="Times New Roman"/>
                <w:sz w:val="15"/>
                <w:szCs w:val="15"/>
                <w:lang w:val="en-US"/>
              </w:rPr>
              <w:t>49</w:t>
            </w:r>
            <w:r w:rsidRPr="00905499">
              <w:rPr>
                <w:rFonts w:ascii="Times New Roman" w:hAnsi="Times New Roman" w:cs="Times New Roman"/>
                <w:sz w:val="15"/>
                <w:szCs w:val="15"/>
                <w:lang w:val="en-US"/>
              </w:rPr>
              <w:t>[.1</w:t>
            </w:r>
            <w:r w:rsidR="00A04974" w:rsidRPr="00905499">
              <w:rPr>
                <w:rFonts w:ascii="Times New Roman" w:hAnsi="Times New Roman" w:cs="Times New Roman"/>
                <w:sz w:val="15"/>
                <w:szCs w:val="15"/>
                <w:lang w:val="en-US"/>
              </w:rPr>
              <w:t>73</w:t>
            </w:r>
            <w:r w:rsidRPr="00905499">
              <w:rPr>
                <w:rFonts w:ascii="Times New Roman" w:hAnsi="Times New Roman" w:cs="Times New Roman"/>
                <w:sz w:val="15"/>
                <w:szCs w:val="15"/>
                <w:lang w:val="en-US"/>
              </w:rPr>
              <w:t>, .9</w:t>
            </w:r>
            <w:r w:rsidR="00A04974" w:rsidRPr="00905499">
              <w:rPr>
                <w:rFonts w:ascii="Times New Roman" w:hAnsi="Times New Roman" w:cs="Times New Roman"/>
                <w:sz w:val="15"/>
                <w:szCs w:val="15"/>
                <w:lang w:val="en-US"/>
              </w:rPr>
              <w:t>26</w:t>
            </w:r>
            <w:r w:rsidRPr="00905499">
              <w:rPr>
                <w:rFonts w:ascii="Times New Roman" w:hAnsi="Times New Roman" w:cs="Times New Roman"/>
                <w:sz w:val="15"/>
                <w:szCs w:val="15"/>
                <w:lang w:val="en-US"/>
              </w:rPr>
              <w:t>]*</w:t>
            </w:r>
            <w:r w:rsidR="00BD6210" w:rsidRPr="00905499">
              <w:rPr>
                <w:rFonts w:ascii="Times New Roman" w:hAnsi="Times New Roman" w:cs="Times New Roman"/>
                <w:sz w:val="15"/>
                <w:szCs w:val="15"/>
                <w:lang w:val="en-US"/>
              </w:rPr>
              <w:t>*</w:t>
            </w:r>
          </w:p>
        </w:tc>
        <w:tc>
          <w:tcPr>
            <w:tcW w:w="1502" w:type="dxa"/>
            <w:tcBorders>
              <w:bottom w:val="single" w:sz="4" w:space="0" w:color="auto"/>
            </w:tcBorders>
            <w:vAlign w:val="center"/>
          </w:tcPr>
          <w:p w14:paraId="292B445A" w14:textId="26448F41" w:rsidR="00494949" w:rsidRPr="00905499" w:rsidRDefault="00456E23"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.511[.131, .892]*</w:t>
            </w:r>
            <w:r w:rsidR="005F223C" w:rsidRPr="00905499">
              <w:rPr>
                <w:rFonts w:ascii="Times New Roman" w:hAnsi="Times New Roman" w:cs="Times New Roman"/>
                <w:sz w:val="15"/>
                <w:szCs w:val="15"/>
                <w:lang w:val="en-US"/>
              </w:rPr>
              <w:t>*</w:t>
            </w:r>
          </w:p>
        </w:tc>
        <w:tc>
          <w:tcPr>
            <w:tcW w:w="1497" w:type="dxa"/>
            <w:tcBorders>
              <w:bottom w:val="single" w:sz="4" w:space="0" w:color="auto"/>
            </w:tcBorders>
            <w:vAlign w:val="center"/>
          </w:tcPr>
          <w:p w14:paraId="7BEA05A9" w14:textId="04D22D79" w:rsidR="00494949" w:rsidRPr="00905499" w:rsidRDefault="00456E23"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.506[.127, .886]*</w:t>
            </w:r>
            <w:r w:rsidR="00C33295" w:rsidRPr="00905499">
              <w:rPr>
                <w:rFonts w:ascii="Times New Roman" w:hAnsi="Times New Roman" w:cs="Times New Roman"/>
                <w:sz w:val="15"/>
                <w:szCs w:val="15"/>
                <w:lang w:val="en-US"/>
              </w:rPr>
              <w:t>*</w:t>
            </w:r>
          </w:p>
        </w:tc>
        <w:tc>
          <w:tcPr>
            <w:tcW w:w="1507" w:type="dxa"/>
            <w:tcBorders>
              <w:bottom w:val="single" w:sz="4" w:space="0" w:color="auto"/>
            </w:tcBorders>
            <w:vAlign w:val="center"/>
          </w:tcPr>
          <w:p w14:paraId="5BE823D9" w14:textId="11368EE3" w:rsidR="00494949" w:rsidRPr="00905499" w:rsidRDefault="00511949"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.511[.131, .892]*</w:t>
            </w:r>
            <w:r w:rsidR="003C3560" w:rsidRPr="00905499">
              <w:rPr>
                <w:rFonts w:ascii="Times New Roman" w:hAnsi="Times New Roman" w:cs="Times New Roman"/>
                <w:sz w:val="15"/>
                <w:szCs w:val="15"/>
                <w:lang w:val="en-US"/>
              </w:rPr>
              <w:t>*</w:t>
            </w:r>
          </w:p>
        </w:tc>
        <w:tc>
          <w:tcPr>
            <w:tcW w:w="1502" w:type="dxa"/>
            <w:gridSpan w:val="2"/>
            <w:tcBorders>
              <w:bottom w:val="single" w:sz="4" w:space="0" w:color="auto"/>
            </w:tcBorders>
            <w:vAlign w:val="center"/>
          </w:tcPr>
          <w:p w14:paraId="73B4149F" w14:textId="510DB3D5" w:rsidR="00494949" w:rsidRPr="00905499" w:rsidRDefault="00511949" w:rsidP="00A04974">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.506[.127, .886]*</w:t>
            </w:r>
            <w:r w:rsidR="00681D07" w:rsidRPr="00905499">
              <w:rPr>
                <w:rFonts w:ascii="Times New Roman" w:hAnsi="Times New Roman" w:cs="Times New Roman"/>
                <w:sz w:val="15"/>
                <w:szCs w:val="15"/>
                <w:lang w:val="en-US"/>
              </w:rPr>
              <w:t>*</w:t>
            </w:r>
          </w:p>
        </w:tc>
      </w:tr>
    </w:tbl>
    <w:p w14:paraId="0B10ADE8" w14:textId="41BFA571" w:rsidR="00CE0791" w:rsidRPr="00905499" w:rsidRDefault="00904DAF" w:rsidP="00F608B4">
      <w:pPr>
        <w:rPr>
          <w:sz w:val="20"/>
          <w:szCs w:val="20"/>
          <w:lang w:val="en-US"/>
        </w:rPr>
      </w:pPr>
      <w:r w:rsidRPr="00905499">
        <w:rPr>
          <w:i/>
          <w:sz w:val="20"/>
          <w:szCs w:val="20"/>
          <w:lang w:val="en-US"/>
        </w:rPr>
        <w:t xml:space="preserve">Notes. </w:t>
      </w:r>
      <w:r w:rsidR="00922026" w:rsidRPr="00905499">
        <w:rPr>
          <w:b/>
          <w:sz w:val="20"/>
          <w:szCs w:val="20"/>
          <w:vertAlign w:val="superscript"/>
          <w:lang w:val="en-US"/>
        </w:rPr>
        <w:t>1</w:t>
      </w:r>
      <w:r w:rsidR="00922026" w:rsidRPr="00905499">
        <w:rPr>
          <w:sz w:val="20"/>
          <w:szCs w:val="20"/>
          <w:lang w:val="en-US"/>
        </w:rPr>
        <w:t>The Australian Capital [ACT] is used as the reference group for state of residence.</w:t>
      </w:r>
      <w:r w:rsidRPr="00905499">
        <w:rPr>
          <w:sz w:val="20"/>
          <w:szCs w:val="20"/>
          <w:lang w:val="en-US"/>
        </w:rPr>
        <w:t xml:space="preserve"> IEO is the Australian Bureau of Statistics index of educational and occupational level. It has an Australian mean of 1000.</w:t>
      </w:r>
      <w:r w:rsidR="00064F2D" w:rsidRPr="00064F2D">
        <w:rPr>
          <w:sz w:val="20"/>
          <w:szCs w:val="20"/>
          <w:lang w:val="en-US"/>
        </w:rPr>
        <w:t xml:space="preserve"> </w:t>
      </w:r>
      <w:r w:rsidR="00064F2D" w:rsidRPr="00905499">
        <w:rPr>
          <w:sz w:val="20"/>
          <w:szCs w:val="20"/>
          <w:lang w:val="en-US"/>
        </w:rPr>
        <w:t xml:space="preserve">* </w:t>
      </w:r>
      <w:proofErr w:type="gramStart"/>
      <w:r w:rsidR="00064F2D" w:rsidRPr="00905499">
        <w:rPr>
          <w:i/>
          <w:sz w:val="20"/>
          <w:szCs w:val="20"/>
          <w:lang w:val="en-US"/>
        </w:rPr>
        <w:t>p</w:t>
      </w:r>
      <w:proofErr w:type="gramEnd"/>
      <w:r w:rsidR="00064F2D" w:rsidRPr="00905499">
        <w:rPr>
          <w:sz w:val="20"/>
          <w:szCs w:val="20"/>
          <w:lang w:val="en-US"/>
        </w:rPr>
        <w:t xml:space="preserve"> &lt; .05; ** </w:t>
      </w:r>
      <w:r w:rsidR="00064F2D" w:rsidRPr="00905499">
        <w:rPr>
          <w:i/>
          <w:sz w:val="20"/>
          <w:szCs w:val="20"/>
          <w:lang w:val="en-US"/>
        </w:rPr>
        <w:t>p</w:t>
      </w:r>
      <w:r w:rsidR="00064F2D" w:rsidRPr="00905499">
        <w:rPr>
          <w:sz w:val="20"/>
          <w:szCs w:val="20"/>
          <w:lang w:val="en-US"/>
        </w:rPr>
        <w:t xml:space="preserve"> &lt; .01; *** </w:t>
      </w:r>
      <w:r w:rsidR="00064F2D" w:rsidRPr="00905499">
        <w:rPr>
          <w:i/>
          <w:sz w:val="20"/>
          <w:szCs w:val="20"/>
          <w:lang w:val="en-US"/>
        </w:rPr>
        <w:t>p</w:t>
      </w:r>
      <w:r w:rsidR="00064F2D" w:rsidRPr="00905499">
        <w:rPr>
          <w:sz w:val="20"/>
          <w:szCs w:val="20"/>
          <w:lang w:val="en-US"/>
        </w:rPr>
        <w:t xml:space="preserve"> &lt;.001.</w:t>
      </w:r>
    </w:p>
    <w:p w14:paraId="19EC50AF" w14:textId="77777777" w:rsidR="00CE0791" w:rsidRPr="00905499" w:rsidRDefault="00CE0791" w:rsidP="00F608B4">
      <w:pPr>
        <w:rPr>
          <w:b/>
          <w:lang w:val="en-US"/>
        </w:rPr>
      </w:pPr>
    </w:p>
    <w:p w14:paraId="5E9C8DE9" w14:textId="77777777" w:rsidR="00C33FA4" w:rsidRPr="00905499" w:rsidRDefault="00C33FA4" w:rsidP="00F608B4">
      <w:pPr>
        <w:rPr>
          <w:b/>
          <w:lang w:val="en-US"/>
        </w:rPr>
      </w:pPr>
      <w:r w:rsidRPr="00905499">
        <w:rPr>
          <w:b/>
          <w:lang w:val="en-US"/>
        </w:rPr>
        <w:br w:type="page"/>
      </w:r>
    </w:p>
    <w:p w14:paraId="0F122218" w14:textId="5040BCEC" w:rsidR="00F608B4" w:rsidRPr="00905499" w:rsidRDefault="00F608B4" w:rsidP="00F608B4">
      <w:pPr>
        <w:rPr>
          <w:b/>
          <w:lang w:val="en-US"/>
        </w:rPr>
      </w:pPr>
      <w:r w:rsidRPr="00905499">
        <w:rPr>
          <w:b/>
          <w:lang w:val="en-US"/>
        </w:rPr>
        <w:lastRenderedPageBreak/>
        <w:t xml:space="preserve">Table </w:t>
      </w:r>
      <w:r w:rsidR="00922026" w:rsidRPr="00905499">
        <w:rPr>
          <w:b/>
          <w:lang w:val="en-US"/>
        </w:rPr>
        <w:t>6</w:t>
      </w:r>
    </w:p>
    <w:p w14:paraId="45B2B089" w14:textId="64772D4A" w:rsidR="00F608B4" w:rsidRPr="00905499" w:rsidRDefault="00F608B4" w:rsidP="00F608B4">
      <w:pPr>
        <w:rPr>
          <w:lang w:val="en-US"/>
        </w:rPr>
      </w:pPr>
      <w:r w:rsidRPr="00905499">
        <w:rPr>
          <w:lang w:val="en-US"/>
        </w:rPr>
        <w:t>Log Odd Estimates of the Effect of Proximity on Elite University Entry</w:t>
      </w:r>
    </w:p>
    <w:tbl>
      <w:tblPr>
        <w:tblStyle w:val="TableGrid"/>
        <w:tblpPr w:leftFromText="180" w:rightFromText="180" w:vertAnchor="text" w:tblpX="-1313" w:tblpY="1"/>
        <w:tblOverlap w:val="never"/>
        <w:tblW w:w="11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1523"/>
        <w:gridCol w:w="1523"/>
        <w:gridCol w:w="1677"/>
        <w:gridCol w:w="1701"/>
        <w:gridCol w:w="1701"/>
        <w:gridCol w:w="1439"/>
        <w:gridCol w:w="262"/>
      </w:tblGrid>
      <w:tr w:rsidR="0005370B" w:rsidRPr="00905499" w14:paraId="7411C9B5" w14:textId="77777777" w:rsidTr="001E1B19">
        <w:trPr>
          <w:trHeight w:val="471"/>
        </w:trPr>
        <w:tc>
          <w:tcPr>
            <w:tcW w:w="1339" w:type="dxa"/>
            <w:vMerge w:val="restart"/>
            <w:tcBorders>
              <w:top w:val="single" w:sz="12" w:space="0" w:color="auto"/>
            </w:tcBorders>
          </w:tcPr>
          <w:p w14:paraId="48EFB00A" w14:textId="77777777" w:rsidR="0005370B" w:rsidRPr="00905499" w:rsidRDefault="0005370B" w:rsidP="00B91CC9">
            <w:pPr>
              <w:ind w:left="142" w:hanging="142"/>
              <w:rPr>
                <w:rFonts w:ascii="Times New Roman" w:hAnsi="Times New Roman" w:cs="Times New Roman"/>
                <w:sz w:val="16"/>
                <w:szCs w:val="16"/>
                <w:lang w:val="en-US"/>
              </w:rPr>
            </w:pPr>
          </w:p>
        </w:tc>
        <w:tc>
          <w:tcPr>
            <w:tcW w:w="3046" w:type="dxa"/>
            <w:gridSpan w:val="2"/>
            <w:tcBorders>
              <w:top w:val="single" w:sz="12" w:space="0" w:color="auto"/>
              <w:bottom w:val="single" w:sz="6" w:space="0" w:color="auto"/>
            </w:tcBorders>
            <w:vAlign w:val="center"/>
          </w:tcPr>
          <w:p w14:paraId="2E415DB4" w14:textId="77777777" w:rsidR="0005370B" w:rsidRPr="00905499" w:rsidRDefault="0005370B" w:rsidP="00B91CC9">
            <w:pPr>
              <w:ind w:left="142" w:hanging="142"/>
              <w:jc w:val="center"/>
              <w:rPr>
                <w:rFonts w:ascii="Times New Roman" w:hAnsi="Times New Roman" w:cs="Times New Roman"/>
                <w:sz w:val="16"/>
                <w:szCs w:val="16"/>
                <w:lang w:val="en-US"/>
              </w:rPr>
            </w:pPr>
            <w:r w:rsidRPr="00905499">
              <w:rPr>
                <w:rFonts w:ascii="Times New Roman" w:hAnsi="Times New Roman" w:cs="Times New Roman"/>
                <w:sz w:val="16"/>
                <w:szCs w:val="16"/>
                <w:lang w:val="en-US"/>
              </w:rPr>
              <w:t>At least one campus</w:t>
            </w:r>
          </w:p>
        </w:tc>
        <w:tc>
          <w:tcPr>
            <w:tcW w:w="3378" w:type="dxa"/>
            <w:gridSpan w:val="2"/>
            <w:tcBorders>
              <w:top w:val="single" w:sz="12" w:space="0" w:color="auto"/>
              <w:bottom w:val="single" w:sz="6" w:space="0" w:color="auto"/>
            </w:tcBorders>
            <w:vAlign w:val="center"/>
          </w:tcPr>
          <w:p w14:paraId="1CB495B7" w14:textId="77777777" w:rsidR="0005370B" w:rsidRPr="00905499" w:rsidRDefault="0005370B" w:rsidP="00B91CC9">
            <w:pPr>
              <w:ind w:left="142" w:hanging="142"/>
              <w:jc w:val="center"/>
              <w:rPr>
                <w:rFonts w:ascii="Times New Roman" w:hAnsi="Times New Roman" w:cs="Times New Roman"/>
                <w:sz w:val="16"/>
                <w:szCs w:val="16"/>
                <w:lang w:val="en-US"/>
              </w:rPr>
            </w:pPr>
            <w:r w:rsidRPr="00905499">
              <w:rPr>
                <w:rFonts w:ascii="Times New Roman" w:hAnsi="Times New Roman" w:cs="Times New Roman"/>
                <w:sz w:val="16"/>
                <w:szCs w:val="16"/>
                <w:lang w:val="en-US"/>
              </w:rPr>
              <w:t>Number of Campuses</w:t>
            </w:r>
          </w:p>
        </w:tc>
        <w:tc>
          <w:tcPr>
            <w:tcW w:w="3402" w:type="dxa"/>
            <w:gridSpan w:val="3"/>
            <w:tcBorders>
              <w:top w:val="single" w:sz="12" w:space="0" w:color="auto"/>
              <w:bottom w:val="single" w:sz="6" w:space="0" w:color="auto"/>
            </w:tcBorders>
            <w:vAlign w:val="center"/>
          </w:tcPr>
          <w:p w14:paraId="56E0405B" w14:textId="77777777" w:rsidR="0005370B" w:rsidRPr="00905499" w:rsidRDefault="0005370B" w:rsidP="00B91CC9">
            <w:pPr>
              <w:ind w:left="142" w:hanging="142"/>
              <w:jc w:val="center"/>
              <w:rPr>
                <w:rFonts w:ascii="Times New Roman" w:hAnsi="Times New Roman" w:cs="Times New Roman"/>
                <w:sz w:val="16"/>
                <w:szCs w:val="16"/>
                <w:lang w:val="en-US"/>
              </w:rPr>
            </w:pPr>
            <w:r w:rsidRPr="00905499">
              <w:rPr>
                <w:rFonts w:ascii="Times New Roman" w:hAnsi="Times New Roman" w:cs="Times New Roman"/>
                <w:sz w:val="16"/>
                <w:szCs w:val="16"/>
                <w:lang w:val="en-US"/>
              </w:rPr>
              <w:t>Number of Campuses: Polynomial</w:t>
            </w:r>
          </w:p>
        </w:tc>
      </w:tr>
      <w:tr w:rsidR="0005370B" w:rsidRPr="00905499" w14:paraId="2D6605CE" w14:textId="77777777" w:rsidTr="001E1B19">
        <w:trPr>
          <w:trHeight w:val="227"/>
        </w:trPr>
        <w:tc>
          <w:tcPr>
            <w:tcW w:w="1339" w:type="dxa"/>
            <w:vMerge/>
            <w:tcBorders>
              <w:bottom w:val="single" w:sz="4" w:space="0" w:color="auto"/>
            </w:tcBorders>
          </w:tcPr>
          <w:p w14:paraId="69741F1C" w14:textId="77777777" w:rsidR="0005370B" w:rsidRPr="00905499" w:rsidRDefault="0005370B" w:rsidP="00B91CC9">
            <w:pPr>
              <w:ind w:left="142" w:hanging="142"/>
              <w:rPr>
                <w:sz w:val="16"/>
                <w:szCs w:val="16"/>
                <w:lang w:val="en-US"/>
              </w:rPr>
            </w:pPr>
          </w:p>
        </w:tc>
        <w:tc>
          <w:tcPr>
            <w:tcW w:w="1523" w:type="dxa"/>
            <w:tcBorders>
              <w:bottom w:val="single" w:sz="4" w:space="0" w:color="auto"/>
            </w:tcBorders>
            <w:vAlign w:val="center"/>
          </w:tcPr>
          <w:p w14:paraId="26DA66D7" w14:textId="77777777" w:rsidR="0005370B" w:rsidRPr="00905499" w:rsidRDefault="0005370B" w:rsidP="00B91CC9">
            <w:pPr>
              <w:ind w:left="142" w:hanging="142"/>
              <w:rPr>
                <w:rFonts w:ascii="Times New Roman" w:hAnsi="Times New Roman" w:cs="Times New Roman"/>
                <w:sz w:val="16"/>
                <w:szCs w:val="16"/>
                <w:lang w:val="en-US"/>
              </w:rPr>
            </w:pPr>
            <w:r w:rsidRPr="00905499">
              <w:rPr>
                <w:rFonts w:ascii="Times New Roman" w:hAnsi="Times New Roman" w:cs="Times New Roman"/>
                <w:sz w:val="16"/>
                <w:szCs w:val="16"/>
                <w:lang w:val="en-US"/>
              </w:rPr>
              <w:t>Model 1</w:t>
            </w:r>
          </w:p>
        </w:tc>
        <w:tc>
          <w:tcPr>
            <w:tcW w:w="1523" w:type="dxa"/>
            <w:tcBorders>
              <w:bottom w:val="single" w:sz="4" w:space="0" w:color="auto"/>
            </w:tcBorders>
            <w:vAlign w:val="center"/>
          </w:tcPr>
          <w:p w14:paraId="23A80EA3" w14:textId="77777777" w:rsidR="0005370B" w:rsidRPr="00905499" w:rsidRDefault="0005370B" w:rsidP="00B91CC9">
            <w:pPr>
              <w:ind w:left="142" w:hanging="142"/>
              <w:rPr>
                <w:rFonts w:ascii="Times New Roman" w:hAnsi="Times New Roman" w:cs="Times New Roman"/>
                <w:sz w:val="16"/>
                <w:szCs w:val="16"/>
                <w:lang w:val="en-US"/>
              </w:rPr>
            </w:pPr>
            <w:r w:rsidRPr="00905499">
              <w:rPr>
                <w:rFonts w:ascii="Times New Roman" w:hAnsi="Times New Roman" w:cs="Times New Roman"/>
                <w:sz w:val="16"/>
                <w:szCs w:val="16"/>
                <w:lang w:val="en-US"/>
              </w:rPr>
              <w:t>Model 2</w:t>
            </w:r>
          </w:p>
        </w:tc>
        <w:tc>
          <w:tcPr>
            <w:tcW w:w="1677" w:type="dxa"/>
            <w:tcBorders>
              <w:bottom w:val="single" w:sz="4" w:space="0" w:color="auto"/>
            </w:tcBorders>
            <w:vAlign w:val="center"/>
          </w:tcPr>
          <w:p w14:paraId="01465677" w14:textId="77777777" w:rsidR="0005370B" w:rsidRPr="00905499" w:rsidRDefault="0005370B" w:rsidP="00B91CC9">
            <w:pPr>
              <w:ind w:left="142" w:hanging="142"/>
              <w:rPr>
                <w:rFonts w:ascii="Times New Roman" w:hAnsi="Times New Roman" w:cs="Times New Roman"/>
                <w:sz w:val="16"/>
                <w:szCs w:val="16"/>
                <w:lang w:val="en-US"/>
              </w:rPr>
            </w:pPr>
            <w:r w:rsidRPr="00905499">
              <w:rPr>
                <w:rFonts w:ascii="Times New Roman" w:hAnsi="Times New Roman" w:cs="Times New Roman"/>
                <w:sz w:val="16"/>
                <w:szCs w:val="16"/>
                <w:lang w:val="en-US"/>
              </w:rPr>
              <w:t>Model 1</w:t>
            </w:r>
          </w:p>
        </w:tc>
        <w:tc>
          <w:tcPr>
            <w:tcW w:w="1701" w:type="dxa"/>
            <w:tcBorders>
              <w:bottom w:val="single" w:sz="4" w:space="0" w:color="auto"/>
            </w:tcBorders>
            <w:vAlign w:val="center"/>
          </w:tcPr>
          <w:p w14:paraId="026FBF24" w14:textId="77777777" w:rsidR="0005370B" w:rsidRPr="00905499" w:rsidRDefault="0005370B" w:rsidP="00B91CC9">
            <w:pPr>
              <w:ind w:left="142" w:hanging="142"/>
              <w:rPr>
                <w:rFonts w:ascii="Times New Roman" w:hAnsi="Times New Roman" w:cs="Times New Roman"/>
                <w:sz w:val="16"/>
                <w:szCs w:val="16"/>
                <w:lang w:val="en-US"/>
              </w:rPr>
            </w:pPr>
            <w:r w:rsidRPr="00905499">
              <w:rPr>
                <w:rFonts w:ascii="Times New Roman" w:hAnsi="Times New Roman" w:cs="Times New Roman"/>
                <w:sz w:val="16"/>
                <w:szCs w:val="16"/>
                <w:lang w:val="en-US"/>
              </w:rPr>
              <w:t>Model 2</w:t>
            </w:r>
          </w:p>
        </w:tc>
        <w:tc>
          <w:tcPr>
            <w:tcW w:w="1701" w:type="dxa"/>
            <w:tcBorders>
              <w:bottom w:val="single" w:sz="4" w:space="0" w:color="auto"/>
            </w:tcBorders>
            <w:vAlign w:val="center"/>
          </w:tcPr>
          <w:p w14:paraId="14048C7E" w14:textId="77777777" w:rsidR="0005370B" w:rsidRPr="00905499" w:rsidRDefault="0005370B" w:rsidP="00B91CC9">
            <w:pPr>
              <w:ind w:left="142" w:hanging="142"/>
              <w:rPr>
                <w:rFonts w:ascii="Times New Roman" w:hAnsi="Times New Roman" w:cs="Times New Roman"/>
                <w:sz w:val="16"/>
                <w:szCs w:val="16"/>
                <w:lang w:val="en-US"/>
              </w:rPr>
            </w:pPr>
            <w:r w:rsidRPr="00905499">
              <w:rPr>
                <w:rFonts w:ascii="Times New Roman" w:hAnsi="Times New Roman" w:cs="Times New Roman"/>
                <w:sz w:val="16"/>
                <w:szCs w:val="16"/>
                <w:lang w:val="en-US"/>
              </w:rPr>
              <w:t>Model 1</w:t>
            </w:r>
          </w:p>
        </w:tc>
        <w:tc>
          <w:tcPr>
            <w:tcW w:w="1701" w:type="dxa"/>
            <w:gridSpan w:val="2"/>
            <w:tcBorders>
              <w:bottom w:val="single" w:sz="4" w:space="0" w:color="auto"/>
            </w:tcBorders>
            <w:vAlign w:val="center"/>
          </w:tcPr>
          <w:p w14:paraId="0D8E7688" w14:textId="77777777" w:rsidR="0005370B" w:rsidRPr="00905499" w:rsidRDefault="0005370B" w:rsidP="00B91CC9">
            <w:pPr>
              <w:ind w:left="142" w:hanging="142"/>
              <w:rPr>
                <w:rFonts w:ascii="Times New Roman" w:hAnsi="Times New Roman" w:cs="Times New Roman"/>
                <w:sz w:val="16"/>
                <w:szCs w:val="16"/>
                <w:lang w:val="en-US"/>
              </w:rPr>
            </w:pPr>
            <w:r w:rsidRPr="00905499">
              <w:rPr>
                <w:rFonts w:ascii="Times New Roman" w:hAnsi="Times New Roman" w:cs="Times New Roman"/>
                <w:sz w:val="16"/>
                <w:szCs w:val="16"/>
                <w:lang w:val="en-US"/>
              </w:rPr>
              <w:t>Model 2</w:t>
            </w:r>
          </w:p>
        </w:tc>
      </w:tr>
      <w:tr w:rsidR="0005370B" w:rsidRPr="00905499" w14:paraId="32199AED" w14:textId="77777777" w:rsidTr="001E1B19">
        <w:trPr>
          <w:trHeight w:val="227"/>
        </w:trPr>
        <w:tc>
          <w:tcPr>
            <w:tcW w:w="1339" w:type="dxa"/>
            <w:tcBorders>
              <w:top w:val="single" w:sz="4" w:space="0" w:color="auto"/>
            </w:tcBorders>
          </w:tcPr>
          <w:p w14:paraId="3DF9691E" w14:textId="77777777" w:rsidR="0005370B" w:rsidRPr="00905499" w:rsidRDefault="0005370B" w:rsidP="0005370B">
            <w:pPr>
              <w:ind w:left="142" w:hanging="142"/>
              <w:rPr>
                <w:rFonts w:ascii="Times New Roman" w:hAnsi="Times New Roman" w:cs="Times New Roman"/>
                <w:sz w:val="16"/>
                <w:szCs w:val="16"/>
                <w:lang w:val="en-US"/>
              </w:rPr>
            </w:pPr>
            <w:r w:rsidRPr="00905499">
              <w:rPr>
                <w:sz w:val="16"/>
                <w:szCs w:val="16"/>
                <w:lang w:val="en-US"/>
              </w:rPr>
              <w:t>Distance</w:t>
            </w:r>
          </w:p>
        </w:tc>
        <w:tc>
          <w:tcPr>
            <w:tcW w:w="1523" w:type="dxa"/>
            <w:tcBorders>
              <w:top w:val="single" w:sz="4" w:space="0" w:color="auto"/>
            </w:tcBorders>
            <w:vAlign w:val="center"/>
          </w:tcPr>
          <w:p w14:paraId="24428BB7" w14:textId="10D0AA15" w:rsidR="0005370B" w:rsidRPr="00905499" w:rsidRDefault="0005370B" w:rsidP="0005370B">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.652[.394, .909]*</w:t>
            </w:r>
            <w:r w:rsidR="006B4AF6" w:rsidRPr="00905499">
              <w:rPr>
                <w:rFonts w:ascii="Times New Roman" w:hAnsi="Times New Roman" w:cs="Times New Roman"/>
                <w:sz w:val="15"/>
                <w:szCs w:val="15"/>
                <w:lang w:val="en-US"/>
              </w:rPr>
              <w:t>**</w:t>
            </w:r>
          </w:p>
        </w:tc>
        <w:tc>
          <w:tcPr>
            <w:tcW w:w="1523" w:type="dxa"/>
            <w:tcBorders>
              <w:top w:val="single" w:sz="4" w:space="0" w:color="auto"/>
            </w:tcBorders>
            <w:vAlign w:val="bottom"/>
          </w:tcPr>
          <w:p w14:paraId="27F6A52D" w14:textId="69B3FB88" w:rsidR="0005370B" w:rsidRPr="00905499" w:rsidRDefault="0005370B" w:rsidP="0005370B">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.640[.385,</w:t>
            </w:r>
            <w:r w:rsidR="007E7EBE" w:rsidRPr="00905499">
              <w:rPr>
                <w:rFonts w:ascii="Times New Roman" w:hAnsi="Times New Roman" w:cs="Times New Roman"/>
                <w:sz w:val="15"/>
                <w:szCs w:val="15"/>
                <w:lang w:val="en-US"/>
              </w:rPr>
              <w:t xml:space="preserve"> </w:t>
            </w:r>
            <w:r w:rsidRPr="00905499">
              <w:rPr>
                <w:rFonts w:ascii="Times New Roman" w:hAnsi="Times New Roman" w:cs="Times New Roman"/>
                <w:sz w:val="15"/>
                <w:szCs w:val="15"/>
                <w:lang w:val="en-US"/>
              </w:rPr>
              <w:t>.896]*</w:t>
            </w:r>
            <w:r w:rsidR="006B4AF6" w:rsidRPr="00905499">
              <w:rPr>
                <w:rFonts w:ascii="Times New Roman" w:hAnsi="Times New Roman" w:cs="Times New Roman"/>
                <w:sz w:val="15"/>
                <w:szCs w:val="15"/>
                <w:lang w:val="en-US"/>
              </w:rPr>
              <w:t>**</w:t>
            </w:r>
          </w:p>
        </w:tc>
        <w:tc>
          <w:tcPr>
            <w:tcW w:w="1677" w:type="dxa"/>
            <w:tcBorders>
              <w:top w:val="single" w:sz="4" w:space="0" w:color="auto"/>
            </w:tcBorders>
            <w:vAlign w:val="center"/>
          </w:tcPr>
          <w:p w14:paraId="3C2B83F1" w14:textId="27D7B1D0" w:rsidR="0005370B" w:rsidRPr="00905499" w:rsidRDefault="0005370B" w:rsidP="0005370B">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.143[.090, .196]*</w:t>
            </w:r>
            <w:r w:rsidR="00862B20" w:rsidRPr="00905499">
              <w:rPr>
                <w:rFonts w:ascii="Times New Roman" w:hAnsi="Times New Roman" w:cs="Times New Roman"/>
                <w:sz w:val="15"/>
                <w:szCs w:val="15"/>
                <w:lang w:val="en-US"/>
              </w:rPr>
              <w:t>**</w:t>
            </w:r>
          </w:p>
        </w:tc>
        <w:tc>
          <w:tcPr>
            <w:tcW w:w="1701" w:type="dxa"/>
            <w:tcBorders>
              <w:top w:val="single" w:sz="4" w:space="0" w:color="auto"/>
            </w:tcBorders>
            <w:vAlign w:val="bottom"/>
          </w:tcPr>
          <w:p w14:paraId="6C719129" w14:textId="120595F8" w:rsidR="0005370B" w:rsidRPr="00905499" w:rsidRDefault="0005370B" w:rsidP="0005370B">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.141[.088,</w:t>
            </w:r>
            <w:r w:rsidR="007E7EBE" w:rsidRPr="00905499">
              <w:rPr>
                <w:rFonts w:ascii="Times New Roman" w:hAnsi="Times New Roman" w:cs="Times New Roman"/>
                <w:sz w:val="15"/>
                <w:szCs w:val="15"/>
                <w:lang w:val="en-US"/>
              </w:rPr>
              <w:t xml:space="preserve"> </w:t>
            </w:r>
            <w:r w:rsidRPr="00905499">
              <w:rPr>
                <w:rFonts w:ascii="Times New Roman" w:hAnsi="Times New Roman" w:cs="Times New Roman"/>
                <w:sz w:val="15"/>
                <w:szCs w:val="15"/>
                <w:lang w:val="en-US"/>
              </w:rPr>
              <w:t>.194]*</w:t>
            </w:r>
            <w:r w:rsidR="00862B20" w:rsidRPr="00905499">
              <w:rPr>
                <w:rFonts w:ascii="Times New Roman" w:hAnsi="Times New Roman" w:cs="Times New Roman"/>
                <w:sz w:val="15"/>
                <w:szCs w:val="15"/>
                <w:lang w:val="en-US"/>
              </w:rPr>
              <w:t>**</w:t>
            </w:r>
          </w:p>
        </w:tc>
        <w:tc>
          <w:tcPr>
            <w:tcW w:w="1701" w:type="dxa"/>
            <w:tcBorders>
              <w:top w:val="single" w:sz="4" w:space="0" w:color="auto"/>
            </w:tcBorders>
            <w:vAlign w:val="center"/>
          </w:tcPr>
          <w:p w14:paraId="5BDABF37" w14:textId="57254D77" w:rsidR="0005370B" w:rsidRPr="00905499" w:rsidRDefault="0005370B" w:rsidP="0005370B">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.299[.143, .454]*</w:t>
            </w:r>
            <w:r w:rsidR="00520131" w:rsidRPr="00905499">
              <w:rPr>
                <w:rFonts w:ascii="Times New Roman" w:hAnsi="Times New Roman" w:cs="Times New Roman"/>
                <w:sz w:val="15"/>
                <w:szCs w:val="15"/>
                <w:lang w:val="en-US"/>
              </w:rPr>
              <w:t>**</w:t>
            </w:r>
          </w:p>
        </w:tc>
        <w:tc>
          <w:tcPr>
            <w:tcW w:w="1701" w:type="dxa"/>
            <w:gridSpan w:val="2"/>
            <w:tcBorders>
              <w:top w:val="single" w:sz="4" w:space="0" w:color="auto"/>
            </w:tcBorders>
          </w:tcPr>
          <w:p w14:paraId="71E67B6B" w14:textId="4DE6720F" w:rsidR="0005370B" w:rsidRPr="00905499" w:rsidRDefault="0005370B" w:rsidP="00505532">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.300[.144,</w:t>
            </w:r>
            <w:r w:rsidR="00505532" w:rsidRPr="00905499">
              <w:rPr>
                <w:rFonts w:ascii="Times New Roman" w:hAnsi="Times New Roman" w:cs="Times New Roman"/>
                <w:sz w:val="15"/>
                <w:szCs w:val="15"/>
                <w:lang w:val="en-US"/>
              </w:rPr>
              <w:t xml:space="preserve"> </w:t>
            </w:r>
            <w:r w:rsidRPr="00905499">
              <w:rPr>
                <w:rFonts w:ascii="Times New Roman" w:hAnsi="Times New Roman" w:cs="Times New Roman"/>
                <w:sz w:val="15"/>
                <w:szCs w:val="15"/>
                <w:lang w:val="en-US"/>
              </w:rPr>
              <w:t>455]*</w:t>
            </w:r>
            <w:r w:rsidR="001E1B19" w:rsidRPr="00905499">
              <w:rPr>
                <w:rFonts w:ascii="Times New Roman" w:hAnsi="Times New Roman" w:cs="Times New Roman"/>
                <w:sz w:val="15"/>
                <w:szCs w:val="15"/>
                <w:lang w:val="en-US"/>
              </w:rPr>
              <w:t>**</w:t>
            </w:r>
          </w:p>
        </w:tc>
      </w:tr>
      <w:tr w:rsidR="0005370B" w:rsidRPr="00905499" w14:paraId="0018BADE" w14:textId="77777777" w:rsidTr="001E1B19">
        <w:trPr>
          <w:trHeight w:val="227"/>
        </w:trPr>
        <w:tc>
          <w:tcPr>
            <w:tcW w:w="1339" w:type="dxa"/>
          </w:tcPr>
          <w:p w14:paraId="1B595509" w14:textId="77777777" w:rsidR="0005370B" w:rsidRPr="00905499" w:rsidRDefault="0005370B" w:rsidP="0005370B">
            <w:pPr>
              <w:ind w:left="142" w:hanging="142"/>
              <w:rPr>
                <w:sz w:val="16"/>
                <w:szCs w:val="16"/>
                <w:lang w:val="en-US"/>
              </w:rPr>
            </w:pPr>
            <w:r w:rsidRPr="00905499">
              <w:rPr>
                <w:sz w:val="16"/>
                <w:szCs w:val="16"/>
                <w:lang w:val="en-US"/>
              </w:rPr>
              <w:t>Distance</w:t>
            </w:r>
            <w:r w:rsidRPr="00905499">
              <w:rPr>
                <w:sz w:val="16"/>
                <w:szCs w:val="16"/>
                <w:vertAlign w:val="superscript"/>
                <w:lang w:val="en-US"/>
              </w:rPr>
              <w:t xml:space="preserve"> 2</w:t>
            </w:r>
          </w:p>
        </w:tc>
        <w:tc>
          <w:tcPr>
            <w:tcW w:w="1523" w:type="dxa"/>
            <w:vAlign w:val="center"/>
          </w:tcPr>
          <w:p w14:paraId="4D1FF311" w14:textId="77777777" w:rsidR="0005370B" w:rsidRPr="00905499" w:rsidRDefault="0005370B" w:rsidP="0005370B">
            <w:pPr>
              <w:ind w:left="142" w:hanging="142"/>
              <w:rPr>
                <w:rFonts w:ascii="Times New Roman" w:hAnsi="Times New Roman" w:cs="Times New Roman"/>
                <w:sz w:val="15"/>
                <w:szCs w:val="15"/>
                <w:lang w:val="en-US"/>
              </w:rPr>
            </w:pPr>
          </w:p>
        </w:tc>
        <w:tc>
          <w:tcPr>
            <w:tcW w:w="1523" w:type="dxa"/>
            <w:vAlign w:val="bottom"/>
          </w:tcPr>
          <w:p w14:paraId="5DBCA0E0" w14:textId="77777777" w:rsidR="0005370B" w:rsidRPr="00905499" w:rsidRDefault="0005370B" w:rsidP="0005370B">
            <w:pPr>
              <w:ind w:left="142" w:hanging="142"/>
              <w:rPr>
                <w:rFonts w:ascii="Times New Roman" w:hAnsi="Times New Roman" w:cs="Times New Roman"/>
                <w:sz w:val="15"/>
                <w:szCs w:val="15"/>
                <w:lang w:val="en-US"/>
              </w:rPr>
            </w:pPr>
          </w:p>
        </w:tc>
        <w:tc>
          <w:tcPr>
            <w:tcW w:w="1677" w:type="dxa"/>
            <w:vAlign w:val="center"/>
          </w:tcPr>
          <w:p w14:paraId="28749914" w14:textId="77777777" w:rsidR="0005370B" w:rsidRPr="00905499" w:rsidRDefault="0005370B" w:rsidP="0005370B">
            <w:pPr>
              <w:ind w:left="142" w:hanging="142"/>
              <w:rPr>
                <w:rFonts w:ascii="Times New Roman" w:hAnsi="Times New Roman" w:cs="Times New Roman"/>
                <w:sz w:val="15"/>
                <w:szCs w:val="15"/>
                <w:lang w:val="en-US"/>
              </w:rPr>
            </w:pPr>
          </w:p>
        </w:tc>
        <w:tc>
          <w:tcPr>
            <w:tcW w:w="1701" w:type="dxa"/>
            <w:vAlign w:val="bottom"/>
          </w:tcPr>
          <w:p w14:paraId="1C2156BB" w14:textId="77777777" w:rsidR="0005370B" w:rsidRPr="00905499" w:rsidRDefault="0005370B" w:rsidP="0005370B">
            <w:pPr>
              <w:ind w:left="142" w:hanging="142"/>
              <w:rPr>
                <w:rFonts w:ascii="Times New Roman" w:hAnsi="Times New Roman" w:cs="Times New Roman"/>
                <w:sz w:val="15"/>
                <w:szCs w:val="15"/>
                <w:lang w:val="en-US"/>
              </w:rPr>
            </w:pPr>
          </w:p>
        </w:tc>
        <w:tc>
          <w:tcPr>
            <w:tcW w:w="1701" w:type="dxa"/>
            <w:vAlign w:val="center"/>
          </w:tcPr>
          <w:p w14:paraId="4608FBD4" w14:textId="2FE8C734" w:rsidR="0005370B" w:rsidRPr="00905499" w:rsidRDefault="0005370B" w:rsidP="0005370B">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-.016[-.030, -.001]*</w:t>
            </w:r>
          </w:p>
        </w:tc>
        <w:tc>
          <w:tcPr>
            <w:tcW w:w="1701" w:type="dxa"/>
            <w:gridSpan w:val="2"/>
          </w:tcPr>
          <w:p w14:paraId="61B1E12F" w14:textId="6D3B52D9" w:rsidR="0005370B" w:rsidRPr="00905499" w:rsidRDefault="0005370B" w:rsidP="0005370B">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-.016[-.031,</w:t>
            </w:r>
            <w:r w:rsidR="00505532" w:rsidRPr="00905499">
              <w:rPr>
                <w:rFonts w:ascii="Times New Roman" w:hAnsi="Times New Roman" w:cs="Times New Roman"/>
                <w:sz w:val="15"/>
                <w:szCs w:val="15"/>
                <w:lang w:val="en-US"/>
              </w:rPr>
              <w:t xml:space="preserve"> </w:t>
            </w:r>
            <w:r w:rsidRPr="00905499">
              <w:rPr>
                <w:rFonts w:ascii="Times New Roman" w:hAnsi="Times New Roman" w:cs="Times New Roman"/>
                <w:sz w:val="15"/>
                <w:szCs w:val="15"/>
                <w:lang w:val="en-US"/>
              </w:rPr>
              <w:t>-.001]*</w:t>
            </w:r>
          </w:p>
        </w:tc>
      </w:tr>
      <w:tr w:rsidR="0005370B" w:rsidRPr="00905499" w14:paraId="100A843E" w14:textId="77777777" w:rsidTr="001E1B19">
        <w:trPr>
          <w:trHeight w:val="244"/>
        </w:trPr>
        <w:tc>
          <w:tcPr>
            <w:tcW w:w="1339" w:type="dxa"/>
          </w:tcPr>
          <w:p w14:paraId="4FC5949D" w14:textId="77777777" w:rsidR="0005370B" w:rsidRPr="00905499" w:rsidRDefault="0005370B" w:rsidP="0005370B">
            <w:pPr>
              <w:ind w:left="142" w:hanging="142"/>
              <w:rPr>
                <w:rFonts w:ascii="Times New Roman" w:hAnsi="Times New Roman" w:cs="Times New Roman"/>
                <w:sz w:val="16"/>
                <w:szCs w:val="16"/>
                <w:lang w:val="en-US"/>
              </w:rPr>
            </w:pPr>
            <w:proofErr w:type="gramStart"/>
            <w:r w:rsidRPr="00905499">
              <w:rPr>
                <w:rFonts w:ascii="Times New Roman" w:hAnsi="Times New Roman" w:cs="Times New Roman"/>
                <w:sz w:val="16"/>
                <w:szCs w:val="16"/>
                <w:lang w:val="en-US"/>
              </w:rPr>
              <w:t>z</w:t>
            </w:r>
            <w:proofErr w:type="gramEnd"/>
            <w:r w:rsidRPr="00905499">
              <w:rPr>
                <w:rFonts w:ascii="Times New Roman" w:hAnsi="Times New Roman" w:cs="Times New Roman"/>
                <w:sz w:val="16"/>
                <w:szCs w:val="16"/>
                <w:lang w:val="en-US"/>
              </w:rPr>
              <w:t>-score ESCS</w:t>
            </w:r>
          </w:p>
        </w:tc>
        <w:tc>
          <w:tcPr>
            <w:tcW w:w="1523" w:type="dxa"/>
            <w:vAlign w:val="center"/>
          </w:tcPr>
          <w:p w14:paraId="69E32D31" w14:textId="30199B41" w:rsidR="0005370B" w:rsidRPr="00905499" w:rsidRDefault="007E7EBE" w:rsidP="0005370B">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.176[.092, .</w:t>
            </w:r>
            <w:r w:rsidR="0005370B" w:rsidRPr="00905499">
              <w:rPr>
                <w:rFonts w:ascii="Times New Roman" w:hAnsi="Times New Roman" w:cs="Times New Roman"/>
                <w:sz w:val="15"/>
                <w:szCs w:val="15"/>
                <w:lang w:val="en-US"/>
              </w:rPr>
              <w:t>260]*</w:t>
            </w:r>
            <w:r w:rsidR="006B4AF6" w:rsidRPr="00905499">
              <w:rPr>
                <w:rFonts w:ascii="Times New Roman" w:hAnsi="Times New Roman" w:cs="Times New Roman"/>
                <w:sz w:val="15"/>
                <w:szCs w:val="15"/>
                <w:lang w:val="en-US"/>
              </w:rPr>
              <w:t>**</w:t>
            </w:r>
          </w:p>
        </w:tc>
        <w:tc>
          <w:tcPr>
            <w:tcW w:w="1523" w:type="dxa"/>
            <w:vAlign w:val="bottom"/>
          </w:tcPr>
          <w:p w14:paraId="4B499654" w14:textId="38C57B7B" w:rsidR="0005370B" w:rsidRPr="00905499" w:rsidRDefault="0005370B" w:rsidP="0005370B">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.291[.120,</w:t>
            </w:r>
            <w:r w:rsidR="007E7EBE" w:rsidRPr="00905499">
              <w:rPr>
                <w:rFonts w:ascii="Times New Roman" w:hAnsi="Times New Roman" w:cs="Times New Roman"/>
                <w:sz w:val="15"/>
                <w:szCs w:val="15"/>
                <w:lang w:val="en-US"/>
              </w:rPr>
              <w:t xml:space="preserve"> </w:t>
            </w:r>
            <w:r w:rsidRPr="00905499">
              <w:rPr>
                <w:rFonts w:ascii="Times New Roman" w:hAnsi="Times New Roman" w:cs="Times New Roman"/>
                <w:sz w:val="15"/>
                <w:szCs w:val="15"/>
                <w:lang w:val="en-US"/>
              </w:rPr>
              <w:t>.462]*</w:t>
            </w:r>
            <w:r w:rsidR="006B4AF6" w:rsidRPr="00905499">
              <w:rPr>
                <w:rFonts w:ascii="Times New Roman" w:hAnsi="Times New Roman" w:cs="Times New Roman"/>
                <w:sz w:val="15"/>
                <w:szCs w:val="15"/>
                <w:lang w:val="en-US"/>
              </w:rPr>
              <w:t>**</w:t>
            </w:r>
          </w:p>
        </w:tc>
        <w:tc>
          <w:tcPr>
            <w:tcW w:w="1677" w:type="dxa"/>
            <w:vAlign w:val="center"/>
          </w:tcPr>
          <w:p w14:paraId="6118F313" w14:textId="18CD3BED" w:rsidR="0005370B" w:rsidRPr="00905499" w:rsidRDefault="0005370B" w:rsidP="0005370B">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.195[.110, .280]*</w:t>
            </w:r>
            <w:r w:rsidR="00862B20" w:rsidRPr="00905499">
              <w:rPr>
                <w:rFonts w:ascii="Times New Roman" w:hAnsi="Times New Roman" w:cs="Times New Roman"/>
                <w:sz w:val="15"/>
                <w:szCs w:val="15"/>
                <w:lang w:val="en-US"/>
              </w:rPr>
              <w:t>**</w:t>
            </w:r>
          </w:p>
        </w:tc>
        <w:tc>
          <w:tcPr>
            <w:tcW w:w="1701" w:type="dxa"/>
            <w:vAlign w:val="bottom"/>
          </w:tcPr>
          <w:p w14:paraId="15320296" w14:textId="7B5713FF" w:rsidR="0005370B" w:rsidRPr="00905499" w:rsidRDefault="0005370B" w:rsidP="0005370B">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.235[.133,</w:t>
            </w:r>
            <w:r w:rsidR="007E7EBE" w:rsidRPr="00905499">
              <w:rPr>
                <w:rFonts w:ascii="Times New Roman" w:hAnsi="Times New Roman" w:cs="Times New Roman"/>
                <w:sz w:val="15"/>
                <w:szCs w:val="15"/>
                <w:lang w:val="en-US"/>
              </w:rPr>
              <w:t xml:space="preserve"> </w:t>
            </w:r>
            <w:r w:rsidRPr="00905499">
              <w:rPr>
                <w:rFonts w:ascii="Times New Roman" w:hAnsi="Times New Roman" w:cs="Times New Roman"/>
                <w:sz w:val="15"/>
                <w:szCs w:val="15"/>
                <w:lang w:val="en-US"/>
              </w:rPr>
              <w:t>.338]*</w:t>
            </w:r>
            <w:r w:rsidR="00862B20" w:rsidRPr="00905499">
              <w:rPr>
                <w:rFonts w:ascii="Times New Roman" w:hAnsi="Times New Roman" w:cs="Times New Roman"/>
                <w:sz w:val="15"/>
                <w:szCs w:val="15"/>
                <w:lang w:val="en-US"/>
              </w:rPr>
              <w:t>**</w:t>
            </w:r>
          </w:p>
        </w:tc>
        <w:tc>
          <w:tcPr>
            <w:tcW w:w="1701" w:type="dxa"/>
            <w:vAlign w:val="center"/>
          </w:tcPr>
          <w:p w14:paraId="3A99F06F" w14:textId="4D19A84C" w:rsidR="0005370B" w:rsidRPr="00905499" w:rsidRDefault="0005370B" w:rsidP="0005370B">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.200[.115, .285]*</w:t>
            </w:r>
            <w:r w:rsidR="00520131" w:rsidRPr="00905499">
              <w:rPr>
                <w:rFonts w:ascii="Times New Roman" w:hAnsi="Times New Roman" w:cs="Times New Roman"/>
                <w:sz w:val="15"/>
                <w:szCs w:val="15"/>
                <w:lang w:val="en-US"/>
              </w:rPr>
              <w:t>**</w:t>
            </w:r>
          </w:p>
        </w:tc>
        <w:tc>
          <w:tcPr>
            <w:tcW w:w="1701" w:type="dxa"/>
            <w:gridSpan w:val="2"/>
          </w:tcPr>
          <w:p w14:paraId="3EA9B827" w14:textId="1CB286AA" w:rsidR="0005370B" w:rsidRPr="00905499" w:rsidRDefault="0005370B" w:rsidP="0005370B">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.292[.148,</w:t>
            </w:r>
            <w:r w:rsidR="00505532" w:rsidRPr="00905499">
              <w:rPr>
                <w:rFonts w:ascii="Times New Roman" w:hAnsi="Times New Roman" w:cs="Times New Roman"/>
                <w:sz w:val="15"/>
                <w:szCs w:val="15"/>
                <w:lang w:val="en-US"/>
              </w:rPr>
              <w:t xml:space="preserve"> </w:t>
            </w:r>
            <w:r w:rsidRPr="00905499">
              <w:rPr>
                <w:rFonts w:ascii="Times New Roman" w:hAnsi="Times New Roman" w:cs="Times New Roman"/>
                <w:sz w:val="15"/>
                <w:szCs w:val="15"/>
                <w:lang w:val="en-US"/>
              </w:rPr>
              <w:t>.436]*</w:t>
            </w:r>
            <w:r w:rsidR="001E1B19" w:rsidRPr="00905499">
              <w:rPr>
                <w:rFonts w:ascii="Times New Roman" w:hAnsi="Times New Roman" w:cs="Times New Roman"/>
                <w:sz w:val="15"/>
                <w:szCs w:val="15"/>
                <w:lang w:val="en-US"/>
              </w:rPr>
              <w:t>**</w:t>
            </w:r>
          </w:p>
        </w:tc>
      </w:tr>
      <w:tr w:rsidR="0005370B" w:rsidRPr="00905499" w14:paraId="4DDE2140" w14:textId="77777777" w:rsidTr="001E1B19">
        <w:trPr>
          <w:trHeight w:val="244"/>
        </w:trPr>
        <w:tc>
          <w:tcPr>
            <w:tcW w:w="1339" w:type="dxa"/>
          </w:tcPr>
          <w:p w14:paraId="7E7FEA5A" w14:textId="77777777" w:rsidR="0005370B" w:rsidRPr="00905499" w:rsidRDefault="0005370B" w:rsidP="0005370B">
            <w:pPr>
              <w:rPr>
                <w:rFonts w:ascii="Times New Roman" w:hAnsi="Times New Roman" w:cs="Times New Roman"/>
                <w:sz w:val="16"/>
                <w:szCs w:val="16"/>
                <w:lang w:val="en-US"/>
              </w:rPr>
            </w:pPr>
            <w:r w:rsidRPr="00905499">
              <w:rPr>
                <w:rFonts w:ascii="Times New Roman" w:hAnsi="Times New Roman" w:cs="Times New Roman"/>
                <w:sz w:val="16"/>
                <w:szCs w:val="16"/>
                <w:lang w:val="en-US"/>
              </w:rPr>
              <w:t>University Expectations</w:t>
            </w:r>
          </w:p>
        </w:tc>
        <w:tc>
          <w:tcPr>
            <w:tcW w:w="1523" w:type="dxa"/>
            <w:vAlign w:val="center"/>
          </w:tcPr>
          <w:p w14:paraId="0C4E88DE" w14:textId="235540F0" w:rsidR="0005370B" w:rsidRPr="00905499" w:rsidRDefault="0005370B" w:rsidP="0005370B">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.167[-.022, .355]</w:t>
            </w:r>
          </w:p>
        </w:tc>
        <w:tc>
          <w:tcPr>
            <w:tcW w:w="1523" w:type="dxa"/>
            <w:vAlign w:val="bottom"/>
          </w:tcPr>
          <w:p w14:paraId="3BE55E07" w14:textId="04B0807E" w:rsidR="0005370B" w:rsidRPr="00905499" w:rsidRDefault="0005370B" w:rsidP="0005370B">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.162[-.027,</w:t>
            </w:r>
            <w:r w:rsidR="007E7EBE" w:rsidRPr="00905499">
              <w:rPr>
                <w:rFonts w:ascii="Times New Roman" w:hAnsi="Times New Roman" w:cs="Times New Roman"/>
                <w:sz w:val="15"/>
                <w:szCs w:val="15"/>
                <w:lang w:val="en-US"/>
              </w:rPr>
              <w:t xml:space="preserve"> </w:t>
            </w:r>
            <w:r w:rsidRPr="00905499">
              <w:rPr>
                <w:rFonts w:ascii="Times New Roman" w:hAnsi="Times New Roman" w:cs="Times New Roman"/>
                <w:sz w:val="15"/>
                <w:szCs w:val="15"/>
                <w:lang w:val="en-US"/>
              </w:rPr>
              <w:t>.351]</w:t>
            </w:r>
          </w:p>
        </w:tc>
        <w:tc>
          <w:tcPr>
            <w:tcW w:w="1677" w:type="dxa"/>
            <w:vAlign w:val="center"/>
          </w:tcPr>
          <w:p w14:paraId="695500EA" w14:textId="77D771F0" w:rsidR="0005370B" w:rsidRPr="00905499" w:rsidRDefault="0005370B" w:rsidP="0005370B">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.189[-.005, .382]</w:t>
            </w:r>
          </w:p>
        </w:tc>
        <w:tc>
          <w:tcPr>
            <w:tcW w:w="1701" w:type="dxa"/>
            <w:vAlign w:val="bottom"/>
          </w:tcPr>
          <w:p w14:paraId="7D11110F" w14:textId="0D7CB7F4" w:rsidR="0005370B" w:rsidRPr="00905499" w:rsidRDefault="0005370B" w:rsidP="0005370B">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.184[-.010,</w:t>
            </w:r>
            <w:r w:rsidR="007E7EBE" w:rsidRPr="00905499">
              <w:rPr>
                <w:rFonts w:ascii="Times New Roman" w:hAnsi="Times New Roman" w:cs="Times New Roman"/>
                <w:sz w:val="15"/>
                <w:szCs w:val="15"/>
                <w:lang w:val="en-US"/>
              </w:rPr>
              <w:t xml:space="preserve"> </w:t>
            </w:r>
            <w:r w:rsidRPr="00905499">
              <w:rPr>
                <w:rFonts w:ascii="Times New Roman" w:hAnsi="Times New Roman" w:cs="Times New Roman"/>
                <w:sz w:val="15"/>
                <w:szCs w:val="15"/>
                <w:lang w:val="en-US"/>
              </w:rPr>
              <w:t>.378]</w:t>
            </w:r>
          </w:p>
        </w:tc>
        <w:tc>
          <w:tcPr>
            <w:tcW w:w="1701" w:type="dxa"/>
            <w:vAlign w:val="center"/>
          </w:tcPr>
          <w:p w14:paraId="12C8568D" w14:textId="73D2290D" w:rsidR="0005370B" w:rsidRPr="00905499" w:rsidRDefault="0005370B" w:rsidP="0005370B">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.178[-.014, .369]</w:t>
            </w:r>
          </w:p>
        </w:tc>
        <w:tc>
          <w:tcPr>
            <w:tcW w:w="1701" w:type="dxa"/>
            <w:gridSpan w:val="2"/>
          </w:tcPr>
          <w:p w14:paraId="2AAD1A7E" w14:textId="76650131" w:rsidR="0005370B" w:rsidRPr="00905499" w:rsidRDefault="0005370B" w:rsidP="0005370B">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.168[-.025,</w:t>
            </w:r>
            <w:r w:rsidR="00505532" w:rsidRPr="00905499">
              <w:rPr>
                <w:rFonts w:ascii="Times New Roman" w:hAnsi="Times New Roman" w:cs="Times New Roman"/>
                <w:sz w:val="15"/>
                <w:szCs w:val="15"/>
                <w:lang w:val="en-US"/>
              </w:rPr>
              <w:t xml:space="preserve"> </w:t>
            </w:r>
            <w:r w:rsidRPr="00905499">
              <w:rPr>
                <w:rFonts w:ascii="Times New Roman" w:hAnsi="Times New Roman" w:cs="Times New Roman"/>
                <w:sz w:val="15"/>
                <w:szCs w:val="15"/>
                <w:lang w:val="en-US"/>
              </w:rPr>
              <w:t>.360]</w:t>
            </w:r>
          </w:p>
        </w:tc>
      </w:tr>
      <w:tr w:rsidR="0005370B" w:rsidRPr="00905499" w14:paraId="07F6CF86" w14:textId="77777777" w:rsidTr="001E1B19">
        <w:trPr>
          <w:trHeight w:val="244"/>
        </w:trPr>
        <w:tc>
          <w:tcPr>
            <w:tcW w:w="1339" w:type="dxa"/>
          </w:tcPr>
          <w:p w14:paraId="5DAE670B" w14:textId="77777777" w:rsidR="0005370B" w:rsidRPr="00905499" w:rsidRDefault="0005370B" w:rsidP="0005370B">
            <w:pPr>
              <w:ind w:left="142" w:hanging="142"/>
              <w:rPr>
                <w:rFonts w:ascii="Times New Roman" w:hAnsi="Times New Roman" w:cs="Times New Roman"/>
                <w:sz w:val="16"/>
                <w:szCs w:val="16"/>
                <w:lang w:val="en-US"/>
              </w:rPr>
            </w:pPr>
            <w:r w:rsidRPr="00905499">
              <w:rPr>
                <w:sz w:val="16"/>
                <w:szCs w:val="16"/>
                <w:lang w:val="en-US"/>
              </w:rPr>
              <w:t>Distance *ESCS</w:t>
            </w:r>
          </w:p>
        </w:tc>
        <w:tc>
          <w:tcPr>
            <w:tcW w:w="1523" w:type="dxa"/>
            <w:vAlign w:val="center"/>
          </w:tcPr>
          <w:p w14:paraId="06B40630" w14:textId="77777777" w:rsidR="0005370B" w:rsidRPr="00905499" w:rsidRDefault="0005370B" w:rsidP="0005370B">
            <w:pPr>
              <w:ind w:left="142" w:hanging="142"/>
              <w:rPr>
                <w:rFonts w:ascii="Times New Roman" w:hAnsi="Times New Roman" w:cs="Times New Roman"/>
                <w:sz w:val="15"/>
                <w:szCs w:val="15"/>
                <w:lang w:val="en-US"/>
              </w:rPr>
            </w:pPr>
          </w:p>
        </w:tc>
        <w:tc>
          <w:tcPr>
            <w:tcW w:w="1523" w:type="dxa"/>
            <w:vAlign w:val="center"/>
          </w:tcPr>
          <w:p w14:paraId="435E1636" w14:textId="023E079E" w:rsidR="0005370B" w:rsidRPr="00905499" w:rsidRDefault="0005370B" w:rsidP="0005370B">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-.178[-.376,</w:t>
            </w:r>
            <w:r w:rsidR="007E7EBE" w:rsidRPr="00905499">
              <w:rPr>
                <w:rFonts w:ascii="Times New Roman" w:hAnsi="Times New Roman" w:cs="Times New Roman"/>
                <w:sz w:val="15"/>
                <w:szCs w:val="15"/>
                <w:lang w:val="en-US"/>
              </w:rPr>
              <w:t xml:space="preserve"> </w:t>
            </w:r>
            <w:r w:rsidRPr="00905499">
              <w:rPr>
                <w:rFonts w:ascii="Times New Roman" w:hAnsi="Times New Roman" w:cs="Times New Roman"/>
                <w:sz w:val="15"/>
                <w:szCs w:val="15"/>
                <w:lang w:val="en-US"/>
              </w:rPr>
              <w:t>.021]</w:t>
            </w:r>
          </w:p>
        </w:tc>
        <w:tc>
          <w:tcPr>
            <w:tcW w:w="1677" w:type="dxa"/>
            <w:vAlign w:val="center"/>
          </w:tcPr>
          <w:p w14:paraId="0B86E6FE" w14:textId="77777777" w:rsidR="0005370B" w:rsidRPr="00905499" w:rsidRDefault="0005370B" w:rsidP="0005370B">
            <w:pPr>
              <w:ind w:left="142" w:hanging="142"/>
              <w:rPr>
                <w:rFonts w:ascii="Times New Roman" w:hAnsi="Times New Roman" w:cs="Times New Roman"/>
                <w:sz w:val="15"/>
                <w:szCs w:val="15"/>
                <w:lang w:val="en-US"/>
              </w:rPr>
            </w:pPr>
          </w:p>
        </w:tc>
        <w:tc>
          <w:tcPr>
            <w:tcW w:w="1701" w:type="dxa"/>
            <w:vAlign w:val="bottom"/>
          </w:tcPr>
          <w:p w14:paraId="51585BCA" w14:textId="04A9C317" w:rsidR="0005370B" w:rsidRPr="00905499" w:rsidRDefault="0005370B" w:rsidP="0005370B">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-.018[-.041,</w:t>
            </w:r>
            <w:r w:rsidR="007E7EBE" w:rsidRPr="00905499">
              <w:rPr>
                <w:rFonts w:ascii="Times New Roman" w:hAnsi="Times New Roman" w:cs="Times New Roman"/>
                <w:sz w:val="15"/>
                <w:szCs w:val="15"/>
                <w:lang w:val="en-US"/>
              </w:rPr>
              <w:t xml:space="preserve"> </w:t>
            </w:r>
            <w:r w:rsidRPr="00905499">
              <w:rPr>
                <w:rFonts w:ascii="Times New Roman" w:hAnsi="Times New Roman" w:cs="Times New Roman"/>
                <w:sz w:val="15"/>
                <w:szCs w:val="15"/>
                <w:lang w:val="en-US"/>
              </w:rPr>
              <w:t>.005]</w:t>
            </w:r>
          </w:p>
        </w:tc>
        <w:tc>
          <w:tcPr>
            <w:tcW w:w="1701" w:type="dxa"/>
            <w:vAlign w:val="center"/>
          </w:tcPr>
          <w:p w14:paraId="45C63318" w14:textId="77777777" w:rsidR="0005370B" w:rsidRPr="00905499" w:rsidRDefault="0005370B" w:rsidP="0005370B">
            <w:pPr>
              <w:ind w:left="142" w:hanging="142"/>
              <w:rPr>
                <w:rFonts w:ascii="Times New Roman" w:hAnsi="Times New Roman" w:cs="Times New Roman"/>
                <w:sz w:val="15"/>
                <w:szCs w:val="15"/>
                <w:lang w:val="en-US"/>
              </w:rPr>
            </w:pPr>
          </w:p>
        </w:tc>
        <w:tc>
          <w:tcPr>
            <w:tcW w:w="1701" w:type="dxa"/>
            <w:gridSpan w:val="2"/>
          </w:tcPr>
          <w:p w14:paraId="5FA2E9F9" w14:textId="1BEB9D8E" w:rsidR="0005370B" w:rsidRPr="00905499" w:rsidRDefault="0005370B" w:rsidP="0005370B">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-.089[-.210,</w:t>
            </w:r>
            <w:r w:rsidR="00505532" w:rsidRPr="00905499">
              <w:rPr>
                <w:rFonts w:ascii="Times New Roman" w:hAnsi="Times New Roman" w:cs="Times New Roman"/>
                <w:sz w:val="15"/>
                <w:szCs w:val="15"/>
                <w:lang w:val="en-US"/>
              </w:rPr>
              <w:t xml:space="preserve"> </w:t>
            </w:r>
            <w:r w:rsidRPr="00905499">
              <w:rPr>
                <w:rFonts w:ascii="Times New Roman" w:hAnsi="Times New Roman" w:cs="Times New Roman"/>
                <w:sz w:val="15"/>
                <w:szCs w:val="15"/>
                <w:lang w:val="en-US"/>
              </w:rPr>
              <w:t>.031]</w:t>
            </w:r>
          </w:p>
        </w:tc>
      </w:tr>
      <w:tr w:rsidR="0005370B" w:rsidRPr="00905499" w14:paraId="3DADF49D" w14:textId="77777777" w:rsidTr="001E1B19">
        <w:trPr>
          <w:trHeight w:val="244"/>
        </w:trPr>
        <w:tc>
          <w:tcPr>
            <w:tcW w:w="1339" w:type="dxa"/>
          </w:tcPr>
          <w:p w14:paraId="228407E5" w14:textId="77777777" w:rsidR="0005370B" w:rsidRPr="00905499" w:rsidRDefault="0005370B" w:rsidP="0005370B">
            <w:pPr>
              <w:ind w:left="142" w:hanging="142"/>
              <w:rPr>
                <w:rFonts w:ascii="Times New Roman" w:hAnsi="Times New Roman" w:cs="Times New Roman"/>
                <w:sz w:val="16"/>
                <w:szCs w:val="16"/>
                <w:lang w:val="en-US"/>
              </w:rPr>
            </w:pPr>
            <w:r w:rsidRPr="00905499">
              <w:rPr>
                <w:sz w:val="16"/>
                <w:szCs w:val="16"/>
                <w:lang w:val="en-US"/>
              </w:rPr>
              <w:t>Distance</w:t>
            </w:r>
            <w:r w:rsidRPr="00905499">
              <w:rPr>
                <w:sz w:val="16"/>
                <w:szCs w:val="16"/>
                <w:vertAlign w:val="superscript"/>
                <w:lang w:val="en-US"/>
              </w:rPr>
              <w:t xml:space="preserve"> 2</w:t>
            </w:r>
            <w:r w:rsidRPr="00905499">
              <w:rPr>
                <w:sz w:val="16"/>
                <w:szCs w:val="16"/>
                <w:lang w:val="en-US"/>
              </w:rPr>
              <w:t>*ESCS</w:t>
            </w:r>
          </w:p>
        </w:tc>
        <w:tc>
          <w:tcPr>
            <w:tcW w:w="1523" w:type="dxa"/>
            <w:vAlign w:val="center"/>
          </w:tcPr>
          <w:p w14:paraId="3E2FA938" w14:textId="77777777" w:rsidR="0005370B" w:rsidRPr="00905499" w:rsidRDefault="0005370B" w:rsidP="0005370B">
            <w:pPr>
              <w:ind w:left="142" w:hanging="142"/>
              <w:rPr>
                <w:rFonts w:ascii="Times New Roman" w:hAnsi="Times New Roman" w:cs="Times New Roman"/>
                <w:sz w:val="15"/>
                <w:szCs w:val="15"/>
                <w:lang w:val="en-US"/>
              </w:rPr>
            </w:pPr>
          </w:p>
        </w:tc>
        <w:tc>
          <w:tcPr>
            <w:tcW w:w="1523" w:type="dxa"/>
            <w:vAlign w:val="center"/>
          </w:tcPr>
          <w:p w14:paraId="457B98B1" w14:textId="77777777" w:rsidR="0005370B" w:rsidRPr="00905499" w:rsidRDefault="0005370B" w:rsidP="0005370B">
            <w:pPr>
              <w:ind w:left="142" w:hanging="142"/>
              <w:rPr>
                <w:rFonts w:ascii="Times New Roman" w:hAnsi="Times New Roman" w:cs="Times New Roman"/>
                <w:sz w:val="15"/>
                <w:szCs w:val="15"/>
                <w:lang w:val="en-US"/>
              </w:rPr>
            </w:pPr>
          </w:p>
        </w:tc>
        <w:tc>
          <w:tcPr>
            <w:tcW w:w="1677" w:type="dxa"/>
            <w:vAlign w:val="center"/>
          </w:tcPr>
          <w:p w14:paraId="319DA5DA" w14:textId="77777777" w:rsidR="0005370B" w:rsidRPr="00905499" w:rsidRDefault="0005370B" w:rsidP="0005370B">
            <w:pPr>
              <w:ind w:left="142" w:hanging="142"/>
              <w:rPr>
                <w:rFonts w:ascii="Times New Roman" w:hAnsi="Times New Roman" w:cs="Times New Roman"/>
                <w:sz w:val="15"/>
                <w:szCs w:val="15"/>
                <w:lang w:val="en-US"/>
              </w:rPr>
            </w:pPr>
          </w:p>
        </w:tc>
        <w:tc>
          <w:tcPr>
            <w:tcW w:w="1701" w:type="dxa"/>
            <w:vAlign w:val="center"/>
          </w:tcPr>
          <w:p w14:paraId="07F07716" w14:textId="77777777" w:rsidR="0005370B" w:rsidRPr="00905499" w:rsidRDefault="0005370B" w:rsidP="0005370B">
            <w:pPr>
              <w:ind w:left="142" w:hanging="142"/>
              <w:rPr>
                <w:rFonts w:ascii="Times New Roman" w:hAnsi="Times New Roman" w:cs="Times New Roman"/>
                <w:sz w:val="15"/>
                <w:szCs w:val="15"/>
                <w:lang w:val="en-US"/>
              </w:rPr>
            </w:pPr>
          </w:p>
        </w:tc>
        <w:tc>
          <w:tcPr>
            <w:tcW w:w="1701" w:type="dxa"/>
            <w:vAlign w:val="center"/>
          </w:tcPr>
          <w:p w14:paraId="2F154722" w14:textId="77777777" w:rsidR="0005370B" w:rsidRPr="00905499" w:rsidRDefault="0005370B" w:rsidP="0005370B">
            <w:pPr>
              <w:ind w:left="142" w:hanging="142"/>
              <w:rPr>
                <w:rFonts w:ascii="Times New Roman" w:hAnsi="Times New Roman" w:cs="Times New Roman"/>
                <w:sz w:val="15"/>
                <w:szCs w:val="15"/>
                <w:lang w:val="en-US"/>
              </w:rPr>
            </w:pPr>
          </w:p>
        </w:tc>
        <w:tc>
          <w:tcPr>
            <w:tcW w:w="1701" w:type="dxa"/>
            <w:gridSpan w:val="2"/>
          </w:tcPr>
          <w:p w14:paraId="5E56A968" w14:textId="390801AA" w:rsidR="0005370B" w:rsidRPr="00905499" w:rsidRDefault="0005370B" w:rsidP="0005370B">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.007[-.005,</w:t>
            </w:r>
            <w:r w:rsidR="00505532" w:rsidRPr="00905499">
              <w:rPr>
                <w:rFonts w:ascii="Times New Roman" w:hAnsi="Times New Roman" w:cs="Times New Roman"/>
                <w:sz w:val="15"/>
                <w:szCs w:val="15"/>
                <w:lang w:val="en-US"/>
              </w:rPr>
              <w:t xml:space="preserve"> </w:t>
            </w:r>
            <w:r w:rsidRPr="00905499">
              <w:rPr>
                <w:rFonts w:ascii="Times New Roman" w:hAnsi="Times New Roman" w:cs="Times New Roman"/>
                <w:sz w:val="15"/>
                <w:szCs w:val="15"/>
                <w:lang w:val="en-US"/>
              </w:rPr>
              <w:t>.019]</w:t>
            </w:r>
          </w:p>
        </w:tc>
      </w:tr>
      <w:tr w:rsidR="00276F69" w:rsidRPr="00905499" w14:paraId="5AEE20EE" w14:textId="77777777" w:rsidTr="001E1B19">
        <w:trPr>
          <w:trHeight w:val="244"/>
        </w:trPr>
        <w:tc>
          <w:tcPr>
            <w:tcW w:w="1339" w:type="dxa"/>
          </w:tcPr>
          <w:p w14:paraId="59D05B1A" w14:textId="0318E800" w:rsidR="00276F69" w:rsidRPr="00905499" w:rsidRDefault="00276F69" w:rsidP="00276F69">
            <w:pPr>
              <w:ind w:left="142" w:hanging="142"/>
              <w:rPr>
                <w:sz w:val="16"/>
                <w:szCs w:val="16"/>
                <w:lang w:val="en-US"/>
              </w:rPr>
            </w:pPr>
            <w:r w:rsidRPr="00905499">
              <w:rPr>
                <w:sz w:val="15"/>
                <w:szCs w:val="15"/>
                <w:lang w:val="en-US"/>
              </w:rPr>
              <w:t>Distance *Indigenous</w:t>
            </w:r>
          </w:p>
        </w:tc>
        <w:tc>
          <w:tcPr>
            <w:tcW w:w="1523" w:type="dxa"/>
            <w:vAlign w:val="center"/>
          </w:tcPr>
          <w:p w14:paraId="2943CB37" w14:textId="77777777" w:rsidR="00276F69" w:rsidRPr="00905499" w:rsidRDefault="00276F69" w:rsidP="00276F69">
            <w:pPr>
              <w:ind w:left="142" w:hanging="142"/>
              <w:rPr>
                <w:rFonts w:ascii="Times New Roman" w:hAnsi="Times New Roman" w:cs="Times New Roman"/>
                <w:sz w:val="15"/>
                <w:szCs w:val="15"/>
                <w:lang w:val="en-US"/>
              </w:rPr>
            </w:pPr>
          </w:p>
        </w:tc>
        <w:tc>
          <w:tcPr>
            <w:tcW w:w="1523" w:type="dxa"/>
            <w:vAlign w:val="center"/>
          </w:tcPr>
          <w:p w14:paraId="28D7BD7F" w14:textId="4EDA74DD" w:rsidR="00276F69" w:rsidRPr="00905499" w:rsidRDefault="0016312C"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-.184[-1.416, 1.048]</w:t>
            </w:r>
          </w:p>
        </w:tc>
        <w:tc>
          <w:tcPr>
            <w:tcW w:w="1677" w:type="dxa"/>
            <w:vAlign w:val="center"/>
          </w:tcPr>
          <w:p w14:paraId="778D73AC" w14:textId="77777777" w:rsidR="00276F69" w:rsidRPr="00905499" w:rsidRDefault="00276F69" w:rsidP="00276F69">
            <w:pPr>
              <w:ind w:left="142" w:hanging="142"/>
              <w:rPr>
                <w:rFonts w:ascii="Times New Roman" w:hAnsi="Times New Roman" w:cs="Times New Roman"/>
                <w:sz w:val="15"/>
                <w:szCs w:val="15"/>
                <w:lang w:val="en-US"/>
              </w:rPr>
            </w:pPr>
          </w:p>
        </w:tc>
        <w:tc>
          <w:tcPr>
            <w:tcW w:w="1701" w:type="dxa"/>
            <w:vAlign w:val="center"/>
          </w:tcPr>
          <w:p w14:paraId="089B72B7" w14:textId="60CD93BE" w:rsidR="00276F69" w:rsidRPr="00905499" w:rsidRDefault="00A61CAD"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-.067[-.243, .110]</w:t>
            </w:r>
          </w:p>
        </w:tc>
        <w:tc>
          <w:tcPr>
            <w:tcW w:w="1701" w:type="dxa"/>
            <w:vAlign w:val="center"/>
          </w:tcPr>
          <w:p w14:paraId="4E8C993E" w14:textId="77777777" w:rsidR="00276F69" w:rsidRPr="00905499" w:rsidRDefault="00276F69" w:rsidP="00276F69">
            <w:pPr>
              <w:ind w:left="142" w:hanging="142"/>
              <w:rPr>
                <w:rFonts w:ascii="Times New Roman" w:hAnsi="Times New Roman" w:cs="Times New Roman"/>
                <w:sz w:val="15"/>
                <w:szCs w:val="15"/>
                <w:lang w:val="en-US"/>
              </w:rPr>
            </w:pPr>
          </w:p>
        </w:tc>
        <w:tc>
          <w:tcPr>
            <w:tcW w:w="1701" w:type="dxa"/>
            <w:gridSpan w:val="2"/>
          </w:tcPr>
          <w:p w14:paraId="02DFB34C" w14:textId="564D931B" w:rsidR="00276F69" w:rsidRPr="00905499" w:rsidRDefault="00261F66"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-.103[-1.250, 1.043]</w:t>
            </w:r>
          </w:p>
        </w:tc>
      </w:tr>
      <w:tr w:rsidR="00276F69" w:rsidRPr="00905499" w14:paraId="7A9CE40F" w14:textId="77777777" w:rsidTr="001E1B19">
        <w:trPr>
          <w:trHeight w:val="244"/>
        </w:trPr>
        <w:tc>
          <w:tcPr>
            <w:tcW w:w="1339" w:type="dxa"/>
          </w:tcPr>
          <w:p w14:paraId="06EB7C5A" w14:textId="6FE61A3E" w:rsidR="00276F69" w:rsidRPr="00905499" w:rsidRDefault="00276F69" w:rsidP="00276F69">
            <w:pPr>
              <w:ind w:left="142" w:hanging="142"/>
              <w:rPr>
                <w:sz w:val="15"/>
                <w:szCs w:val="15"/>
                <w:lang w:val="en-US"/>
              </w:rPr>
            </w:pPr>
            <w:r w:rsidRPr="00905499">
              <w:rPr>
                <w:sz w:val="15"/>
                <w:szCs w:val="15"/>
                <w:lang w:val="en-US"/>
              </w:rPr>
              <w:t>Distance</w:t>
            </w:r>
            <w:r w:rsidRPr="00905499">
              <w:rPr>
                <w:sz w:val="15"/>
                <w:szCs w:val="15"/>
                <w:vertAlign w:val="superscript"/>
                <w:lang w:val="en-US"/>
              </w:rPr>
              <w:t xml:space="preserve"> 2</w:t>
            </w:r>
            <w:r w:rsidRPr="00905499">
              <w:rPr>
                <w:sz w:val="15"/>
                <w:szCs w:val="15"/>
                <w:lang w:val="en-US"/>
              </w:rPr>
              <w:t>*Indigenous</w:t>
            </w:r>
          </w:p>
        </w:tc>
        <w:tc>
          <w:tcPr>
            <w:tcW w:w="1523" w:type="dxa"/>
            <w:vAlign w:val="center"/>
          </w:tcPr>
          <w:p w14:paraId="130E3A00" w14:textId="77777777" w:rsidR="00276F69" w:rsidRPr="00905499" w:rsidRDefault="00276F69" w:rsidP="00276F69">
            <w:pPr>
              <w:ind w:left="142" w:hanging="142"/>
              <w:rPr>
                <w:rFonts w:ascii="Times New Roman" w:hAnsi="Times New Roman" w:cs="Times New Roman"/>
                <w:sz w:val="15"/>
                <w:szCs w:val="15"/>
                <w:lang w:val="en-US"/>
              </w:rPr>
            </w:pPr>
          </w:p>
        </w:tc>
        <w:tc>
          <w:tcPr>
            <w:tcW w:w="1523" w:type="dxa"/>
            <w:vAlign w:val="center"/>
          </w:tcPr>
          <w:p w14:paraId="23D3D969" w14:textId="77777777" w:rsidR="00276F69" w:rsidRPr="00905499" w:rsidRDefault="00276F69" w:rsidP="00276F69">
            <w:pPr>
              <w:ind w:left="142" w:hanging="142"/>
              <w:rPr>
                <w:rFonts w:ascii="Times New Roman" w:hAnsi="Times New Roman" w:cs="Times New Roman"/>
                <w:sz w:val="15"/>
                <w:szCs w:val="15"/>
                <w:lang w:val="en-US"/>
              </w:rPr>
            </w:pPr>
          </w:p>
        </w:tc>
        <w:tc>
          <w:tcPr>
            <w:tcW w:w="1677" w:type="dxa"/>
            <w:vAlign w:val="center"/>
          </w:tcPr>
          <w:p w14:paraId="11484898" w14:textId="77777777" w:rsidR="00276F69" w:rsidRPr="00905499" w:rsidRDefault="00276F69" w:rsidP="00276F69">
            <w:pPr>
              <w:ind w:left="142" w:hanging="142"/>
              <w:rPr>
                <w:rFonts w:ascii="Times New Roman" w:hAnsi="Times New Roman" w:cs="Times New Roman"/>
                <w:sz w:val="15"/>
                <w:szCs w:val="15"/>
                <w:lang w:val="en-US"/>
              </w:rPr>
            </w:pPr>
          </w:p>
        </w:tc>
        <w:tc>
          <w:tcPr>
            <w:tcW w:w="1701" w:type="dxa"/>
            <w:vAlign w:val="center"/>
          </w:tcPr>
          <w:p w14:paraId="1D15B295" w14:textId="77777777" w:rsidR="00276F69" w:rsidRPr="00905499" w:rsidRDefault="00276F69" w:rsidP="00276F69">
            <w:pPr>
              <w:ind w:left="142" w:hanging="142"/>
              <w:rPr>
                <w:rFonts w:ascii="Times New Roman" w:hAnsi="Times New Roman" w:cs="Times New Roman"/>
                <w:sz w:val="15"/>
                <w:szCs w:val="15"/>
                <w:lang w:val="en-US"/>
              </w:rPr>
            </w:pPr>
          </w:p>
        </w:tc>
        <w:tc>
          <w:tcPr>
            <w:tcW w:w="1701" w:type="dxa"/>
            <w:vAlign w:val="center"/>
          </w:tcPr>
          <w:p w14:paraId="6470BCEB" w14:textId="77777777" w:rsidR="00276F69" w:rsidRPr="00905499" w:rsidRDefault="00276F69" w:rsidP="00276F69">
            <w:pPr>
              <w:ind w:left="142" w:hanging="142"/>
              <w:rPr>
                <w:rFonts w:ascii="Times New Roman" w:hAnsi="Times New Roman" w:cs="Times New Roman"/>
                <w:sz w:val="15"/>
                <w:szCs w:val="15"/>
                <w:lang w:val="en-US"/>
              </w:rPr>
            </w:pPr>
          </w:p>
        </w:tc>
        <w:tc>
          <w:tcPr>
            <w:tcW w:w="1701" w:type="dxa"/>
            <w:gridSpan w:val="2"/>
          </w:tcPr>
          <w:p w14:paraId="540C6574" w14:textId="7911654C" w:rsidR="00276F69" w:rsidRPr="00905499" w:rsidRDefault="00261F66"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.005[-.112, .121]</w:t>
            </w:r>
          </w:p>
        </w:tc>
      </w:tr>
      <w:tr w:rsidR="00276F69" w:rsidRPr="00905499" w14:paraId="62A1E945" w14:textId="77777777" w:rsidTr="001E1B19">
        <w:trPr>
          <w:gridAfter w:val="1"/>
          <w:wAfter w:w="262" w:type="dxa"/>
          <w:trHeight w:val="244"/>
        </w:trPr>
        <w:tc>
          <w:tcPr>
            <w:tcW w:w="1339" w:type="dxa"/>
          </w:tcPr>
          <w:p w14:paraId="688EB184" w14:textId="77777777" w:rsidR="00276F69" w:rsidRPr="00905499" w:rsidRDefault="00276F69" w:rsidP="00276F69">
            <w:pPr>
              <w:ind w:left="142" w:hanging="142"/>
              <w:rPr>
                <w:sz w:val="15"/>
                <w:szCs w:val="15"/>
                <w:lang w:val="en-US"/>
              </w:rPr>
            </w:pPr>
          </w:p>
        </w:tc>
        <w:tc>
          <w:tcPr>
            <w:tcW w:w="9564" w:type="dxa"/>
            <w:gridSpan w:val="6"/>
            <w:tcBorders>
              <w:bottom w:val="single" w:sz="4" w:space="0" w:color="auto"/>
            </w:tcBorders>
            <w:vAlign w:val="center"/>
          </w:tcPr>
          <w:p w14:paraId="2FCCE60A" w14:textId="7A384A9D" w:rsidR="00276F69" w:rsidRPr="00905499" w:rsidRDefault="00276F69" w:rsidP="00276F69">
            <w:pPr>
              <w:ind w:left="142" w:hanging="142"/>
              <w:jc w:val="center"/>
              <w:rPr>
                <w:rFonts w:ascii="Times New Roman" w:hAnsi="Times New Roman" w:cs="Times New Roman"/>
                <w:sz w:val="15"/>
                <w:szCs w:val="15"/>
                <w:lang w:val="en-US"/>
              </w:rPr>
            </w:pPr>
            <w:r w:rsidRPr="00905499">
              <w:rPr>
                <w:rFonts w:ascii="Times New Roman" w:hAnsi="Times New Roman" w:cs="Times New Roman"/>
                <w:sz w:val="15"/>
                <w:szCs w:val="15"/>
                <w:lang w:val="en-US"/>
              </w:rPr>
              <w:t>Covariates</w:t>
            </w:r>
          </w:p>
        </w:tc>
      </w:tr>
      <w:tr w:rsidR="00276F69" w:rsidRPr="00905499" w14:paraId="0F2335A2" w14:textId="77777777" w:rsidTr="001E1B19">
        <w:trPr>
          <w:trHeight w:val="244"/>
        </w:trPr>
        <w:tc>
          <w:tcPr>
            <w:tcW w:w="1339" w:type="dxa"/>
          </w:tcPr>
          <w:p w14:paraId="518B6E86" w14:textId="1EA3B52C" w:rsidR="00276F69" w:rsidRPr="00905499" w:rsidRDefault="00276F69" w:rsidP="00276F69">
            <w:pPr>
              <w:ind w:left="142" w:hanging="142"/>
              <w:rPr>
                <w:sz w:val="15"/>
                <w:szCs w:val="15"/>
                <w:lang w:val="en-US"/>
              </w:rPr>
            </w:pPr>
            <w:r w:rsidRPr="00905499">
              <w:rPr>
                <w:rFonts w:ascii="Times New Roman" w:hAnsi="Times New Roman" w:cs="Times New Roman"/>
                <w:sz w:val="15"/>
                <w:szCs w:val="15"/>
                <w:lang w:val="en-US"/>
              </w:rPr>
              <w:t>EO</w:t>
            </w:r>
          </w:p>
        </w:tc>
        <w:tc>
          <w:tcPr>
            <w:tcW w:w="1523" w:type="dxa"/>
            <w:tcBorders>
              <w:top w:val="single" w:sz="4" w:space="0" w:color="auto"/>
            </w:tcBorders>
            <w:vAlign w:val="center"/>
          </w:tcPr>
          <w:p w14:paraId="6D1BF2E7" w14:textId="6165EC38" w:rsidR="00276F69" w:rsidRPr="00905499" w:rsidRDefault="0016312C"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.219[.105, .334]*</w:t>
            </w:r>
            <w:r w:rsidR="006B4AF6" w:rsidRPr="00905499">
              <w:rPr>
                <w:rFonts w:ascii="Times New Roman" w:hAnsi="Times New Roman" w:cs="Times New Roman"/>
                <w:sz w:val="15"/>
                <w:szCs w:val="15"/>
                <w:lang w:val="en-US"/>
              </w:rPr>
              <w:t>**</w:t>
            </w:r>
          </w:p>
        </w:tc>
        <w:tc>
          <w:tcPr>
            <w:tcW w:w="1523" w:type="dxa"/>
            <w:tcBorders>
              <w:top w:val="single" w:sz="4" w:space="0" w:color="auto"/>
            </w:tcBorders>
            <w:vAlign w:val="center"/>
          </w:tcPr>
          <w:p w14:paraId="64427B28" w14:textId="0B1EE6D1" w:rsidR="00276F69" w:rsidRPr="00905499" w:rsidRDefault="0016312C"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.230[.117, .344]*</w:t>
            </w:r>
            <w:r w:rsidR="006B4AF6" w:rsidRPr="00905499">
              <w:rPr>
                <w:rFonts w:ascii="Times New Roman" w:hAnsi="Times New Roman" w:cs="Times New Roman"/>
                <w:sz w:val="15"/>
                <w:szCs w:val="15"/>
                <w:lang w:val="en-US"/>
              </w:rPr>
              <w:t>**</w:t>
            </w:r>
          </w:p>
        </w:tc>
        <w:tc>
          <w:tcPr>
            <w:tcW w:w="1677" w:type="dxa"/>
            <w:tcBorders>
              <w:top w:val="single" w:sz="4" w:space="0" w:color="auto"/>
            </w:tcBorders>
            <w:vAlign w:val="center"/>
          </w:tcPr>
          <w:p w14:paraId="657B9574" w14:textId="1480B1E4" w:rsidR="00276F69" w:rsidRPr="00905499" w:rsidRDefault="00C74D16" w:rsidP="00276F69">
            <w:pPr>
              <w:ind w:left="142" w:hanging="142"/>
              <w:rPr>
                <w:rFonts w:ascii="Times New Roman" w:hAnsi="Times New Roman" w:cs="Times New Roman"/>
                <w:sz w:val="16"/>
                <w:szCs w:val="16"/>
                <w:lang w:val="en-US"/>
              </w:rPr>
            </w:pPr>
            <w:r w:rsidRPr="00905499">
              <w:rPr>
                <w:rFonts w:ascii="Times New Roman" w:hAnsi="Times New Roman" w:cs="Times New Roman"/>
                <w:sz w:val="16"/>
                <w:szCs w:val="16"/>
                <w:lang w:val="en-US"/>
              </w:rPr>
              <w:t>.183[.059, .307]*</w:t>
            </w:r>
            <w:r w:rsidR="00862B20" w:rsidRPr="00905499">
              <w:rPr>
                <w:rFonts w:ascii="Times New Roman" w:hAnsi="Times New Roman" w:cs="Times New Roman"/>
                <w:sz w:val="16"/>
                <w:szCs w:val="16"/>
                <w:lang w:val="en-US"/>
              </w:rPr>
              <w:t>*</w:t>
            </w:r>
          </w:p>
        </w:tc>
        <w:tc>
          <w:tcPr>
            <w:tcW w:w="1701" w:type="dxa"/>
            <w:tcBorders>
              <w:top w:val="single" w:sz="4" w:space="0" w:color="auto"/>
            </w:tcBorders>
            <w:vAlign w:val="center"/>
          </w:tcPr>
          <w:p w14:paraId="512180DF" w14:textId="56A713B9" w:rsidR="00276F69" w:rsidRPr="00905499" w:rsidRDefault="00A61CAD"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.188[.064, .312]*</w:t>
            </w:r>
            <w:r w:rsidR="00862B20" w:rsidRPr="00905499">
              <w:rPr>
                <w:rFonts w:ascii="Times New Roman" w:hAnsi="Times New Roman" w:cs="Times New Roman"/>
                <w:sz w:val="15"/>
                <w:szCs w:val="15"/>
                <w:lang w:val="en-US"/>
              </w:rPr>
              <w:t>**</w:t>
            </w:r>
          </w:p>
        </w:tc>
        <w:tc>
          <w:tcPr>
            <w:tcW w:w="1701" w:type="dxa"/>
            <w:tcBorders>
              <w:top w:val="single" w:sz="4" w:space="0" w:color="auto"/>
            </w:tcBorders>
            <w:vAlign w:val="center"/>
          </w:tcPr>
          <w:p w14:paraId="0D59BCE9" w14:textId="4B4F30F7" w:rsidR="00276F69" w:rsidRPr="00905499" w:rsidRDefault="00A61CAD" w:rsidP="00276F69">
            <w:pPr>
              <w:ind w:left="142" w:hanging="142"/>
              <w:rPr>
                <w:rFonts w:ascii="Times New Roman" w:hAnsi="Times New Roman" w:cs="Times New Roman"/>
                <w:sz w:val="16"/>
                <w:szCs w:val="16"/>
                <w:lang w:val="en-US"/>
              </w:rPr>
            </w:pPr>
            <w:r w:rsidRPr="00905499">
              <w:rPr>
                <w:rFonts w:ascii="Times New Roman" w:hAnsi="Times New Roman" w:cs="Times New Roman"/>
                <w:sz w:val="16"/>
                <w:szCs w:val="16"/>
                <w:lang w:val="en-US"/>
              </w:rPr>
              <w:t>.126[-.006, .259]</w:t>
            </w:r>
          </w:p>
        </w:tc>
        <w:tc>
          <w:tcPr>
            <w:tcW w:w="1701" w:type="dxa"/>
            <w:gridSpan w:val="2"/>
            <w:tcBorders>
              <w:top w:val="single" w:sz="4" w:space="0" w:color="auto"/>
            </w:tcBorders>
          </w:tcPr>
          <w:p w14:paraId="46B0FE93" w14:textId="2B68036E" w:rsidR="00276F69" w:rsidRPr="00905499" w:rsidRDefault="00261F66"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.135[.004, .267]*</w:t>
            </w:r>
          </w:p>
        </w:tc>
      </w:tr>
      <w:tr w:rsidR="00276F69" w:rsidRPr="00905499" w14:paraId="2A9A19A0" w14:textId="77777777" w:rsidTr="001E1B19">
        <w:trPr>
          <w:trHeight w:val="244"/>
        </w:trPr>
        <w:tc>
          <w:tcPr>
            <w:tcW w:w="1339" w:type="dxa"/>
          </w:tcPr>
          <w:p w14:paraId="108E74F3" w14:textId="74D5CFDD" w:rsidR="00276F69" w:rsidRPr="00905499" w:rsidRDefault="00276F69"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Math Achievement</w:t>
            </w:r>
          </w:p>
        </w:tc>
        <w:tc>
          <w:tcPr>
            <w:tcW w:w="1523" w:type="dxa"/>
            <w:vAlign w:val="center"/>
          </w:tcPr>
          <w:p w14:paraId="4429444D" w14:textId="1E2417DB" w:rsidR="00276F69" w:rsidRPr="00905499" w:rsidRDefault="0016312C"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.466[.292, .641]*</w:t>
            </w:r>
            <w:r w:rsidR="006B4AF6" w:rsidRPr="00905499">
              <w:rPr>
                <w:rFonts w:ascii="Times New Roman" w:hAnsi="Times New Roman" w:cs="Times New Roman"/>
                <w:sz w:val="15"/>
                <w:szCs w:val="15"/>
                <w:lang w:val="en-US"/>
              </w:rPr>
              <w:t>**</w:t>
            </w:r>
          </w:p>
        </w:tc>
        <w:tc>
          <w:tcPr>
            <w:tcW w:w="1523" w:type="dxa"/>
            <w:vAlign w:val="center"/>
          </w:tcPr>
          <w:p w14:paraId="7E2E1662" w14:textId="3B899E31" w:rsidR="00276F69" w:rsidRPr="00905499" w:rsidRDefault="0016312C"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.466[.291, .641]*</w:t>
            </w:r>
            <w:r w:rsidR="006B4AF6" w:rsidRPr="00905499">
              <w:rPr>
                <w:rFonts w:ascii="Times New Roman" w:hAnsi="Times New Roman" w:cs="Times New Roman"/>
                <w:sz w:val="15"/>
                <w:szCs w:val="15"/>
                <w:lang w:val="en-US"/>
              </w:rPr>
              <w:t>**</w:t>
            </w:r>
          </w:p>
        </w:tc>
        <w:tc>
          <w:tcPr>
            <w:tcW w:w="1677" w:type="dxa"/>
            <w:vAlign w:val="center"/>
          </w:tcPr>
          <w:p w14:paraId="491DBAB1" w14:textId="2835338C" w:rsidR="00276F69" w:rsidRPr="00905499" w:rsidRDefault="00C74D16" w:rsidP="00276F69">
            <w:pPr>
              <w:ind w:left="142" w:hanging="142"/>
              <w:rPr>
                <w:rFonts w:ascii="Times New Roman" w:hAnsi="Times New Roman" w:cs="Times New Roman"/>
                <w:sz w:val="16"/>
                <w:szCs w:val="16"/>
                <w:lang w:val="en-US"/>
              </w:rPr>
            </w:pPr>
            <w:r w:rsidRPr="00905499">
              <w:rPr>
                <w:rFonts w:ascii="Times New Roman" w:hAnsi="Times New Roman" w:cs="Times New Roman"/>
                <w:sz w:val="16"/>
                <w:szCs w:val="16"/>
                <w:lang w:val="en-US"/>
              </w:rPr>
              <w:t>.474[.297, .652]*</w:t>
            </w:r>
            <w:r w:rsidR="00862B20" w:rsidRPr="00905499">
              <w:rPr>
                <w:rFonts w:ascii="Times New Roman" w:hAnsi="Times New Roman" w:cs="Times New Roman"/>
                <w:sz w:val="16"/>
                <w:szCs w:val="16"/>
                <w:lang w:val="en-US"/>
              </w:rPr>
              <w:t>**</w:t>
            </w:r>
          </w:p>
        </w:tc>
        <w:tc>
          <w:tcPr>
            <w:tcW w:w="1701" w:type="dxa"/>
            <w:vAlign w:val="center"/>
          </w:tcPr>
          <w:p w14:paraId="148FF357" w14:textId="62AC843C" w:rsidR="00276F69" w:rsidRPr="00905499" w:rsidRDefault="00A61CAD"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.473[.296, .651]*</w:t>
            </w:r>
            <w:r w:rsidR="00862B20" w:rsidRPr="00905499">
              <w:rPr>
                <w:rFonts w:ascii="Times New Roman" w:hAnsi="Times New Roman" w:cs="Times New Roman"/>
                <w:sz w:val="15"/>
                <w:szCs w:val="15"/>
                <w:lang w:val="en-US"/>
              </w:rPr>
              <w:t>**</w:t>
            </w:r>
          </w:p>
        </w:tc>
        <w:tc>
          <w:tcPr>
            <w:tcW w:w="1701" w:type="dxa"/>
            <w:vAlign w:val="center"/>
          </w:tcPr>
          <w:p w14:paraId="71771EAE" w14:textId="6C5A3749" w:rsidR="00276F69" w:rsidRPr="00905499" w:rsidRDefault="00A61CAD" w:rsidP="00276F69">
            <w:pPr>
              <w:ind w:left="142" w:hanging="142"/>
              <w:rPr>
                <w:rFonts w:ascii="Times New Roman" w:hAnsi="Times New Roman" w:cs="Times New Roman"/>
                <w:sz w:val="16"/>
                <w:szCs w:val="16"/>
                <w:lang w:val="en-US"/>
              </w:rPr>
            </w:pPr>
            <w:r w:rsidRPr="00905499">
              <w:rPr>
                <w:rFonts w:ascii="Times New Roman" w:hAnsi="Times New Roman" w:cs="Times New Roman"/>
                <w:sz w:val="16"/>
                <w:szCs w:val="16"/>
                <w:lang w:val="en-US"/>
              </w:rPr>
              <w:t>.475[.297, .652]*</w:t>
            </w:r>
            <w:r w:rsidR="00520131" w:rsidRPr="00905499">
              <w:rPr>
                <w:rFonts w:ascii="Times New Roman" w:hAnsi="Times New Roman" w:cs="Times New Roman"/>
                <w:sz w:val="16"/>
                <w:szCs w:val="16"/>
                <w:lang w:val="en-US"/>
              </w:rPr>
              <w:t>**</w:t>
            </w:r>
          </w:p>
        </w:tc>
        <w:tc>
          <w:tcPr>
            <w:tcW w:w="1701" w:type="dxa"/>
            <w:gridSpan w:val="2"/>
          </w:tcPr>
          <w:p w14:paraId="01E0DD65" w14:textId="07E4D9BD" w:rsidR="00276F69" w:rsidRPr="00905499" w:rsidRDefault="00261F66"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.475[.296, .654]*</w:t>
            </w:r>
            <w:r w:rsidR="001E1B19" w:rsidRPr="00905499">
              <w:rPr>
                <w:rFonts w:ascii="Times New Roman" w:hAnsi="Times New Roman" w:cs="Times New Roman"/>
                <w:sz w:val="15"/>
                <w:szCs w:val="15"/>
                <w:lang w:val="en-US"/>
              </w:rPr>
              <w:t>**</w:t>
            </w:r>
          </w:p>
        </w:tc>
      </w:tr>
      <w:tr w:rsidR="00276F69" w:rsidRPr="00905499" w14:paraId="26B75426" w14:textId="77777777" w:rsidTr="001E1B19">
        <w:trPr>
          <w:trHeight w:val="244"/>
        </w:trPr>
        <w:tc>
          <w:tcPr>
            <w:tcW w:w="1339" w:type="dxa"/>
          </w:tcPr>
          <w:p w14:paraId="4C3B670E" w14:textId="6223EB01" w:rsidR="00276F69" w:rsidRPr="00905499" w:rsidRDefault="00276F69"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Reading Achievement</w:t>
            </w:r>
          </w:p>
        </w:tc>
        <w:tc>
          <w:tcPr>
            <w:tcW w:w="1523" w:type="dxa"/>
            <w:vAlign w:val="center"/>
          </w:tcPr>
          <w:p w14:paraId="1DED6592" w14:textId="29466B3C" w:rsidR="00276F69" w:rsidRPr="00905499" w:rsidRDefault="0016312C"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.059[-.172, .289]</w:t>
            </w:r>
          </w:p>
        </w:tc>
        <w:tc>
          <w:tcPr>
            <w:tcW w:w="1523" w:type="dxa"/>
            <w:vAlign w:val="center"/>
          </w:tcPr>
          <w:p w14:paraId="375E5194" w14:textId="0E3ADDE9" w:rsidR="00276F69" w:rsidRPr="00905499" w:rsidRDefault="0016312C"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.060[-.171, .292]</w:t>
            </w:r>
          </w:p>
        </w:tc>
        <w:tc>
          <w:tcPr>
            <w:tcW w:w="1677" w:type="dxa"/>
            <w:vAlign w:val="center"/>
          </w:tcPr>
          <w:p w14:paraId="386C75CE" w14:textId="3A6A340A" w:rsidR="00276F69" w:rsidRPr="00905499" w:rsidRDefault="00C74D16"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.079[-.142, .300]</w:t>
            </w:r>
          </w:p>
        </w:tc>
        <w:tc>
          <w:tcPr>
            <w:tcW w:w="1701" w:type="dxa"/>
            <w:vAlign w:val="center"/>
          </w:tcPr>
          <w:p w14:paraId="33F02DEA" w14:textId="18DEEDC9" w:rsidR="00276F69" w:rsidRPr="00905499" w:rsidRDefault="00A61CAD"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.082[-.139, .303]</w:t>
            </w:r>
          </w:p>
        </w:tc>
        <w:tc>
          <w:tcPr>
            <w:tcW w:w="1701" w:type="dxa"/>
            <w:vAlign w:val="center"/>
          </w:tcPr>
          <w:p w14:paraId="201E27D3" w14:textId="49E174C3" w:rsidR="00276F69" w:rsidRPr="00905499" w:rsidRDefault="00A61CAD"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.077[-.148, .301]</w:t>
            </w:r>
          </w:p>
        </w:tc>
        <w:tc>
          <w:tcPr>
            <w:tcW w:w="1701" w:type="dxa"/>
            <w:gridSpan w:val="2"/>
          </w:tcPr>
          <w:p w14:paraId="3FEA9DDF" w14:textId="694D5D6C" w:rsidR="00276F69" w:rsidRPr="00905499" w:rsidRDefault="00261F66"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.078[-.147, .303]</w:t>
            </w:r>
          </w:p>
        </w:tc>
      </w:tr>
      <w:tr w:rsidR="00276F69" w:rsidRPr="00905499" w14:paraId="5CC0141C" w14:textId="77777777" w:rsidTr="001E1B19">
        <w:trPr>
          <w:trHeight w:val="244"/>
        </w:trPr>
        <w:tc>
          <w:tcPr>
            <w:tcW w:w="1339" w:type="dxa"/>
          </w:tcPr>
          <w:p w14:paraId="3C5574BF" w14:textId="4FD04D9D" w:rsidR="00276F69" w:rsidRPr="00905499" w:rsidRDefault="00276F69"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Science Achievement</w:t>
            </w:r>
          </w:p>
        </w:tc>
        <w:tc>
          <w:tcPr>
            <w:tcW w:w="1523" w:type="dxa"/>
            <w:vAlign w:val="center"/>
          </w:tcPr>
          <w:p w14:paraId="356C8686" w14:textId="0D8C9A2B" w:rsidR="00276F69" w:rsidRPr="00905499" w:rsidRDefault="0016312C"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.132[-.105, .370]</w:t>
            </w:r>
          </w:p>
        </w:tc>
        <w:tc>
          <w:tcPr>
            <w:tcW w:w="1523" w:type="dxa"/>
            <w:vAlign w:val="center"/>
          </w:tcPr>
          <w:p w14:paraId="1F7192EE" w14:textId="035FF73C" w:rsidR="00276F69" w:rsidRPr="00905499" w:rsidRDefault="0016312C"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.133[-.104, .370]</w:t>
            </w:r>
          </w:p>
        </w:tc>
        <w:tc>
          <w:tcPr>
            <w:tcW w:w="1677" w:type="dxa"/>
            <w:vAlign w:val="center"/>
          </w:tcPr>
          <w:p w14:paraId="631E7C8A" w14:textId="175B4651" w:rsidR="00276F69" w:rsidRPr="00905499" w:rsidRDefault="00C74D16"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.110[-.113, .332]</w:t>
            </w:r>
          </w:p>
        </w:tc>
        <w:tc>
          <w:tcPr>
            <w:tcW w:w="1701" w:type="dxa"/>
            <w:vAlign w:val="center"/>
          </w:tcPr>
          <w:p w14:paraId="239CB04C" w14:textId="3B54F829" w:rsidR="00276F69" w:rsidRPr="00905499" w:rsidRDefault="00A61CAD"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.113[-.110, .336]</w:t>
            </w:r>
          </w:p>
        </w:tc>
        <w:tc>
          <w:tcPr>
            <w:tcW w:w="1701" w:type="dxa"/>
            <w:vAlign w:val="center"/>
          </w:tcPr>
          <w:p w14:paraId="4D24183E" w14:textId="69494A28" w:rsidR="00276F69" w:rsidRPr="00905499" w:rsidRDefault="00A61CAD"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.115[-.107, .338]</w:t>
            </w:r>
          </w:p>
        </w:tc>
        <w:tc>
          <w:tcPr>
            <w:tcW w:w="1701" w:type="dxa"/>
            <w:gridSpan w:val="2"/>
          </w:tcPr>
          <w:p w14:paraId="7CC2EB0C" w14:textId="5B542EA4" w:rsidR="00276F69" w:rsidRPr="00905499" w:rsidRDefault="00261F66"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.117[-.106, .341]</w:t>
            </w:r>
          </w:p>
        </w:tc>
      </w:tr>
      <w:tr w:rsidR="00276F69" w:rsidRPr="00905499" w14:paraId="6265BE67" w14:textId="77777777" w:rsidTr="001E1B19">
        <w:trPr>
          <w:trHeight w:val="244"/>
        </w:trPr>
        <w:tc>
          <w:tcPr>
            <w:tcW w:w="1339" w:type="dxa"/>
          </w:tcPr>
          <w:p w14:paraId="0DE7473D" w14:textId="74466908" w:rsidR="00276F69" w:rsidRPr="00905499" w:rsidRDefault="00276F69"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 xml:space="preserve">Indigenous </w:t>
            </w:r>
          </w:p>
        </w:tc>
        <w:tc>
          <w:tcPr>
            <w:tcW w:w="1523" w:type="dxa"/>
            <w:vAlign w:val="center"/>
          </w:tcPr>
          <w:p w14:paraId="7CA4996B" w14:textId="66030E07" w:rsidR="00276F69" w:rsidRPr="00905499" w:rsidRDefault="0016312C"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-.162[-.840, .515]</w:t>
            </w:r>
          </w:p>
        </w:tc>
        <w:tc>
          <w:tcPr>
            <w:tcW w:w="1523" w:type="dxa"/>
            <w:vAlign w:val="center"/>
          </w:tcPr>
          <w:p w14:paraId="519E88CB" w14:textId="139C6622" w:rsidR="00276F69" w:rsidRPr="00905499" w:rsidRDefault="0016312C"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-.058[-.903, .788]</w:t>
            </w:r>
          </w:p>
        </w:tc>
        <w:tc>
          <w:tcPr>
            <w:tcW w:w="1677" w:type="dxa"/>
            <w:vAlign w:val="center"/>
          </w:tcPr>
          <w:p w14:paraId="49F2B561" w14:textId="23A54D5F" w:rsidR="00276F69" w:rsidRPr="00905499" w:rsidRDefault="00C74D16"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-.242[-.944, .460]</w:t>
            </w:r>
          </w:p>
        </w:tc>
        <w:tc>
          <w:tcPr>
            <w:tcW w:w="1701" w:type="dxa"/>
            <w:vAlign w:val="center"/>
          </w:tcPr>
          <w:p w14:paraId="7F2517B6" w14:textId="45C102F4" w:rsidR="00276F69" w:rsidRPr="00905499" w:rsidRDefault="00A61CAD"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-.091[-.820, .637]</w:t>
            </w:r>
          </w:p>
        </w:tc>
        <w:tc>
          <w:tcPr>
            <w:tcW w:w="1701" w:type="dxa"/>
            <w:vAlign w:val="center"/>
          </w:tcPr>
          <w:p w14:paraId="4D0B9A47" w14:textId="3BAEE142" w:rsidR="00276F69" w:rsidRPr="00905499" w:rsidRDefault="00A61CAD"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-.196[-.894, .502]</w:t>
            </w:r>
          </w:p>
        </w:tc>
        <w:tc>
          <w:tcPr>
            <w:tcW w:w="1701" w:type="dxa"/>
            <w:gridSpan w:val="2"/>
          </w:tcPr>
          <w:p w14:paraId="512A64B1" w14:textId="1D8530F5" w:rsidR="00276F69" w:rsidRPr="00905499" w:rsidRDefault="00261F66"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-.037[-.862, .787]</w:t>
            </w:r>
          </w:p>
        </w:tc>
      </w:tr>
      <w:tr w:rsidR="00276F69" w:rsidRPr="00905499" w14:paraId="7426875A" w14:textId="77777777" w:rsidTr="001E1B19">
        <w:trPr>
          <w:trHeight w:val="244"/>
        </w:trPr>
        <w:tc>
          <w:tcPr>
            <w:tcW w:w="1339" w:type="dxa"/>
          </w:tcPr>
          <w:p w14:paraId="4ACC5BAE" w14:textId="05236B81" w:rsidR="00276F69" w:rsidRPr="00905499" w:rsidRDefault="00276F69"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Male</w:t>
            </w:r>
          </w:p>
        </w:tc>
        <w:tc>
          <w:tcPr>
            <w:tcW w:w="1523" w:type="dxa"/>
            <w:vAlign w:val="center"/>
          </w:tcPr>
          <w:p w14:paraId="1CE604AB" w14:textId="1E3E1B68" w:rsidR="00276F69" w:rsidRPr="00905499" w:rsidRDefault="0016312C"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-.061[-.239, .117]</w:t>
            </w:r>
          </w:p>
        </w:tc>
        <w:tc>
          <w:tcPr>
            <w:tcW w:w="1523" w:type="dxa"/>
            <w:vAlign w:val="center"/>
          </w:tcPr>
          <w:p w14:paraId="3F4DE186" w14:textId="7206D5B4" w:rsidR="00276F69" w:rsidRPr="00905499" w:rsidRDefault="0016312C"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-.061[-.240, .117]</w:t>
            </w:r>
          </w:p>
        </w:tc>
        <w:tc>
          <w:tcPr>
            <w:tcW w:w="1677" w:type="dxa"/>
            <w:vAlign w:val="center"/>
          </w:tcPr>
          <w:p w14:paraId="29D19D82" w14:textId="1795F4FB" w:rsidR="00276F69" w:rsidRPr="00905499" w:rsidRDefault="00C74D16"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-.122[-.293, .049]</w:t>
            </w:r>
          </w:p>
        </w:tc>
        <w:tc>
          <w:tcPr>
            <w:tcW w:w="1701" w:type="dxa"/>
            <w:vAlign w:val="center"/>
          </w:tcPr>
          <w:p w14:paraId="6994572C" w14:textId="189B1E1D" w:rsidR="00276F69" w:rsidRPr="00905499" w:rsidRDefault="00A61CAD"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-.121[-.293, .050]</w:t>
            </w:r>
          </w:p>
        </w:tc>
        <w:tc>
          <w:tcPr>
            <w:tcW w:w="1701" w:type="dxa"/>
            <w:vAlign w:val="center"/>
          </w:tcPr>
          <w:p w14:paraId="7AE10FBE" w14:textId="3F047D10" w:rsidR="00276F69" w:rsidRPr="00905499" w:rsidRDefault="00A61CAD"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-.108[-.281, .064]</w:t>
            </w:r>
          </w:p>
        </w:tc>
        <w:tc>
          <w:tcPr>
            <w:tcW w:w="1701" w:type="dxa"/>
            <w:gridSpan w:val="2"/>
          </w:tcPr>
          <w:p w14:paraId="2725E748" w14:textId="34C8FC56" w:rsidR="00276F69" w:rsidRPr="00905499" w:rsidRDefault="00261F66"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-.106[-.279, .066]</w:t>
            </w:r>
          </w:p>
        </w:tc>
      </w:tr>
      <w:tr w:rsidR="00276F69" w:rsidRPr="00905499" w14:paraId="1B0C07FD" w14:textId="77777777" w:rsidTr="001E1B19">
        <w:trPr>
          <w:trHeight w:val="244"/>
        </w:trPr>
        <w:tc>
          <w:tcPr>
            <w:tcW w:w="1339" w:type="dxa"/>
          </w:tcPr>
          <w:p w14:paraId="54E0DC63" w14:textId="379B2E15" w:rsidR="00276F69" w:rsidRPr="00905499" w:rsidRDefault="00276F69"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LSAY 2006</w:t>
            </w:r>
          </w:p>
        </w:tc>
        <w:tc>
          <w:tcPr>
            <w:tcW w:w="1523" w:type="dxa"/>
            <w:vAlign w:val="center"/>
          </w:tcPr>
          <w:p w14:paraId="5173AF82" w14:textId="4FAE17BB" w:rsidR="00276F69" w:rsidRPr="00905499" w:rsidRDefault="0016312C"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.057[-.051, .165]</w:t>
            </w:r>
          </w:p>
        </w:tc>
        <w:tc>
          <w:tcPr>
            <w:tcW w:w="1523" w:type="dxa"/>
            <w:vAlign w:val="center"/>
          </w:tcPr>
          <w:p w14:paraId="5E20FD7E" w14:textId="0B4152CE" w:rsidR="00276F69" w:rsidRPr="00905499" w:rsidRDefault="0016312C"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.057[-.051, .165]</w:t>
            </w:r>
          </w:p>
        </w:tc>
        <w:tc>
          <w:tcPr>
            <w:tcW w:w="1677" w:type="dxa"/>
            <w:vAlign w:val="center"/>
          </w:tcPr>
          <w:p w14:paraId="32A9C0DD" w14:textId="6EE3EEE3" w:rsidR="00276F69" w:rsidRPr="00905499" w:rsidRDefault="00C74D16"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.050[-.056, .155]</w:t>
            </w:r>
          </w:p>
        </w:tc>
        <w:tc>
          <w:tcPr>
            <w:tcW w:w="1701" w:type="dxa"/>
            <w:vAlign w:val="center"/>
          </w:tcPr>
          <w:p w14:paraId="35589BF4" w14:textId="11DEFF5A" w:rsidR="00276F69" w:rsidRPr="00905499" w:rsidRDefault="00A61CAD"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.052[-.053, .158]</w:t>
            </w:r>
          </w:p>
        </w:tc>
        <w:tc>
          <w:tcPr>
            <w:tcW w:w="1701" w:type="dxa"/>
            <w:vAlign w:val="center"/>
          </w:tcPr>
          <w:p w14:paraId="2363A5ED" w14:textId="2A3EB1B8" w:rsidR="00276F69" w:rsidRPr="00905499" w:rsidRDefault="00A61CAD"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.054[-.052, .159]</w:t>
            </w:r>
          </w:p>
        </w:tc>
        <w:tc>
          <w:tcPr>
            <w:tcW w:w="1701" w:type="dxa"/>
            <w:gridSpan w:val="2"/>
          </w:tcPr>
          <w:p w14:paraId="40E1371C" w14:textId="19B3E5F2" w:rsidR="00276F69" w:rsidRPr="00905499" w:rsidRDefault="00261F66"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.056[-.048, .161]</w:t>
            </w:r>
          </w:p>
        </w:tc>
      </w:tr>
      <w:tr w:rsidR="00276F69" w:rsidRPr="00905499" w14:paraId="185577A8" w14:textId="77777777" w:rsidTr="001E1B19">
        <w:trPr>
          <w:trHeight w:val="244"/>
        </w:trPr>
        <w:tc>
          <w:tcPr>
            <w:tcW w:w="1339" w:type="dxa"/>
          </w:tcPr>
          <w:p w14:paraId="6004A883" w14:textId="21DC3596" w:rsidR="00276F69" w:rsidRPr="00905499" w:rsidRDefault="00276F69"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State of Residence</w:t>
            </w:r>
            <w:r w:rsidRPr="00905499">
              <w:rPr>
                <w:rFonts w:ascii="Times New Roman" w:hAnsi="Times New Roman" w:cs="Times New Roman"/>
                <w:sz w:val="15"/>
                <w:szCs w:val="15"/>
                <w:vertAlign w:val="superscript"/>
                <w:lang w:val="en-US"/>
              </w:rPr>
              <w:t>1</w:t>
            </w:r>
            <w:r w:rsidRPr="00905499">
              <w:rPr>
                <w:rFonts w:ascii="Times New Roman" w:hAnsi="Times New Roman" w:cs="Times New Roman"/>
                <w:sz w:val="15"/>
                <w:szCs w:val="15"/>
                <w:lang w:val="en-US"/>
              </w:rPr>
              <w:t xml:space="preserve">: </w:t>
            </w:r>
          </w:p>
        </w:tc>
        <w:tc>
          <w:tcPr>
            <w:tcW w:w="1523" w:type="dxa"/>
            <w:vAlign w:val="center"/>
          </w:tcPr>
          <w:p w14:paraId="2DC1805C" w14:textId="77777777" w:rsidR="00276F69" w:rsidRPr="00905499" w:rsidRDefault="00276F69" w:rsidP="00276F69">
            <w:pPr>
              <w:ind w:left="142" w:hanging="142"/>
              <w:rPr>
                <w:rFonts w:ascii="Times New Roman" w:hAnsi="Times New Roman" w:cs="Times New Roman"/>
                <w:sz w:val="15"/>
                <w:szCs w:val="15"/>
                <w:lang w:val="en-US"/>
              </w:rPr>
            </w:pPr>
          </w:p>
        </w:tc>
        <w:tc>
          <w:tcPr>
            <w:tcW w:w="1523" w:type="dxa"/>
            <w:vAlign w:val="center"/>
          </w:tcPr>
          <w:p w14:paraId="736609EF" w14:textId="77777777" w:rsidR="00276F69" w:rsidRPr="00905499" w:rsidRDefault="00276F69" w:rsidP="00276F69">
            <w:pPr>
              <w:ind w:left="142" w:hanging="142"/>
              <w:rPr>
                <w:rFonts w:ascii="Times New Roman" w:hAnsi="Times New Roman" w:cs="Times New Roman"/>
                <w:sz w:val="15"/>
                <w:szCs w:val="15"/>
                <w:lang w:val="en-US"/>
              </w:rPr>
            </w:pPr>
          </w:p>
        </w:tc>
        <w:tc>
          <w:tcPr>
            <w:tcW w:w="1677" w:type="dxa"/>
            <w:vAlign w:val="center"/>
          </w:tcPr>
          <w:p w14:paraId="2C97FEBA" w14:textId="77777777" w:rsidR="00276F69" w:rsidRPr="00905499" w:rsidRDefault="00276F69" w:rsidP="00276F69">
            <w:pPr>
              <w:ind w:left="142" w:hanging="142"/>
              <w:rPr>
                <w:rFonts w:ascii="Times New Roman" w:hAnsi="Times New Roman" w:cs="Times New Roman"/>
                <w:sz w:val="15"/>
                <w:szCs w:val="15"/>
                <w:lang w:val="en-US"/>
              </w:rPr>
            </w:pPr>
          </w:p>
        </w:tc>
        <w:tc>
          <w:tcPr>
            <w:tcW w:w="1701" w:type="dxa"/>
            <w:vAlign w:val="center"/>
          </w:tcPr>
          <w:p w14:paraId="5E13E46F" w14:textId="77777777" w:rsidR="00276F69" w:rsidRPr="00905499" w:rsidRDefault="00276F69" w:rsidP="00276F69">
            <w:pPr>
              <w:ind w:left="142" w:hanging="142"/>
              <w:rPr>
                <w:rFonts w:ascii="Times New Roman" w:hAnsi="Times New Roman" w:cs="Times New Roman"/>
                <w:sz w:val="15"/>
                <w:szCs w:val="15"/>
                <w:lang w:val="en-US"/>
              </w:rPr>
            </w:pPr>
          </w:p>
        </w:tc>
        <w:tc>
          <w:tcPr>
            <w:tcW w:w="1701" w:type="dxa"/>
            <w:vAlign w:val="center"/>
          </w:tcPr>
          <w:p w14:paraId="3C2F5F60" w14:textId="77777777" w:rsidR="00276F69" w:rsidRPr="00905499" w:rsidRDefault="00276F69" w:rsidP="00276F69">
            <w:pPr>
              <w:ind w:left="142" w:hanging="142"/>
              <w:rPr>
                <w:rFonts w:ascii="Times New Roman" w:hAnsi="Times New Roman" w:cs="Times New Roman"/>
                <w:sz w:val="15"/>
                <w:szCs w:val="15"/>
                <w:lang w:val="en-US"/>
              </w:rPr>
            </w:pPr>
          </w:p>
        </w:tc>
        <w:tc>
          <w:tcPr>
            <w:tcW w:w="1701" w:type="dxa"/>
            <w:gridSpan w:val="2"/>
          </w:tcPr>
          <w:p w14:paraId="006AB2AE" w14:textId="77777777" w:rsidR="00276F69" w:rsidRPr="00905499" w:rsidRDefault="00276F69" w:rsidP="00276F69">
            <w:pPr>
              <w:ind w:left="142" w:hanging="142"/>
              <w:rPr>
                <w:rFonts w:ascii="Times New Roman" w:hAnsi="Times New Roman" w:cs="Times New Roman"/>
                <w:sz w:val="15"/>
                <w:szCs w:val="15"/>
                <w:lang w:val="en-US"/>
              </w:rPr>
            </w:pPr>
          </w:p>
        </w:tc>
      </w:tr>
      <w:tr w:rsidR="00276F69" w:rsidRPr="00905499" w14:paraId="07425AB9" w14:textId="77777777" w:rsidTr="001E1B19">
        <w:trPr>
          <w:trHeight w:val="244"/>
        </w:trPr>
        <w:tc>
          <w:tcPr>
            <w:tcW w:w="1339" w:type="dxa"/>
          </w:tcPr>
          <w:p w14:paraId="0A07309A" w14:textId="179F20B5" w:rsidR="00276F69" w:rsidRPr="00905499" w:rsidRDefault="00276F69"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 xml:space="preserve">    NSW</w:t>
            </w:r>
          </w:p>
        </w:tc>
        <w:tc>
          <w:tcPr>
            <w:tcW w:w="1523" w:type="dxa"/>
            <w:vAlign w:val="center"/>
          </w:tcPr>
          <w:p w14:paraId="50E04B34" w14:textId="6412C6FF" w:rsidR="00276F69" w:rsidRPr="00905499" w:rsidRDefault="0016312C"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-.169[-.486, .149]</w:t>
            </w:r>
          </w:p>
        </w:tc>
        <w:tc>
          <w:tcPr>
            <w:tcW w:w="1523" w:type="dxa"/>
            <w:vAlign w:val="center"/>
          </w:tcPr>
          <w:p w14:paraId="47B1D9C4" w14:textId="0FCA1CD3" w:rsidR="00276F69" w:rsidRPr="00905499" w:rsidRDefault="00C74D16"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-.183[-.499, .132]</w:t>
            </w:r>
          </w:p>
        </w:tc>
        <w:tc>
          <w:tcPr>
            <w:tcW w:w="1677" w:type="dxa"/>
            <w:vAlign w:val="center"/>
          </w:tcPr>
          <w:p w14:paraId="0CFBFFCF" w14:textId="1C0752C9" w:rsidR="00276F69" w:rsidRPr="00905499" w:rsidRDefault="00C74D16"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-.818[-1.168, -.468]*</w:t>
            </w:r>
            <w:r w:rsidR="00862B20" w:rsidRPr="00905499">
              <w:rPr>
                <w:rFonts w:ascii="Times New Roman" w:hAnsi="Times New Roman" w:cs="Times New Roman"/>
                <w:sz w:val="15"/>
                <w:szCs w:val="15"/>
                <w:lang w:val="en-US"/>
              </w:rPr>
              <w:t>**</w:t>
            </w:r>
          </w:p>
        </w:tc>
        <w:tc>
          <w:tcPr>
            <w:tcW w:w="1701" w:type="dxa"/>
            <w:vAlign w:val="center"/>
          </w:tcPr>
          <w:p w14:paraId="3A91663E" w14:textId="0F59DE72" w:rsidR="00276F69" w:rsidRPr="00905499" w:rsidRDefault="00A61CAD"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-.800[-1.152, -.448]*</w:t>
            </w:r>
            <w:r w:rsidR="00862B20" w:rsidRPr="00905499">
              <w:rPr>
                <w:rFonts w:ascii="Times New Roman" w:hAnsi="Times New Roman" w:cs="Times New Roman"/>
                <w:sz w:val="15"/>
                <w:szCs w:val="15"/>
                <w:lang w:val="en-US"/>
              </w:rPr>
              <w:t>**</w:t>
            </w:r>
          </w:p>
        </w:tc>
        <w:tc>
          <w:tcPr>
            <w:tcW w:w="1701" w:type="dxa"/>
            <w:vAlign w:val="center"/>
          </w:tcPr>
          <w:p w14:paraId="770C1B48" w14:textId="5C07D6E4" w:rsidR="00276F69" w:rsidRPr="00905499" w:rsidRDefault="00A61CAD"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-.826[-1.174, -.478]*</w:t>
            </w:r>
            <w:r w:rsidR="00520131" w:rsidRPr="00905499">
              <w:rPr>
                <w:rFonts w:ascii="Times New Roman" w:hAnsi="Times New Roman" w:cs="Times New Roman"/>
                <w:sz w:val="15"/>
                <w:szCs w:val="15"/>
                <w:lang w:val="en-US"/>
              </w:rPr>
              <w:t>**</w:t>
            </w:r>
          </w:p>
        </w:tc>
        <w:tc>
          <w:tcPr>
            <w:tcW w:w="1701" w:type="dxa"/>
            <w:gridSpan w:val="2"/>
          </w:tcPr>
          <w:p w14:paraId="267F934B" w14:textId="7181E10D" w:rsidR="00276F69" w:rsidRPr="00905499" w:rsidRDefault="00261F66"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-.803[-1.151, -.455]*</w:t>
            </w:r>
            <w:r w:rsidR="001E1B19" w:rsidRPr="00905499">
              <w:rPr>
                <w:rFonts w:ascii="Times New Roman" w:hAnsi="Times New Roman" w:cs="Times New Roman"/>
                <w:sz w:val="15"/>
                <w:szCs w:val="15"/>
                <w:lang w:val="en-US"/>
              </w:rPr>
              <w:t>**</w:t>
            </w:r>
          </w:p>
        </w:tc>
      </w:tr>
      <w:tr w:rsidR="00276F69" w:rsidRPr="00905499" w14:paraId="21BCC2AD" w14:textId="77777777" w:rsidTr="001E1B19">
        <w:trPr>
          <w:trHeight w:val="244"/>
        </w:trPr>
        <w:tc>
          <w:tcPr>
            <w:tcW w:w="1339" w:type="dxa"/>
          </w:tcPr>
          <w:p w14:paraId="7BC6BDD2" w14:textId="618530F3" w:rsidR="00276F69" w:rsidRPr="00905499" w:rsidRDefault="00276F69"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 xml:space="preserve">    VIC</w:t>
            </w:r>
          </w:p>
        </w:tc>
        <w:tc>
          <w:tcPr>
            <w:tcW w:w="1523" w:type="dxa"/>
            <w:vAlign w:val="center"/>
          </w:tcPr>
          <w:p w14:paraId="126D1954" w14:textId="3F690DC3" w:rsidR="00276F69" w:rsidRPr="00905499" w:rsidRDefault="0016312C"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-.086[-.418, .246]</w:t>
            </w:r>
          </w:p>
        </w:tc>
        <w:tc>
          <w:tcPr>
            <w:tcW w:w="1523" w:type="dxa"/>
            <w:vAlign w:val="center"/>
          </w:tcPr>
          <w:p w14:paraId="7E715EB0" w14:textId="57C093EE" w:rsidR="00276F69" w:rsidRPr="00905499" w:rsidRDefault="00C74D16"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-.100[-.431, .231]</w:t>
            </w:r>
          </w:p>
        </w:tc>
        <w:tc>
          <w:tcPr>
            <w:tcW w:w="1677" w:type="dxa"/>
            <w:vAlign w:val="center"/>
          </w:tcPr>
          <w:p w14:paraId="5E4A8876" w14:textId="2D1ECB29" w:rsidR="00276F69" w:rsidRPr="00905499" w:rsidRDefault="00C74D16"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-.353[-.683, -.023]*</w:t>
            </w:r>
          </w:p>
        </w:tc>
        <w:tc>
          <w:tcPr>
            <w:tcW w:w="1701" w:type="dxa"/>
            <w:vAlign w:val="center"/>
          </w:tcPr>
          <w:p w14:paraId="6C6200E3" w14:textId="42BF68C4" w:rsidR="00276F69" w:rsidRPr="00905499" w:rsidRDefault="00A61CAD"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-.333[-.664, -.002]*</w:t>
            </w:r>
          </w:p>
        </w:tc>
        <w:tc>
          <w:tcPr>
            <w:tcW w:w="1701" w:type="dxa"/>
            <w:vAlign w:val="center"/>
          </w:tcPr>
          <w:p w14:paraId="06C9057F" w14:textId="33CBCDE8" w:rsidR="00276F69" w:rsidRPr="00905499" w:rsidRDefault="00A61CAD"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-.467[-.821</w:t>
            </w:r>
            <w:proofErr w:type="gramStart"/>
            <w:r w:rsidRPr="00905499">
              <w:rPr>
                <w:rFonts w:ascii="Times New Roman" w:hAnsi="Times New Roman" w:cs="Times New Roman"/>
                <w:sz w:val="15"/>
                <w:szCs w:val="15"/>
                <w:lang w:val="en-US"/>
              </w:rPr>
              <w:t>,-</w:t>
            </w:r>
            <w:proofErr w:type="gramEnd"/>
            <w:r w:rsidRPr="00905499">
              <w:rPr>
                <w:rFonts w:ascii="Times New Roman" w:hAnsi="Times New Roman" w:cs="Times New Roman"/>
                <w:sz w:val="15"/>
                <w:szCs w:val="15"/>
                <w:lang w:val="en-US"/>
              </w:rPr>
              <w:t>.113]*</w:t>
            </w:r>
            <w:r w:rsidR="00520131" w:rsidRPr="00905499">
              <w:rPr>
                <w:rFonts w:ascii="Times New Roman" w:hAnsi="Times New Roman" w:cs="Times New Roman"/>
                <w:sz w:val="15"/>
                <w:szCs w:val="15"/>
                <w:lang w:val="en-US"/>
              </w:rPr>
              <w:t>*</w:t>
            </w:r>
          </w:p>
        </w:tc>
        <w:tc>
          <w:tcPr>
            <w:tcW w:w="1701" w:type="dxa"/>
            <w:gridSpan w:val="2"/>
          </w:tcPr>
          <w:p w14:paraId="68E48485" w14:textId="1D322FB9" w:rsidR="00276F69" w:rsidRPr="00905499" w:rsidRDefault="00261F66"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-.451[-.804, -.099]*</w:t>
            </w:r>
          </w:p>
        </w:tc>
      </w:tr>
      <w:tr w:rsidR="00276F69" w:rsidRPr="00905499" w14:paraId="723D9219" w14:textId="77777777" w:rsidTr="001E1B19">
        <w:trPr>
          <w:trHeight w:val="244"/>
        </w:trPr>
        <w:tc>
          <w:tcPr>
            <w:tcW w:w="1339" w:type="dxa"/>
          </w:tcPr>
          <w:p w14:paraId="73168702" w14:textId="3F1ACE3B" w:rsidR="00276F69" w:rsidRPr="00905499" w:rsidRDefault="00276F69"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 xml:space="preserve">    QLD</w:t>
            </w:r>
          </w:p>
        </w:tc>
        <w:tc>
          <w:tcPr>
            <w:tcW w:w="1523" w:type="dxa"/>
            <w:vAlign w:val="center"/>
          </w:tcPr>
          <w:p w14:paraId="42463F94" w14:textId="3C41C59C" w:rsidR="00276F69" w:rsidRPr="00905499" w:rsidRDefault="0016312C"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-.374[-.799, .051]</w:t>
            </w:r>
          </w:p>
        </w:tc>
        <w:tc>
          <w:tcPr>
            <w:tcW w:w="1523" w:type="dxa"/>
            <w:vAlign w:val="center"/>
          </w:tcPr>
          <w:p w14:paraId="1C01E151" w14:textId="11F80408" w:rsidR="00276F69" w:rsidRPr="00905499" w:rsidRDefault="00C74D16"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-.383[-.807, .041]</w:t>
            </w:r>
          </w:p>
        </w:tc>
        <w:tc>
          <w:tcPr>
            <w:tcW w:w="1677" w:type="dxa"/>
            <w:vAlign w:val="center"/>
          </w:tcPr>
          <w:p w14:paraId="0F2D9E05" w14:textId="5FFFA316" w:rsidR="00276F69" w:rsidRPr="00905499" w:rsidRDefault="00C74D16" w:rsidP="00C74D16">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-.677[-1.084, -.270]</w:t>
            </w:r>
            <w:r w:rsidR="00862B20" w:rsidRPr="00905499">
              <w:rPr>
                <w:rFonts w:ascii="Times New Roman" w:hAnsi="Times New Roman" w:cs="Times New Roman"/>
                <w:sz w:val="15"/>
                <w:szCs w:val="15"/>
                <w:lang w:val="en-US"/>
              </w:rPr>
              <w:t>**</w:t>
            </w:r>
            <w:r w:rsidRPr="00905499">
              <w:rPr>
                <w:rFonts w:ascii="Times New Roman" w:hAnsi="Times New Roman" w:cs="Times New Roman"/>
                <w:sz w:val="15"/>
                <w:szCs w:val="15"/>
                <w:lang w:val="en-US"/>
              </w:rPr>
              <w:t>*</w:t>
            </w:r>
          </w:p>
        </w:tc>
        <w:tc>
          <w:tcPr>
            <w:tcW w:w="1701" w:type="dxa"/>
            <w:vAlign w:val="center"/>
          </w:tcPr>
          <w:p w14:paraId="6413E521" w14:textId="05B77D6E" w:rsidR="00276F69" w:rsidRPr="00905499" w:rsidRDefault="00A61CAD"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-.660[-1.065, -.254]*</w:t>
            </w:r>
            <w:r w:rsidR="00862B20" w:rsidRPr="00905499">
              <w:rPr>
                <w:rFonts w:ascii="Times New Roman" w:hAnsi="Times New Roman" w:cs="Times New Roman"/>
                <w:sz w:val="15"/>
                <w:szCs w:val="15"/>
                <w:lang w:val="en-US"/>
              </w:rPr>
              <w:t>**</w:t>
            </w:r>
          </w:p>
        </w:tc>
        <w:tc>
          <w:tcPr>
            <w:tcW w:w="1701" w:type="dxa"/>
            <w:vAlign w:val="center"/>
          </w:tcPr>
          <w:p w14:paraId="6A4A0F7B" w14:textId="2CA71865" w:rsidR="00276F69" w:rsidRPr="00905499" w:rsidRDefault="00A61CAD"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-730[-1.139, -.320]*</w:t>
            </w:r>
            <w:r w:rsidR="00520131" w:rsidRPr="00905499">
              <w:rPr>
                <w:rFonts w:ascii="Times New Roman" w:hAnsi="Times New Roman" w:cs="Times New Roman"/>
                <w:sz w:val="15"/>
                <w:szCs w:val="15"/>
                <w:lang w:val="en-US"/>
              </w:rPr>
              <w:t>**</w:t>
            </w:r>
          </w:p>
        </w:tc>
        <w:tc>
          <w:tcPr>
            <w:tcW w:w="1701" w:type="dxa"/>
            <w:gridSpan w:val="2"/>
          </w:tcPr>
          <w:p w14:paraId="3640E27C" w14:textId="096A1FCC" w:rsidR="00276F69" w:rsidRPr="00905499" w:rsidRDefault="00261F66"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-.70</w:t>
            </w:r>
            <w:r w:rsidR="00113D07" w:rsidRPr="00905499">
              <w:rPr>
                <w:rFonts w:ascii="Times New Roman" w:hAnsi="Times New Roman" w:cs="Times New Roman"/>
                <w:sz w:val="15"/>
                <w:szCs w:val="15"/>
                <w:lang w:val="en-US"/>
              </w:rPr>
              <w:t>6[-1.109, -.304]*</w:t>
            </w:r>
            <w:r w:rsidR="001E1B19" w:rsidRPr="00905499">
              <w:rPr>
                <w:rFonts w:ascii="Times New Roman" w:hAnsi="Times New Roman" w:cs="Times New Roman"/>
                <w:sz w:val="15"/>
                <w:szCs w:val="15"/>
                <w:lang w:val="en-US"/>
              </w:rPr>
              <w:t>**</w:t>
            </w:r>
          </w:p>
        </w:tc>
      </w:tr>
      <w:tr w:rsidR="00276F69" w:rsidRPr="00905499" w14:paraId="2312A31E" w14:textId="77777777" w:rsidTr="001E1B19">
        <w:trPr>
          <w:trHeight w:val="244"/>
        </w:trPr>
        <w:tc>
          <w:tcPr>
            <w:tcW w:w="1339" w:type="dxa"/>
          </w:tcPr>
          <w:p w14:paraId="44FE6071" w14:textId="1D0888D9" w:rsidR="00276F69" w:rsidRPr="00905499" w:rsidRDefault="00276F69"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 xml:space="preserve">    SA</w:t>
            </w:r>
          </w:p>
        </w:tc>
        <w:tc>
          <w:tcPr>
            <w:tcW w:w="1523" w:type="dxa"/>
            <w:vAlign w:val="center"/>
          </w:tcPr>
          <w:p w14:paraId="6DC6A391" w14:textId="4246CE5C" w:rsidR="00276F69" w:rsidRPr="00905499" w:rsidRDefault="0016312C"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-.266[-.613, .081]</w:t>
            </w:r>
          </w:p>
        </w:tc>
        <w:tc>
          <w:tcPr>
            <w:tcW w:w="1523" w:type="dxa"/>
            <w:vAlign w:val="center"/>
          </w:tcPr>
          <w:p w14:paraId="787DEDAE" w14:textId="72BF4FF7" w:rsidR="00276F69" w:rsidRPr="00905499" w:rsidRDefault="00C74D16"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-.269[-.614, .077]</w:t>
            </w:r>
          </w:p>
        </w:tc>
        <w:tc>
          <w:tcPr>
            <w:tcW w:w="1677" w:type="dxa"/>
            <w:vAlign w:val="center"/>
          </w:tcPr>
          <w:p w14:paraId="12141DBB" w14:textId="2EBADC6F" w:rsidR="00276F69" w:rsidRPr="00905499" w:rsidRDefault="00C74D16"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-.357[-.696, -.018]*</w:t>
            </w:r>
          </w:p>
        </w:tc>
        <w:tc>
          <w:tcPr>
            <w:tcW w:w="1701" w:type="dxa"/>
            <w:vAlign w:val="center"/>
          </w:tcPr>
          <w:p w14:paraId="28C5499B" w14:textId="106CD7D5" w:rsidR="00276F69" w:rsidRPr="00905499" w:rsidRDefault="00A61CAD"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-.336[-.677</w:t>
            </w:r>
            <w:proofErr w:type="gramStart"/>
            <w:r w:rsidRPr="00905499">
              <w:rPr>
                <w:rFonts w:ascii="Times New Roman" w:hAnsi="Times New Roman" w:cs="Times New Roman"/>
                <w:sz w:val="15"/>
                <w:szCs w:val="15"/>
                <w:lang w:val="en-US"/>
              </w:rPr>
              <w:t>,.</w:t>
            </w:r>
            <w:proofErr w:type="gramEnd"/>
            <w:r w:rsidRPr="00905499">
              <w:rPr>
                <w:rFonts w:ascii="Times New Roman" w:hAnsi="Times New Roman" w:cs="Times New Roman"/>
                <w:sz w:val="15"/>
                <w:szCs w:val="15"/>
                <w:lang w:val="en-US"/>
              </w:rPr>
              <w:t>005]</w:t>
            </w:r>
          </w:p>
        </w:tc>
        <w:tc>
          <w:tcPr>
            <w:tcW w:w="1701" w:type="dxa"/>
            <w:vAlign w:val="center"/>
          </w:tcPr>
          <w:p w14:paraId="33A57B67" w14:textId="05BCFBC4" w:rsidR="00276F69" w:rsidRPr="00905499" w:rsidRDefault="00A61CAD"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-.404[-.746, -.062]*</w:t>
            </w:r>
          </w:p>
        </w:tc>
        <w:tc>
          <w:tcPr>
            <w:tcW w:w="1701" w:type="dxa"/>
            <w:gridSpan w:val="2"/>
          </w:tcPr>
          <w:p w14:paraId="6E7BEBD1" w14:textId="42FB67BB" w:rsidR="00276F69" w:rsidRPr="00905499" w:rsidRDefault="00113D07"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-.376[-.718, -.034]*</w:t>
            </w:r>
          </w:p>
        </w:tc>
      </w:tr>
      <w:tr w:rsidR="00276F69" w:rsidRPr="00905499" w14:paraId="65471A4E" w14:textId="77777777" w:rsidTr="001E1B19">
        <w:trPr>
          <w:trHeight w:val="244"/>
        </w:trPr>
        <w:tc>
          <w:tcPr>
            <w:tcW w:w="1339" w:type="dxa"/>
          </w:tcPr>
          <w:p w14:paraId="013E53F2" w14:textId="73C905C3" w:rsidR="00276F69" w:rsidRPr="00905499" w:rsidRDefault="00276F69"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 xml:space="preserve">    WA</w:t>
            </w:r>
          </w:p>
        </w:tc>
        <w:tc>
          <w:tcPr>
            <w:tcW w:w="1523" w:type="dxa"/>
            <w:vAlign w:val="center"/>
          </w:tcPr>
          <w:p w14:paraId="4F270B82" w14:textId="31676D59" w:rsidR="00276F69" w:rsidRPr="00905499" w:rsidRDefault="0016312C"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.204[-.151, .559]</w:t>
            </w:r>
          </w:p>
        </w:tc>
        <w:tc>
          <w:tcPr>
            <w:tcW w:w="1523" w:type="dxa"/>
            <w:vAlign w:val="center"/>
          </w:tcPr>
          <w:p w14:paraId="27F15498" w14:textId="306BA540" w:rsidR="00276F69" w:rsidRPr="00905499" w:rsidRDefault="00C74D16"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.187[-.166, .539]</w:t>
            </w:r>
          </w:p>
        </w:tc>
        <w:tc>
          <w:tcPr>
            <w:tcW w:w="1677" w:type="dxa"/>
            <w:vAlign w:val="center"/>
          </w:tcPr>
          <w:p w14:paraId="70470C67" w14:textId="411389EC" w:rsidR="00276F69" w:rsidRPr="00905499" w:rsidRDefault="00A61CAD"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-.056[-.398, .285]</w:t>
            </w:r>
          </w:p>
        </w:tc>
        <w:tc>
          <w:tcPr>
            <w:tcW w:w="1701" w:type="dxa"/>
            <w:vAlign w:val="center"/>
          </w:tcPr>
          <w:p w14:paraId="70B3CCAB" w14:textId="3AA0BB21" w:rsidR="00276F69" w:rsidRPr="00905499" w:rsidRDefault="00A61CAD"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-.043[-.384, .298]</w:t>
            </w:r>
          </w:p>
        </w:tc>
        <w:tc>
          <w:tcPr>
            <w:tcW w:w="1701" w:type="dxa"/>
            <w:vAlign w:val="center"/>
          </w:tcPr>
          <w:p w14:paraId="3CBFA2B3" w14:textId="3E133B2A" w:rsidR="00276F69" w:rsidRPr="00905499" w:rsidRDefault="00A61CAD"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-.040[-.381, .300]</w:t>
            </w:r>
          </w:p>
        </w:tc>
        <w:tc>
          <w:tcPr>
            <w:tcW w:w="1701" w:type="dxa"/>
            <w:gridSpan w:val="2"/>
          </w:tcPr>
          <w:p w14:paraId="1ED17A22" w14:textId="41C74AD9" w:rsidR="00276F69" w:rsidRPr="00905499" w:rsidRDefault="00113D07"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-.026[-.364, .312]</w:t>
            </w:r>
          </w:p>
        </w:tc>
      </w:tr>
      <w:tr w:rsidR="00276F69" w:rsidRPr="00905499" w14:paraId="3EFE9D69" w14:textId="77777777" w:rsidTr="001E1B19">
        <w:trPr>
          <w:trHeight w:val="244"/>
        </w:trPr>
        <w:tc>
          <w:tcPr>
            <w:tcW w:w="1339" w:type="dxa"/>
            <w:tcBorders>
              <w:bottom w:val="single" w:sz="4" w:space="0" w:color="auto"/>
            </w:tcBorders>
          </w:tcPr>
          <w:p w14:paraId="58DFBA85" w14:textId="48E9AA13" w:rsidR="00276F69" w:rsidRPr="00905499" w:rsidRDefault="00276F69"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 xml:space="preserve">    NT</w:t>
            </w:r>
          </w:p>
        </w:tc>
        <w:tc>
          <w:tcPr>
            <w:tcW w:w="1523" w:type="dxa"/>
            <w:tcBorders>
              <w:bottom w:val="single" w:sz="4" w:space="0" w:color="auto"/>
            </w:tcBorders>
            <w:vAlign w:val="center"/>
          </w:tcPr>
          <w:p w14:paraId="1A035DAE" w14:textId="67DAC593" w:rsidR="00276F69" w:rsidRPr="00905499" w:rsidRDefault="0016312C"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-.28, -.900, .331]</w:t>
            </w:r>
          </w:p>
        </w:tc>
        <w:tc>
          <w:tcPr>
            <w:tcW w:w="1523" w:type="dxa"/>
            <w:tcBorders>
              <w:bottom w:val="single" w:sz="4" w:space="0" w:color="auto"/>
            </w:tcBorders>
            <w:vAlign w:val="center"/>
          </w:tcPr>
          <w:p w14:paraId="0E2D9C21" w14:textId="2CAF5F18" w:rsidR="00276F69" w:rsidRPr="00905499" w:rsidRDefault="00C74D16"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-.292[-.912, .328]</w:t>
            </w:r>
          </w:p>
        </w:tc>
        <w:tc>
          <w:tcPr>
            <w:tcW w:w="1677" w:type="dxa"/>
            <w:tcBorders>
              <w:bottom w:val="single" w:sz="4" w:space="0" w:color="auto"/>
            </w:tcBorders>
            <w:vAlign w:val="center"/>
          </w:tcPr>
          <w:p w14:paraId="06CB4F25" w14:textId="6D207A6D" w:rsidR="00276F69" w:rsidRPr="00905499" w:rsidRDefault="00A61CAD"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-.695[-1.275, -.115]*</w:t>
            </w:r>
            <w:r w:rsidR="00862B20" w:rsidRPr="00905499">
              <w:rPr>
                <w:rFonts w:ascii="Times New Roman" w:hAnsi="Times New Roman" w:cs="Times New Roman"/>
                <w:sz w:val="15"/>
                <w:szCs w:val="15"/>
                <w:lang w:val="en-US"/>
              </w:rPr>
              <w:t>*</w:t>
            </w:r>
          </w:p>
        </w:tc>
        <w:tc>
          <w:tcPr>
            <w:tcW w:w="1701" w:type="dxa"/>
            <w:tcBorders>
              <w:bottom w:val="single" w:sz="4" w:space="0" w:color="auto"/>
            </w:tcBorders>
            <w:vAlign w:val="center"/>
          </w:tcPr>
          <w:p w14:paraId="40A7F7E9" w14:textId="4337B608" w:rsidR="00276F69" w:rsidRPr="00905499" w:rsidRDefault="00A61CAD"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-.678[-1.260, -.097]*</w:t>
            </w:r>
          </w:p>
        </w:tc>
        <w:tc>
          <w:tcPr>
            <w:tcW w:w="1701" w:type="dxa"/>
            <w:tcBorders>
              <w:bottom w:val="single" w:sz="4" w:space="0" w:color="auto"/>
            </w:tcBorders>
            <w:vAlign w:val="center"/>
          </w:tcPr>
          <w:p w14:paraId="06DE8BB3" w14:textId="02D18422" w:rsidR="00276F69" w:rsidRPr="00905499" w:rsidRDefault="00A61CAD"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-.661[-1.245, -.077]*</w:t>
            </w:r>
          </w:p>
        </w:tc>
        <w:tc>
          <w:tcPr>
            <w:tcW w:w="1701" w:type="dxa"/>
            <w:gridSpan w:val="2"/>
            <w:tcBorders>
              <w:bottom w:val="single" w:sz="4" w:space="0" w:color="auto"/>
            </w:tcBorders>
          </w:tcPr>
          <w:p w14:paraId="22A214A4" w14:textId="158F3F7A" w:rsidR="00276F69" w:rsidRPr="00905499" w:rsidRDefault="00113D07" w:rsidP="00276F69">
            <w:pPr>
              <w:ind w:left="142" w:hanging="142"/>
              <w:rPr>
                <w:rFonts w:ascii="Times New Roman" w:hAnsi="Times New Roman" w:cs="Times New Roman"/>
                <w:sz w:val="15"/>
                <w:szCs w:val="15"/>
                <w:lang w:val="en-US"/>
              </w:rPr>
            </w:pPr>
            <w:r w:rsidRPr="00905499">
              <w:rPr>
                <w:rFonts w:ascii="Times New Roman" w:hAnsi="Times New Roman" w:cs="Times New Roman"/>
                <w:sz w:val="15"/>
                <w:szCs w:val="15"/>
                <w:lang w:val="en-US"/>
              </w:rPr>
              <w:t>-.637[-1.228, -.047]*</w:t>
            </w:r>
          </w:p>
        </w:tc>
      </w:tr>
    </w:tbl>
    <w:p w14:paraId="1352E175" w14:textId="32FA17AC" w:rsidR="00904DAF" w:rsidRPr="00905499" w:rsidRDefault="00904DAF" w:rsidP="00904DAF">
      <w:pPr>
        <w:rPr>
          <w:sz w:val="20"/>
          <w:szCs w:val="20"/>
          <w:lang w:val="en-US"/>
        </w:rPr>
      </w:pPr>
      <w:r w:rsidRPr="00905499">
        <w:rPr>
          <w:i/>
          <w:sz w:val="20"/>
          <w:szCs w:val="20"/>
          <w:lang w:val="en-US"/>
        </w:rPr>
        <w:t xml:space="preserve">Notes. </w:t>
      </w:r>
      <w:r w:rsidRPr="00905499">
        <w:rPr>
          <w:b/>
          <w:sz w:val="20"/>
          <w:szCs w:val="20"/>
          <w:vertAlign w:val="superscript"/>
          <w:lang w:val="en-US"/>
        </w:rPr>
        <w:t>1</w:t>
      </w:r>
      <w:r w:rsidRPr="00905499">
        <w:rPr>
          <w:sz w:val="20"/>
          <w:szCs w:val="20"/>
          <w:lang w:val="en-US"/>
        </w:rPr>
        <w:t>The Australian Capital [ACT] is used as the reference group for state of residence. IEO is the Australian Bureau of Statistics index of educational and occupational level. It has an Australian mean of 1000.</w:t>
      </w:r>
      <w:r w:rsidR="00D23E85" w:rsidRPr="00D23E85">
        <w:rPr>
          <w:sz w:val="20"/>
          <w:szCs w:val="20"/>
          <w:lang w:val="en-US"/>
        </w:rPr>
        <w:t xml:space="preserve"> </w:t>
      </w:r>
      <w:r w:rsidR="00D23E85" w:rsidRPr="00905499">
        <w:rPr>
          <w:sz w:val="20"/>
          <w:szCs w:val="20"/>
          <w:lang w:val="en-US"/>
        </w:rPr>
        <w:t xml:space="preserve">* </w:t>
      </w:r>
      <w:proofErr w:type="gramStart"/>
      <w:r w:rsidR="00D23E85" w:rsidRPr="00905499">
        <w:rPr>
          <w:i/>
          <w:sz w:val="20"/>
          <w:szCs w:val="20"/>
          <w:lang w:val="en-US"/>
        </w:rPr>
        <w:t>p</w:t>
      </w:r>
      <w:proofErr w:type="gramEnd"/>
      <w:r w:rsidR="00D23E85" w:rsidRPr="00905499">
        <w:rPr>
          <w:sz w:val="20"/>
          <w:szCs w:val="20"/>
          <w:lang w:val="en-US"/>
        </w:rPr>
        <w:t xml:space="preserve"> &lt; .05; ** </w:t>
      </w:r>
      <w:r w:rsidR="00D23E85" w:rsidRPr="00905499">
        <w:rPr>
          <w:i/>
          <w:sz w:val="20"/>
          <w:szCs w:val="20"/>
          <w:lang w:val="en-US"/>
        </w:rPr>
        <w:t>p</w:t>
      </w:r>
      <w:r w:rsidR="00D23E85" w:rsidRPr="00905499">
        <w:rPr>
          <w:sz w:val="20"/>
          <w:szCs w:val="20"/>
          <w:lang w:val="en-US"/>
        </w:rPr>
        <w:t xml:space="preserve"> &lt; .01; *** </w:t>
      </w:r>
      <w:r w:rsidR="00D23E85" w:rsidRPr="00905499">
        <w:rPr>
          <w:i/>
          <w:sz w:val="20"/>
          <w:szCs w:val="20"/>
          <w:lang w:val="en-US"/>
        </w:rPr>
        <w:t>p</w:t>
      </w:r>
      <w:r w:rsidR="00D23E85" w:rsidRPr="00905499">
        <w:rPr>
          <w:sz w:val="20"/>
          <w:szCs w:val="20"/>
          <w:lang w:val="en-US"/>
        </w:rPr>
        <w:t xml:space="preserve"> &lt;.001.</w:t>
      </w:r>
      <w:r w:rsidR="00D23E85" w:rsidRPr="00905499">
        <w:rPr>
          <w:i/>
          <w:sz w:val="20"/>
          <w:szCs w:val="20"/>
          <w:lang w:val="en-US"/>
        </w:rPr>
        <w:t xml:space="preserve"> </w:t>
      </w:r>
      <w:r w:rsidR="00C33FA4" w:rsidRPr="00905499">
        <w:rPr>
          <w:sz w:val="20"/>
          <w:szCs w:val="20"/>
          <w:lang w:val="en-US"/>
        </w:rPr>
        <w:br w:type="page"/>
      </w:r>
    </w:p>
    <w:p w14:paraId="0E71147E" w14:textId="77777777" w:rsidR="00C33FA4" w:rsidRPr="00905499" w:rsidRDefault="00C33FA4" w:rsidP="00C33FA4">
      <w:pPr>
        <w:pStyle w:val="NormalWeb"/>
        <w:spacing w:before="0" w:beforeAutospacing="0" w:after="0" w:afterAutospacing="0"/>
        <w:ind w:left="482" w:hanging="482"/>
        <w:rPr>
          <w:rFonts w:ascii="Times New Roman" w:hAnsi="Times New Roman"/>
          <w:b/>
          <w:i/>
          <w:lang w:val="en-US"/>
        </w:rPr>
      </w:pPr>
    </w:p>
    <w:p w14:paraId="232BE8FC" w14:textId="77777777" w:rsidR="00C33FA4" w:rsidRPr="00905499" w:rsidRDefault="00C33FA4" w:rsidP="00C33FA4">
      <w:pPr>
        <w:pStyle w:val="NormalWeb"/>
        <w:spacing w:before="0" w:beforeAutospacing="0" w:after="0" w:afterAutospacing="0"/>
        <w:ind w:left="482" w:hanging="482"/>
        <w:rPr>
          <w:rFonts w:ascii="Times New Roman" w:hAnsi="Times New Roman"/>
          <w:b/>
          <w:i/>
          <w:lang w:val="en-US"/>
        </w:rPr>
      </w:pPr>
    </w:p>
    <w:p w14:paraId="6695E2C3" w14:textId="77777777" w:rsidR="00C33FA4" w:rsidRPr="00905499" w:rsidRDefault="00C33FA4" w:rsidP="00C33FA4">
      <w:pPr>
        <w:pStyle w:val="NormalWeb"/>
        <w:spacing w:before="0" w:beforeAutospacing="0" w:after="0" w:afterAutospacing="0"/>
        <w:ind w:left="482" w:hanging="482"/>
        <w:rPr>
          <w:rFonts w:ascii="Times New Roman" w:hAnsi="Times New Roman"/>
          <w:b/>
          <w:i/>
          <w:lang w:val="en-US"/>
        </w:rPr>
      </w:pPr>
    </w:p>
    <w:p w14:paraId="1F293D2A" w14:textId="10E4DFEF" w:rsidR="00C33FA4" w:rsidRPr="00905499" w:rsidRDefault="00C33FA4" w:rsidP="00C33FA4">
      <w:pPr>
        <w:pStyle w:val="NormalWeb"/>
        <w:spacing w:before="0" w:beforeAutospacing="0" w:after="0" w:afterAutospacing="0"/>
        <w:ind w:left="482" w:hanging="482"/>
        <w:rPr>
          <w:rFonts w:ascii="Times New Roman" w:hAnsi="Times New Roman"/>
          <w:b/>
          <w:i/>
          <w:lang w:val="en-US"/>
        </w:rPr>
      </w:pPr>
      <w:r w:rsidRPr="00905499">
        <w:rPr>
          <w:rFonts w:ascii="Times New Roman" w:hAnsi="Times New Roman"/>
          <w:b/>
          <w:noProof/>
          <w:lang w:val="en-US"/>
        </w:rPr>
        <w:drawing>
          <wp:inline distT="0" distB="0" distL="0" distR="0" wp14:anchorId="376F9995" wp14:editId="4F63C717">
            <wp:extent cx="5106572" cy="28210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Model.png"/>
                    <pic:cNvPicPr/>
                  </pic:nvPicPr>
                  <pic:blipFill>
                    <a:blip r:embed="rId31">
                      <a:extLst>
                        <a:ext uri="{28A0092B-C50C-407E-A947-70E740481C1C}">
                          <a14:useLocalDpi xmlns:a14="http://schemas.microsoft.com/office/drawing/2010/main" val="0"/>
                        </a:ext>
                      </a:extLst>
                    </a:blip>
                    <a:stretch>
                      <a:fillRect/>
                    </a:stretch>
                  </pic:blipFill>
                  <pic:spPr>
                    <a:xfrm>
                      <a:off x="0" y="0"/>
                      <a:ext cx="5106572" cy="2821001"/>
                    </a:xfrm>
                    <a:prstGeom prst="rect">
                      <a:avLst/>
                    </a:prstGeom>
                  </pic:spPr>
                </pic:pic>
              </a:graphicData>
            </a:graphic>
          </wp:inline>
        </w:drawing>
      </w:r>
    </w:p>
    <w:p w14:paraId="0C1C446F" w14:textId="77777777" w:rsidR="00C33FA4" w:rsidRPr="00905499" w:rsidRDefault="00C33FA4" w:rsidP="00C33FA4">
      <w:pPr>
        <w:pStyle w:val="NormalWeb"/>
        <w:spacing w:before="0" w:beforeAutospacing="0" w:after="0" w:afterAutospacing="0"/>
        <w:ind w:left="482" w:hanging="482"/>
        <w:rPr>
          <w:rFonts w:ascii="Times New Roman" w:hAnsi="Times New Roman"/>
          <w:b/>
          <w:i/>
          <w:lang w:val="en-US"/>
        </w:rPr>
      </w:pPr>
    </w:p>
    <w:p w14:paraId="337A1770" w14:textId="77777777" w:rsidR="00C33FA4" w:rsidRPr="00905499" w:rsidRDefault="00C33FA4" w:rsidP="00C33FA4">
      <w:pPr>
        <w:pStyle w:val="NormalWeb"/>
        <w:spacing w:before="0" w:beforeAutospacing="0" w:after="0" w:afterAutospacing="0"/>
        <w:ind w:left="482" w:hanging="482"/>
        <w:rPr>
          <w:rFonts w:ascii="Times New Roman" w:hAnsi="Times New Roman"/>
          <w:b/>
          <w:i/>
          <w:lang w:val="en-US"/>
        </w:rPr>
      </w:pPr>
    </w:p>
    <w:p w14:paraId="6DE1F79B" w14:textId="77777777" w:rsidR="00C33FA4" w:rsidRPr="00905499" w:rsidRDefault="00C33FA4" w:rsidP="00C33FA4">
      <w:pPr>
        <w:pStyle w:val="NormalWeb"/>
        <w:spacing w:before="0" w:beforeAutospacing="0" w:after="0" w:afterAutospacing="0"/>
        <w:rPr>
          <w:rFonts w:ascii="Times New Roman" w:hAnsi="Times New Roman"/>
          <w:b/>
          <w:i/>
          <w:lang w:val="en-US"/>
        </w:rPr>
      </w:pPr>
    </w:p>
    <w:p w14:paraId="2AAC6C20" w14:textId="554E4812" w:rsidR="00910AF4" w:rsidRDefault="00C33FA4" w:rsidP="00C33FA4">
      <w:pPr>
        <w:pStyle w:val="NormalWeb"/>
        <w:spacing w:before="0" w:beforeAutospacing="0" w:after="0" w:afterAutospacing="0"/>
        <w:rPr>
          <w:rFonts w:ascii="Times New Roman" w:hAnsi="Times New Roman"/>
          <w:sz w:val="24"/>
          <w:szCs w:val="24"/>
          <w:lang w:val="en-US"/>
        </w:rPr>
      </w:pPr>
      <w:r w:rsidRPr="00905499">
        <w:rPr>
          <w:rFonts w:ascii="Times New Roman" w:hAnsi="Times New Roman"/>
          <w:i/>
          <w:sz w:val="24"/>
          <w:szCs w:val="24"/>
          <w:lang w:val="en-US"/>
        </w:rPr>
        <w:t>Figure 1.</w:t>
      </w:r>
      <w:r w:rsidRPr="00905499">
        <w:rPr>
          <w:rFonts w:ascii="Times New Roman" w:hAnsi="Times New Roman"/>
          <w:b/>
          <w:i/>
          <w:sz w:val="24"/>
          <w:szCs w:val="24"/>
          <w:lang w:val="en-US"/>
        </w:rPr>
        <w:t xml:space="preserve"> </w:t>
      </w:r>
      <w:r w:rsidRPr="00905499">
        <w:rPr>
          <w:rFonts w:ascii="Times New Roman" w:hAnsi="Times New Roman"/>
          <w:sz w:val="24"/>
          <w:szCs w:val="24"/>
          <w:lang w:val="en-US"/>
        </w:rPr>
        <w:t>Underlying theoretical model.</w:t>
      </w:r>
      <w:r w:rsidR="00910AF4">
        <w:rPr>
          <w:rFonts w:ascii="Times New Roman" w:hAnsi="Times New Roman"/>
          <w:sz w:val="24"/>
          <w:szCs w:val="24"/>
          <w:lang w:val="en-US"/>
        </w:rPr>
        <w:br w:type="page"/>
      </w:r>
    </w:p>
    <w:p w14:paraId="372FCBE8" w14:textId="77777777" w:rsidR="00C33FA4" w:rsidRPr="00905499" w:rsidRDefault="00C33FA4" w:rsidP="00C33FA4">
      <w:pPr>
        <w:pStyle w:val="NormalWeb"/>
        <w:spacing w:before="0" w:beforeAutospacing="0" w:after="0" w:afterAutospacing="0"/>
        <w:rPr>
          <w:sz w:val="24"/>
          <w:szCs w:val="24"/>
          <w:lang w:val="en-US"/>
        </w:rPr>
      </w:pPr>
    </w:p>
    <w:p w14:paraId="6802FDE7" w14:textId="24B6A8A9" w:rsidR="00F608B4" w:rsidRPr="00905499" w:rsidRDefault="00F608B4" w:rsidP="007E7EBE">
      <w:pPr>
        <w:pStyle w:val="NormalWeb"/>
        <w:spacing w:before="0" w:beforeAutospacing="0" w:after="0" w:afterAutospacing="0" w:line="480" w:lineRule="auto"/>
        <w:ind w:hanging="480"/>
        <w:rPr>
          <w:rFonts w:ascii="Times New Roman" w:hAnsi="Times New Roman"/>
          <w:b/>
          <w:lang w:val="en-US"/>
        </w:rPr>
      </w:pPr>
    </w:p>
    <w:p w14:paraId="568D45B6" w14:textId="7F303827" w:rsidR="00F608B4" w:rsidRPr="00905499" w:rsidRDefault="00910AF4" w:rsidP="00F608B4">
      <w:pPr>
        <w:rPr>
          <w:lang w:val="en-US"/>
        </w:rPr>
      </w:pPr>
      <w:r>
        <w:rPr>
          <w:rFonts w:ascii="Helvetica" w:hAnsi="Helvetica" w:cs="Helvetica"/>
          <w:noProof/>
          <w:lang w:val="en-US"/>
        </w:rPr>
        <w:drawing>
          <wp:inline distT="0" distB="0" distL="0" distR="0" wp14:anchorId="338116DD" wp14:editId="7294E929">
            <wp:extent cx="5215180" cy="4611805"/>
            <wp:effectExtent l="0" t="0" r="0" b="1143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2">
                      <a:extLst>
                        <a:ext uri="{28A0092B-C50C-407E-A947-70E740481C1C}">
                          <a14:useLocalDpi xmlns:a14="http://schemas.microsoft.com/office/drawing/2010/main" val="0"/>
                        </a:ext>
                      </a:extLst>
                    </a:blip>
                    <a:srcRect l="13664" t="8871" r="16541" b="13494"/>
                    <a:stretch/>
                  </pic:blipFill>
                  <pic:spPr bwMode="auto">
                    <a:xfrm>
                      <a:off x="0" y="0"/>
                      <a:ext cx="5219662" cy="4615768"/>
                    </a:xfrm>
                    <a:prstGeom prst="rect">
                      <a:avLst/>
                    </a:prstGeom>
                    <a:noFill/>
                    <a:ln>
                      <a:noFill/>
                    </a:ln>
                    <a:extLst>
                      <a:ext uri="{53640926-AAD7-44d8-BBD7-CCE9431645EC}">
                        <a14:shadowObscured xmlns:a14="http://schemas.microsoft.com/office/drawing/2010/main"/>
                      </a:ext>
                    </a:extLst>
                  </pic:spPr>
                </pic:pic>
              </a:graphicData>
            </a:graphic>
          </wp:inline>
        </w:drawing>
      </w:r>
    </w:p>
    <w:p w14:paraId="04B840EB" w14:textId="0891BC40" w:rsidR="00F608B4" w:rsidRPr="00905499" w:rsidRDefault="00F608B4" w:rsidP="00F608B4">
      <w:pPr>
        <w:rPr>
          <w:lang w:val="en-US"/>
        </w:rPr>
      </w:pPr>
      <w:r w:rsidRPr="00905499">
        <w:rPr>
          <w:i/>
          <w:lang w:val="en-US"/>
        </w:rPr>
        <w:t xml:space="preserve">Figure </w:t>
      </w:r>
      <w:r w:rsidR="00980D4C" w:rsidRPr="00905499">
        <w:rPr>
          <w:i/>
          <w:lang w:val="en-US"/>
        </w:rPr>
        <w:t>2</w:t>
      </w:r>
      <w:r w:rsidRPr="00905499">
        <w:rPr>
          <w:i/>
          <w:lang w:val="en-US"/>
        </w:rPr>
        <w:t xml:space="preserve">. </w:t>
      </w:r>
      <w:r w:rsidRPr="00905499">
        <w:rPr>
          <w:lang w:val="en-US"/>
        </w:rPr>
        <w:t xml:space="preserve">Plot of participant locations, in </w:t>
      </w:r>
      <w:r w:rsidR="00910AF4">
        <w:rPr>
          <w:lang w:val="en-US"/>
        </w:rPr>
        <w:t>gray</w:t>
      </w:r>
      <w:r w:rsidRPr="00905499">
        <w:rPr>
          <w:lang w:val="en-US"/>
        </w:rPr>
        <w:t xml:space="preserve">, and campus locations, in </w:t>
      </w:r>
      <w:r w:rsidR="00910AF4">
        <w:rPr>
          <w:lang w:val="en-US"/>
        </w:rPr>
        <w:t>black circles</w:t>
      </w:r>
      <w:r w:rsidRPr="00905499">
        <w:rPr>
          <w:lang w:val="en-US"/>
        </w:rPr>
        <w:t xml:space="preserve"> for elite universities and </w:t>
      </w:r>
      <w:r w:rsidR="00910AF4">
        <w:rPr>
          <w:lang w:val="en-US"/>
        </w:rPr>
        <w:t>black diamonds</w:t>
      </w:r>
      <w:r w:rsidRPr="00905499">
        <w:rPr>
          <w:lang w:val="en-US"/>
        </w:rPr>
        <w:t xml:space="preserve"> for other universities. Large circles </w:t>
      </w:r>
      <w:r w:rsidR="00910AF4">
        <w:rPr>
          <w:lang w:val="en-US"/>
        </w:rPr>
        <w:t xml:space="preserve">or diamonds </w:t>
      </w:r>
      <w:r w:rsidRPr="00905499">
        <w:rPr>
          <w:lang w:val="en-US"/>
        </w:rPr>
        <w:t>represent large campuses offering over 100 accredited courses. Smaller circles represent smaller campuses. Note that we focus here only on the Australian mainland.</w:t>
      </w:r>
    </w:p>
    <w:p w14:paraId="2B9F3D22" w14:textId="77777777" w:rsidR="00F608B4" w:rsidRPr="00905499" w:rsidRDefault="00F608B4" w:rsidP="00F608B4">
      <w:pPr>
        <w:rPr>
          <w:lang w:val="en-US"/>
        </w:rPr>
      </w:pPr>
    </w:p>
    <w:p w14:paraId="16F8F8F4" w14:textId="77777777" w:rsidR="00F608B4" w:rsidRPr="00905499" w:rsidRDefault="00F608B4" w:rsidP="00F608B4">
      <w:pPr>
        <w:rPr>
          <w:lang w:val="en-US"/>
        </w:rPr>
      </w:pPr>
    </w:p>
    <w:p w14:paraId="6FC74832" w14:textId="1BAD6082" w:rsidR="00980D4C" w:rsidRPr="00905499" w:rsidRDefault="00980D4C" w:rsidP="00980D4C">
      <w:pPr>
        <w:rPr>
          <w:lang w:val="en-US"/>
        </w:rPr>
      </w:pPr>
      <w:r w:rsidRPr="00905499">
        <w:rPr>
          <w:i/>
          <w:noProof/>
          <w:lang w:val="en-US"/>
        </w:rPr>
        <w:lastRenderedPageBreak/>
        <w:drawing>
          <wp:inline distT="0" distB="0" distL="0" distR="0" wp14:anchorId="4B396002" wp14:editId="447B11C6">
            <wp:extent cx="3397190" cy="375983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ctations.png"/>
                    <pic:cNvPicPr/>
                  </pic:nvPicPr>
                  <pic:blipFill rotWithShape="1">
                    <a:blip r:embed="rId33">
                      <a:extLst>
                        <a:ext uri="{28A0092B-C50C-407E-A947-70E740481C1C}">
                          <a14:useLocalDpi xmlns:a14="http://schemas.microsoft.com/office/drawing/2010/main" val="0"/>
                        </a:ext>
                      </a:extLst>
                    </a:blip>
                    <a:srcRect t="4638" r="48262"/>
                    <a:stretch/>
                  </pic:blipFill>
                  <pic:spPr bwMode="auto">
                    <a:xfrm>
                      <a:off x="0" y="0"/>
                      <a:ext cx="3398017" cy="3760750"/>
                    </a:xfrm>
                    <a:prstGeom prst="rect">
                      <a:avLst/>
                    </a:prstGeom>
                    <a:ln>
                      <a:noFill/>
                    </a:ln>
                    <a:extLst>
                      <a:ext uri="{53640926-AAD7-44d8-BBD7-CCE9431645EC}">
                        <a14:shadowObscured xmlns:a14="http://schemas.microsoft.com/office/drawing/2010/main"/>
                      </a:ext>
                    </a:extLst>
                  </pic:spPr>
                </pic:pic>
              </a:graphicData>
            </a:graphic>
          </wp:inline>
        </w:drawing>
      </w:r>
      <w:r w:rsidR="00F608B4" w:rsidRPr="00905499">
        <w:rPr>
          <w:i/>
          <w:lang w:val="en-US"/>
        </w:rPr>
        <w:br/>
        <w:t xml:space="preserve">Figure </w:t>
      </w:r>
      <w:r w:rsidRPr="00905499">
        <w:rPr>
          <w:i/>
          <w:lang w:val="en-US"/>
        </w:rPr>
        <w:t>3</w:t>
      </w:r>
      <w:r w:rsidR="00F608B4" w:rsidRPr="00905499">
        <w:rPr>
          <w:lang w:val="en-US"/>
        </w:rPr>
        <w:t xml:space="preserve">. </w:t>
      </w:r>
      <w:r w:rsidRPr="00905499">
        <w:rPr>
          <w:lang w:val="en-US"/>
        </w:rPr>
        <w:t xml:space="preserve">Probability of expecting a university level of education by number of campuses in proximity moderated by </w:t>
      </w:r>
      <w:proofErr w:type="gramStart"/>
      <w:r w:rsidRPr="00905499">
        <w:rPr>
          <w:lang w:val="en-US"/>
        </w:rPr>
        <w:t>ses</w:t>
      </w:r>
      <w:proofErr w:type="gramEnd"/>
      <w:r w:rsidRPr="00905499">
        <w:rPr>
          <w:lang w:val="en-US"/>
        </w:rPr>
        <w:t>. Poorer = one SD below the mean on the ESCS index. Richer = one SD above</w:t>
      </w:r>
      <w:r w:rsidR="00CF77DE">
        <w:rPr>
          <w:lang w:val="en-US"/>
        </w:rPr>
        <w:t xml:space="preserve"> the mean on the ESCS index. Gra</w:t>
      </w:r>
      <w:r w:rsidRPr="00905499">
        <w:rPr>
          <w:lang w:val="en-US"/>
        </w:rPr>
        <w:t xml:space="preserve">y lines indicate the range within which </w:t>
      </w:r>
      <w:r w:rsidR="005025D6" w:rsidRPr="00905499">
        <w:rPr>
          <w:lang w:val="en-US"/>
        </w:rPr>
        <w:t>8</w:t>
      </w:r>
      <w:r w:rsidRPr="00905499">
        <w:rPr>
          <w:lang w:val="en-US"/>
        </w:rPr>
        <w:t xml:space="preserve">0% of the </w:t>
      </w:r>
      <w:proofErr w:type="gramStart"/>
      <w:r w:rsidRPr="00905499">
        <w:rPr>
          <w:lang w:val="en-US"/>
        </w:rPr>
        <w:t>sample are</w:t>
      </w:r>
      <w:proofErr w:type="gramEnd"/>
      <w:r w:rsidRPr="00905499">
        <w:rPr>
          <w:lang w:val="en-US"/>
        </w:rPr>
        <w:t xml:space="preserve"> located.</w:t>
      </w:r>
    </w:p>
    <w:p w14:paraId="3870DEE5" w14:textId="73ADDB69" w:rsidR="00F608B4" w:rsidRPr="00905499" w:rsidRDefault="00F608B4" w:rsidP="00F608B4">
      <w:pPr>
        <w:rPr>
          <w:i/>
          <w:lang w:val="en-US"/>
        </w:rPr>
      </w:pPr>
    </w:p>
    <w:p w14:paraId="5D23C112" w14:textId="32A0D97E" w:rsidR="00F608B4" w:rsidRPr="00905499" w:rsidRDefault="00980D4C" w:rsidP="00F608B4">
      <w:pPr>
        <w:rPr>
          <w:i/>
          <w:lang w:val="en-US"/>
        </w:rPr>
      </w:pPr>
      <w:r w:rsidRPr="00905499">
        <w:rPr>
          <w:i/>
          <w:noProof/>
          <w:lang w:val="en-US"/>
        </w:rPr>
        <w:drawing>
          <wp:inline distT="0" distB="0" distL="0" distR="0" wp14:anchorId="5FC49448" wp14:editId="630E1570">
            <wp:extent cx="3078716" cy="36646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ry_MAIN.png"/>
                    <pic:cNvPicPr/>
                  </pic:nvPicPr>
                  <pic:blipFill rotWithShape="1">
                    <a:blip r:embed="rId34">
                      <a:extLst>
                        <a:ext uri="{28A0092B-C50C-407E-A947-70E740481C1C}">
                          <a14:useLocalDpi xmlns:a14="http://schemas.microsoft.com/office/drawing/2010/main" val="0"/>
                        </a:ext>
                      </a:extLst>
                    </a:blip>
                    <a:srcRect t="5002" r="52529"/>
                    <a:stretch/>
                  </pic:blipFill>
                  <pic:spPr bwMode="auto">
                    <a:xfrm>
                      <a:off x="0" y="0"/>
                      <a:ext cx="3080961" cy="3667306"/>
                    </a:xfrm>
                    <a:prstGeom prst="rect">
                      <a:avLst/>
                    </a:prstGeom>
                    <a:ln>
                      <a:noFill/>
                    </a:ln>
                    <a:extLst>
                      <a:ext uri="{53640926-AAD7-44d8-BBD7-CCE9431645EC}">
                        <a14:shadowObscured xmlns:a14="http://schemas.microsoft.com/office/drawing/2010/main"/>
                      </a:ext>
                    </a:extLst>
                  </pic:spPr>
                </pic:pic>
              </a:graphicData>
            </a:graphic>
          </wp:inline>
        </w:drawing>
      </w:r>
    </w:p>
    <w:p w14:paraId="3FB2AD20" w14:textId="182E3B3F" w:rsidR="00F608B4" w:rsidRPr="00905499" w:rsidRDefault="00F608B4" w:rsidP="00F608B4">
      <w:pPr>
        <w:rPr>
          <w:lang w:val="en-US"/>
        </w:rPr>
      </w:pPr>
      <w:r w:rsidRPr="00905499">
        <w:rPr>
          <w:i/>
          <w:lang w:val="en-US"/>
        </w:rPr>
        <w:t xml:space="preserve">Figure </w:t>
      </w:r>
      <w:r w:rsidR="00980D4C" w:rsidRPr="00905499">
        <w:rPr>
          <w:i/>
          <w:lang w:val="en-US"/>
        </w:rPr>
        <w:t>4</w:t>
      </w:r>
      <w:r w:rsidRPr="00905499">
        <w:rPr>
          <w:i/>
          <w:lang w:val="en-US"/>
        </w:rPr>
        <w:t xml:space="preserve">. </w:t>
      </w:r>
      <w:proofErr w:type="gramStart"/>
      <w:r w:rsidRPr="00905499">
        <w:rPr>
          <w:lang w:val="en-US"/>
        </w:rPr>
        <w:t>Probability of university entry by numb</w:t>
      </w:r>
      <w:r w:rsidR="00CF77DE">
        <w:rPr>
          <w:lang w:val="en-US"/>
        </w:rPr>
        <w:t>er of campuses in proximity.</w:t>
      </w:r>
      <w:proofErr w:type="gramEnd"/>
      <w:r w:rsidR="00CF77DE">
        <w:rPr>
          <w:lang w:val="en-US"/>
        </w:rPr>
        <w:t xml:space="preserve"> Gra</w:t>
      </w:r>
      <w:r w:rsidRPr="00905499">
        <w:rPr>
          <w:lang w:val="en-US"/>
        </w:rPr>
        <w:t xml:space="preserve">y lines indicate the range within which </w:t>
      </w:r>
      <w:r w:rsidR="005025D6" w:rsidRPr="00905499">
        <w:rPr>
          <w:lang w:val="en-US"/>
        </w:rPr>
        <w:t>8</w:t>
      </w:r>
      <w:r w:rsidRPr="00905499">
        <w:rPr>
          <w:lang w:val="en-US"/>
        </w:rPr>
        <w:t xml:space="preserve">0% of the </w:t>
      </w:r>
      <w:proofErr w:type="gramStart"/>
      <w:r w:rsidRPr="00905499">
        <w:rPr>
          <w:lang w:val="en-US"/>
        </w:rPr>
        <w:t>sample are</w:t>
      </w:r>
      <w:proofErr w:type="gramEnd"/>
      <w:r w:rsidRPr="00905499">
        <w:rPr>
          <w:lang w:val="en-US"/>
        </w:rPr>
        <w:t xml:space="preserve"> located.</w:t>
      </w:r>
    </w:p>
    <w:p w14:paraId="44A87972" w14:textId="77777777" w:rsidR="00F608B4" w:rsidRPr="00905499" w:rsidRDefault="00F608B4" w:rsidP="00F608B4">
      <w:pPr>
        <w:rPr>
          <w:lang w:val="en-US"/>
        </w:rPr>
      </w:pPr>
    </w:p>
    <w:p w14:paraId="0E47D592" w14:textId="77777777" w:rsidR="00F608B4" w:rsidRPr="00905499" w:rsidRDefault="00F608B4" w:rsidP="00F608B4">
      <w:pPr>
        <w:rPr>
          <w:lang w:val="en-US"/>
        </w:rPr>
      </w:pPr>
    </w:p>
    <w:p w14:paraId="74D8FCA1" w14:textId="77777777" w:rsidR="00F608B4" w:rsidRPr="00905499" w:rsidRDefault="00F608B4" w:rsidP="00F608B4">
      <w:pPr>
        <w:rPr>
          <w:lang w:val="en-US"/>
        </w:rPr>
      </w:pPr>
    </w:p>
    <w:p w14:paraId="4360AE57" w14:textId="049AC974" w:rsidR="00F608B4" w:rsidRPr="00905499" w:rsidRDefault="003B0B2A" w:rsidP="00F608B4">
      <w:pPr>
        <w:rPr>
          <w:lang w:val="en-US"/>
        </w:rPr>
      </w:pPr>
      <w:r w:rsidRPr="00905499">
        <w:rPr>
          <w:noProof/>
          <w:lang w:val="en-US"/>
        </w:rPr>
        <w:drawing>
          <wp:inline distT="0" distB="0" distL="0" distR="0" wp14:anchorId="412F2302" wp14:editId="36B25B26">
            <wp:extent cx="2365756" cy="32848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ite_MAIN.png"/>
                    <pic:cNvPicPr/>
                  </pic:nvPicPr>
                  <pic:blipFill>
                    <a:blip r:embed="rId35">
                      <a:extLst>
                        <a:ext uri="{28A0092B-C50C-407E-A947-70E740481C1C}">
                          <a14:useLocalDpi xmlns:a14="http://schemas.microsoft.com/office/drawing/2010/main" val="0"/>
                        </a:ext>
                      </a:extLst>
                    </a:blip>
                    <a:stretch>
                      <a:fillRect/>
                    </a:stretch>
                  </pic:blipFill>
                  <pic:spPr>
                    <a:xfrm>
                      <a:off x="0" y="0"/>
                      <a:ext cx="2366138" cy="3285337"/>
                    </a:xfrm>
                    <a:prstGeom prst="rect">
                      <a:avLst/>
                    </a:prstGeom>
                  </pic:spPr>
                </pic:pic>
              </a:graphicData>
            </a:graphic>
          </wp:inline>
        </w:drawing>
      </w:r>
    </w:p>
    <w:p w14:paraId="6F0D1133" w14:textId="5F3C3E3D" w:rsidR="00F608B4" w:rsidRPr="00905499" w:rsidRDefault="00F608B4" w:rsidP="00F608B4">
      <w:pPr>
        <w:rPr>
          <w:lang w:val="en-US"/>
        </w:rPr>
      </w:pPr>
      <w:r w:rsidRPr="00905499">
        <w:rPr>
          <w:i/>
          <w:lang w:val="en-US"/>
        </w:rPr>
        <w:t xml:space="preserve">Figure </w:t>
      </w:r>
      <w:r w:rsidR="00515F60" w:rsidRPr="00905499">
        <w:rPr>
          <w:i/>
          <w:lang w:val="en-US"/>
        </w:rPr>
        <w:t>5</w:t>
      </w:r>
      <w:r w:rsidRPr="00905499">
        <w:rPr>
          <w:lang w:val="en-US"/>
        </w:rPr>
        <w:t xml:space="preserve">. </w:t>
      </w:r>
      <w:proofErr w:type="gramStart"/>
      <w:r w:rsidRPr="00905499">
        <w:rPr>
          <w:lang w:val="en-US"/>
        </w:rPr>
        <w:t xml:space="preserve">Probability of entering elite university by number of </w:t>
      </w:r>
      <w:r w:rsidR="00DA39A3" w:rsidRPr="00905499">
        <w:rPr>
          <w:lang w:val="en-US"/>
        </w:rPr>
        <w:t xml:space="preserve">elite </w:t>
      </w:r>
      <w:r w:rsidR="00CF77DE">
        <w:rPr>
          <w:lang w:val="en-US"/>
        </w:rPr>
        <w:t>campuses in proximity.</w:t>
      </w:r>
      <w:proofErr w:type="gramEnd"/>
      <w:r w:rsidR="00CF77DE">
        <w:rPr>
          <w:lang w:val="en-US"/>
        </w:rPr>
        <w:t xml:space="preserve"> Gra</w:t>
      </w:r>
      <w:r w:rsidRPr="00905499">
        <w:rPr>
          <w:lang w:val="en-US"/>
        </w:rPr>
        <w:t xml:space="preserve">y lines indicate the range within which </w:t>
      </w:r>
      <w:r w:rsidR="005025D6" w:rsidRPr="00905499">
        <w:rPr>
          <w:lang w:val="en-US"/>
        </w:rPr>
        <w:t>8</w:t>
      </w:r>
      <w:r w:rsidRPr="00905499">
        <w:rPr>
          <w:lang w:val="en-US"/>
        </w:rPr>
        <w:t xml:space="preserve">0% of the </w:t>
      </w:r>
      <w:proofErr w:type="gramStart"/>
      <w:r w:rsidRPr="00905499">
        <w:rPr>
          <w:lang w:val="en-US"/>
        </w:rPr>
        <w:t>sample are</w:t>
      </w:r>
      <w:proofErr w:type="gramEnd"/>
      <w:r w:rsidRPr="00905499">
        <w:rPr>
          <w:lang w:val="en-US"/>
        </w:rPr>
        <w:t xml:space="preserve"> located.</w:t>
      </w:r>
    </w:p>
    <w:p w14:paraId="6359CA4F" w14:textId="77777777" w:rsidR="00F608B4" w:rsidRPr="00905499" w:rsidRDefault="00F608B4" w:rsidP="00F608B4">
      <w:pPr>
        <w:rPr>
          <w:lang w:val="en-US"/>
        </w:rPr>
      </w:pPr>
    </w:p>
    <w:p w14:paraId="2BF747F6" w14:textId="48906F19" w:rsidR="00F608B4" w:rsidRPr="00905499" w:rsidRDefault="00F608B4" w:rsidP="00A70C37">
      <w:pPr>
        <w:pStyle w:val="NormalWeb"/>
        <w:spacing w:before="0" w:beforeAutospacing="0" w:after="0" w:afterAutospacing="0" w:line="480" w:lineRule="auto"/>
        <w:ind w:left="480" w:hanging="480"/>
        <w:rPr>
          <w:rFonts w:ascii="Times New Roman" w:hAnsi="Times New Roman"/>
          <w:b/>
          <w:lang w:val="en-US"/>
        </w:rPr>
      </w:pPr>
    </w:p>
    <w:p w14:paraId="4FD46E35" w14:textId="77777777" w:rsidR="0094110D" w:rsidRPr="00905499" w:rsidRDefault="0094110D">
      <w:pPr>
        <w:rPr>
          <w:lang w:val="en-US"/>
        </w:rPr>
      </w:pPr>
    </w:p>
    <w:sectPr w:rsidR="0094110D" w:rsidRPr="00905499" w:rsidSect="00F608B4">
      <w:pgSz w:w="11901" w:h="16840"/>
      <w:pgMar w:top="1440" w:right="1797" w:bottom="1440" w:left="1797" w:header="709" w:footer="709"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6C8A61" w15:done="0"/>
  <w15:commentEx w15:paraId="6FBD0501" w15:done="0"/>
  <w15:commentEx w15:paraId="1E66A613" w15:done="0"/>
  <w15:commentEx w15:paraId="51F86525" w15:done="0"/>
  <w15:commentEx w15:paraId="447ABFA9" w15:done="0"/>
  <w15:commentEx w15:paraId="4325454B" w15:done="0"/>
  <w15:commentEx w15:paraId="438BE633" w15:done="0"/>
  <w15:commentEx w15:paraId="1DE0600C" w15:done="0"/>
  <w15:commentEx w15:paraId="1D1E1F0D" w15:done="0"/>
  <w15:commentEx w15:paraId="3080E80A" w15:done="0"/>
  <w15:commentEx w15:paraId="5E73E1FB" w15:done="0"/>
  <w15:commentEx w15:paraId="54CE5F48" w15:done="0"/>
  <w15:commentEx w15:paraId="10E3E111" w15:done="0"/>
  <w15:commentEx w15:paraId="30EEB0E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6E94A7" w14:textId="77777777" w:rsidR="00055AE6" w:rsidRDefault="00055AE6" w:rsidP="00A71994">
      <w:r>
        <w:separator/>
      </w:r>
    </w:p>
  </w:endnote>
  <w:endnote w:type="continuationSeparator" w:id="0">
    <w:p w14:paraId="05FF637D" w14:textId="77777777" w:rsidR="00055AE6" w:rsidRDefault="00055AE6" w:rsidP="00A71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Segoe UI">
    <w:altName w:val="Calibri"/>
    <w:panose1 w:val="00000000000000000000"/>
    <w:charset w:val="59"/>
    <w:family w:val="auto"/>
    <w:notTrueType/>
    <w:pitch w:val="variable"/>
    <w:sig w:usb0="00000201" w:usb1="00000000" w:usb2="00000000" w:usb3="00000000" w:csb0="00000004"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BDF7226" w14:textId="77777777" w:rsidR="005A0559" w:rsidRDefault="005A055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567176C" w14:textId="77777777" w:rsidR="005A0559" w:rsidRDefault="005A055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E7408BA" w14:textId="77777777" w:rsidR="005A0559" w:rsidRDefault="005A055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D9295E" w14:textId="77777777" w:rsidR="00055AE6" w:rsidRDefault="00055AE6" w:rsidP="00A71994">
      <w:r>
        <w:separator/>
      </w:r>
    </w:p>
  </w:footnote>
  <w:footnote w:type="continuationSeparator" w:id="0">
    <w:p w14:paraId="32AEBA69" w14:textId="77777777" w:rsidR="00055AE6" w:rsidRDefault="00055AE6" w:rsidP="00A71994">
      <w:r>
        <w:continuationSeparator/>
      </w:r>
    </w:p>
  </w:footnote>
  <w:footnote w:id="1">
    <w:p w14:paraId="48D9F849" w14:textId="77777777" w:rsidR="00055AE6" w:rsidRPr="00031116" w:rsidRDefault="00055AE6" w:rsidP="00250FC5">
      <w:pPr>
        <w:pStyle w:val="FootnoteText"/>
        <w:rPr>
          <w:rFonts w:ascii="Times New Roman" w:hAnsi="Times New Roman" w:cs="Times New Roman"/>
          <w:sz w:val="20"/>
          <w:szCs w:val="20"/>
          <w:lang w:val="en-US"/>
        </w:rPr>
      </w:pPr>
      <w:r w:rsidRPr="00031116">
        <w:rPr>
          <w:rStyle w:val="FootnoteReference"/>
          <w:rFonts w:ascii="Times New Roman" w:hAnsi="Times New Roman" w:cs="Times New Roman"/>
          <w:sz w:val="20"/>
          <w:szCs w:val="20"/>
        </w:rPr>
        <w:footnoteRef/>
      </w:r>
      <w:r w:rsidRPr="00031116">
        <w:rPr>
          <w:rFonts w:ascii="Times New Roman" w:hAnsi="Times New Roman" w:cs="Times New Roman"/>
          <w:sz w:val="20"/>
          <w:szCs w:val="20"/>
        </w:rPr>
        <w:t xml:space="preserve"> </w:t>
      </w:r>
      <w:r w:rsidRPr="00031116">
        <w:rPr>
          <w:rFonts w:ascii="Times New Roman" w:hAnsi="Times New Roman" w:cs="Times New Roman"/>
          <w:sz w:val="20"/>
          <w:szCs w:val="20"/>
          <w:lang w:val="en-US"/>
        </w:rPr>
        <w:t xml:space="preserve">The LSAY2003 had a similar question but that conflated university and technical/vocational colleges. </w:t>
      </w:r>
    </w:p>
  </w:footnote>
  <w:footnote w:id="2">
    <w:p w14:paraId="573FF12E" w14:textId="77777777" w:rsidR="00055AE6" w:rsidRPr="00031116" w:rsidRDefault="00055AE6" w:rsidP="00455A23">
      <w:pPr>
        <w:pStyle w:val="FootnoteText"/>
        <w:rPr>
          <w:rFonts w:ascii="Times New Roman" w:hAnsi="Times New Roman" w:cs="Times New Roman"/>
          <w:sz w:val="20"/>
          <w:szCs w:val="20"/>
          <w:lang w:val="en-US"/>
        </w:rPr>
      </w:pPr>
      <w:r w:rsidRPr="00031116">
        <w:rPr>
          <w:rStyle w:val="FootnoteReference"/>
          <w:rFonts w:ascii="Times New Roman" w:hAnsi="Times New Roman" w:cs="Times New Roman"/>
          <w:sz w:val="20"/>
          <w:szCs w:val="20"/>
        </w:rPr>
        <w:footnoteRef/>
      </w:r>
      <w:r w:rsidRPr="00031116">
        <w:rPr>
          <w:rFonts w:ascii="Times New Roman" w:hAnsi="Times New Roman" w:cs="Times New Roman"/>
          <w:sz w:val="20"/>
          <w:szCs w:val="20"/>
        </w:rPr>
        <w:t xml:space="preserve"> For all marginal effects covariates were set to the mean for all continuous variables, and mode for all nominal variables.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E3EEB28" w14:textId="75771A26" w:rsidR="00055AE6" w:rsidRDefault="0038522D" w:rsidP="007F17D8">
    <w:pPr>
      <w:pStyle w:val="Header"/>
      <w:framePr w:wrap="around" w:vAnchor="text" w:hAnchor="margin" w:xAlign="right" w:y="1"/>
      <w:rPr>
        <w:rStyle w:val="PageNumber"/>
      </w:rPr>
    </w:pPr>
    <w:r>
      <w:rPr>
        <w:noProof/>
        <w:lang w:val="en-US"/>
      </w:rPr>
      <w:pict w14:anchorId="3B959B6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68.1pt;height:117pt;rotation:315;z-index:-251655168;mso-wrap-edited:f;mso-position-horizontal:center;mso-position-horizontal-relative:margin;mso-position-vertical:center;mso-position-vertical-relative:margin" wrapcoords="21496 8446 20665 6369 20353 5953 20215 6646 19973 8723 19765 9000 19800 9553 20146 12600 19003 9000 18519 7753 18311 8446 17550 8446 16407 5676 15992 4707 15680 4984 15542 6507 15957 8446 15334 8584 14538 8307 14400 8584 13638 8446 13119 8584 13050 9000 13361 10523 13361 13430 12219 9000 12046 8584 11457 8307 11319 8584 10038 8584 9969 9000 10315 10800 10280 13707 9553 11907 9138 11215 8930 11769 8273 12046 7442 9000 6784 7753 6576 8446 6265 8723 6023 9276 5226 8446 5019 8446 4707 8584 4430 8861 4084 8446 3600 8169 3461 8446 2630 5953 1938 4430 1765 4846 934 4846 242 4984 519 9000 519 15369 242 16753 415 17446 1523 17446 1523 17169 1176 14953 1384 12461 2042 12184 3461 17723 4430 17446 4465 17030 4153 14400 4188 11353 4776 13569 6438 18138 6611 17723 7234 17446 7269 17446 7753 16199 7788 13430 9207 18692 10384 22292 10626 21461 11180 21323 11215 20907 10869 19384 11319 17723 11976 17446 12461 16199 12634 16753 13500 17861 14226 17446 14296 17307 13950 12876 14711 15646 15749 18276 15923 17584 16442 17446 16546 16753 17342 18138 17480 17584 17965 17446 18138 16753 18900 18138 19073 17584 19523 17446 19592 17169 19315 15230 20700 17723 21323 17446 21634 16476 21530 15784 20734 11769 21046 9830 21392 9969 21565 9692 21600 9000 21496 8446" fillcolor="silver" stroked="f">
          <v:textpath style="font-family:&quot;Cambria&quot;;font-size:1pt" string="Pre-print"/>
          <w10:wrap anchorx="margin" anchory="margin"/>
        </v:shape>
      </w:pict>
    </w:r>
    <w:r w:rsidR="00055AE6">
      <w:rPr>
        <w:rStyle w:val="PageNumber"/>
      </w:rPr>
      <w:fldChar w:fldCharType="begin"/>
    </w:r>
    <w:r w:rsidR="00055AE6">
      <w:rPr>
        <w:rStyle w:val="PageNumber"/>
      </w:rPr>
      <w:instrText xml:space="preserve">PAGE  </w:instrText>
    </w:r>
    <w:r w:rsidR="00055AE6">
      <w:rPr>
        <w:rStyle w:val="PageNumber"/>
      </w:rPr>
      <w:fldChar w:fldCharType="end"/>
    </w:r>
  </w:p>
  <w:p w14:paraId="629BCE1C" w14:textId="77777777" w:rsidR="00055AE6" w:rsidRDefault="00055AE6" w:rsidP="007F17D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CD13666" w14:textId="5A64402C" w:rsidR="00055AE6" w:rsidRDefault="0038522D" w:rsidP="007F17D8">
    <w:pPr>
      <w:pStyle w:val="Header"/>
      <w:framePr w:wrap="around" w:vAnchor="text" w:hAnchor="margin" w:xAlign="right" w:y="1"/>
      <w:rPr>
        <w:rStyle w:val="PageNumber"/>
      </w:rPr>
    </w:pPr>
    <w:r>
      <w:rPr>
        <w:noProof/>
        <w:lang w:val="en-US"/>
      </w:rPr>
      <w:pict w14:anchorId="20E05D3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68.1pt;height:117pt;rotation:315;z-index:-251657216;mso-wrap-edited:f;mso-position-horizontal:center;mso-position-horizontal-relative:margin;mso-position-vertical:center;mso-position-vertical-relative:margin" wrapcoords="21496 8446 20665 6369 20353 5953 20215 6646 19973 8723 19765 9000 19800 9553 20146 12600 19003 9000 18519 7753 18311 8446 17550 8446 16407 5676 15992 4707 15680 4984 15542 6507 15957 8446 15334 8584 14538 8307 14400 8584 13638 8446 13119 8584 13050 9000 13361 10523 13361 13430 12219 9000 12046 8584 11457 8307 11319 8584 10038 8584 9969 9000 10315 10800 10280 13707 9553 11907 9138 11215 8930 11769 8273 12046 7442 9000 6784 7753 6576 8446 6265 8723 6023 9276 5226 8446 5019 8446 4707 8584 4430 8861 4084 8446 3600 8169 3461 8446 2630 5953 1938 4430 1765 4846 934 4846 242 4984 519 9000 519 15369 242 16753 415 17446 1523 17446 1523 17169 1176 14953 1384 12461 2042 12184 3461 17723 4430 17446 4465 17030 4153 14400 4188 11353 4776 13569 6438 18138 6611 17723 7234 17446 7269 17446 7753 16199 7788 13430 9207 18692 10384 22292 10626 21461 11180 21323 11215 20907 10869 19384 11319 17723 11976 17446 12461 16199 12634 16753 13500 17861 14226 17446 14296 17307 13950 12876 14711 15646 15749 18276 15923 17584 16442 17446 16546 16753 17342 18138 17480 17584 17965 17446 18138 16753 18900 18138 19073 17584 19523 17446 19592 17169 19315 15230 20700 17723 21323 17446 21634 16476 21530 15784 20734 11769 21046 9830 21392 9969 21565 9692 21600 9000 21496 8446" fillcolor="silver" stroked="f">
          <v:textpath style="font-family:&quot;Cambria&quot;;font-size:1pt" string="Pre-print"/>
          <w10:wrap anchorx="margin" anchory="margin"/>
        </v:shape>
      </w:pict>
    </w:r>
    <w:r w:rsidR="00055AE6">
      <w:rPr>
        <w:rStyle w:val="PageNumber"/>
      </w:rPr>
      <w:fldChar w:fldCharType="begin"/>
    </w:r>
    <w:r w:rsidR="00055AE6">
      <w:rPr>
        <w:rStyle w:val="PageNumber"/>
      </w:rPr>
      <w:instrText xml:space="preserve">PAGE  </w:instrText>
    </w:r>
    <w:r w:rsidR="00055AE6">
      <w:rPr>
        <w:rStyle w:val="PageNumber"/>
      </w:rPr>
      <w:fldChar w:fldCharType="separate"/>
    </w:r>
    <w:r>
      <w:rPr>
        <w:rStyle w:val="PageNumber"/>
        <w:noProof/>
      </w:rPr>
      <w:t>40</w:t>
    </w:r>
    <w:r w:rsidR="00055AE6">
      <w:rPr>
        <w:rStyle w:val="PageNumber"/>
      </w:rPr>
      <w:fldChar w:fldCharType="end"/>
    </w:r>
  </w:p>
  <w:p w14:paraId="2EDBAEE4" w14:textId="77777777" w:rsidR="00055AE6" w:rsidRDefault="00055AE6" w:rsidP="007F17D8">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4403CB5" w14:textId="43041BA7" w:rsidR="005A0559" w:rsidRDefault="0038522D">
    <w:pPr>
      <w:pStyle w:val="Header"/>
    </w:pPr>
    <w:r>
      <w:rPr>
        <w:noProof/>
        <w:lang w:val="en-US"/>
      </w:rPr>
      <w:pict w14:anchorId="4B42214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68.1pt;height:117pt;rotation:315;z-index:-251653120;mso-wrap-edited:f;mso-position-horizontal:center;mso-position-horizontal-relative:margin;mso-position-vertical:center;mso-position-vertical-relative:margin" wrapcoords="21496 8446 20665 6369 20353 5953 20215 6646 19973 8723 19765 9000 19800 9553 20146 12600 19003 9000 18519 7753 18311 8446 17550 8446 16407 5676 15992 4707 15680 4984 15542 6507 15957 8446 15334 8584 14538 8307 14400 8584 13638 8446 13119 8584 13050 9000 13361 10523 13361 13430 12219 9000 12046 8584 11457 8307 11319 8584 10038 8584 9969 9000 10315 10800 10280 13707 9553 11907 9138 11215 8930 11769 8273 12046 7442 9000 6784 7753 6576 8446 6265 8723 6023 9276 5226 8446 5019 8446 4707 8584 4430 8861 4084 8446 3600 8169 3461 8446 2630 5953 1938 4430 1765 4846 934 4846 242 4984 519 9000 519 15369 242 16753 415 17446 1523 17446 1523 17169 1176 14953 1384 12461 2042 12184 3461 17723 4430 17446 4465 17030 4153 14400 4188 11353 4776 13569 6438 18138 6611 17723 7234 17446 7269 17446 7753 16199 7788 13430 9207 18692 10384 22292 10626 21461 11180 21323 11215 20907 10869 19384 11319 17723 11976 17446 12461 16199 12634 16753 13500 17861 14226 17446 14296 17307 13950 12876 14711 15646 15749 18276 15923 17584 16442 17446 16546 16753 17342 18138 17480 17584 17965 17446 18138 16753 18900 18138 19073 17584 19523 17446 19592 17169 19315 15230 20700 17723 21323 17446 21634 16476 21530 15784 20734 11769 21046 9830 21392 9969 21565 9692 21600 9000 21496 8446" fillcolor="silver" stroked="f">
          <v:textpath style="font-family:&quot;Cambria&quot;;font-size:1pt" string="Pre-prin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61AD1"/>
    <w:multiLevelType w:val="hybridMultilevel"/>
    <w:tmpl w:val="0E1A5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C21C57"/>
    <w:multiLevelType w:val="hybridMultilevel"/>
    <w:tmpl w:val="06EAC2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6010C5"/>
    <w:multiLevelType w:val="hybridMultilevel"/>
    <w:tmpl w:val="F126D2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B7D4192"/>
    <w:multiLevelType w:val="hybridMultilevel"/>
    <w:tmpl w:val="A87ACCA2"/>
    <w:lvl w:ilvl="0" w:tplc="BC56BF3A">
      <w:start w:val="3"/>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0654CF2"/>
    <w:multiLevelType w:val="hybridMultilevel"/>
    <w:tmpl w:val="83B2C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9538C6"/>
    <w:multiLevelType w:val="hybridMultilevel"/>
    <w:tmpl w:val="9364E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0820D8"/>
    <w:multiLevelType w:val="hybridMultilevel"/>
    <w:tmpl w:val="06EAC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0"/>
  </w:num>
  <w:num w:numId="5">
    <w:abstractNumId w:val="1"/>
  </w:num>
  <w:num w:numId="6">
    <w:abstractNumId w:val="4"/>
  </w:num>
  <w:num w:numId="7">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ke Anders">
    <w15:presenceInfo w15:providerId="Windows Live" w15:userId="d63a5ff0a72f13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F94"/>
    <w:rsid w:val="00000232"/>
    <w:rsid w:val="00000735"/>
    <w:rsid w:val="000007D7"/>
    <w:rsid w:val="00001287"/>
    <w:rsid w:val="00002367"/>
    <w:rsid w:val="00002CA0"/>
    <w:rsid w:val="000079DB"/>
    <w:rsid w:val="000137AB"/>
    <w:rsid w:val="0001642F"/>
    <w:rsid w:val="00024D27"/>
    <w:rsid w:val="00026A13"/>
    <w:rsid w:val="00027770"/>
    <w:rsid w:val="00031116"/>
    <w:rsid w:val="000316E7"/>
    <w:rsid w:val="000329D2"/>
    <w:rsid w:val="00037FA5"/>
    <w:rsid w:val="000439E3"/>
    <w:rsid w:val="00045EBC"/>
    <w:rsid w:val="0005370B"/>
    <w:rsid w:val="00053A95"/>
    <w:rsid w:val="00055AE6"/>
    <w:rsid w:val="00057E45"/>
    <w:rsid w:val="000617AC"/>
    <w:rsid w:val="00064A96"/>
    <w:rsid w:val="00064F2D"/>
    <w:rsid w:val="000740B7"/>
    <w:rsid w:val="00077693"/>
    <w:rsid w:val="00081872"/>
    <w:rsid w:val="0008343F"/>
    <w:rsid w:val="0008366A"/>
    <w:rsid w:val="0008474F"/>
    <w:rsid w:val="00084A27"/>
    <w:rsid w:val="00090F98"/>
    <w:rsid w:val="00096B0A"/>
    <w:rsid w:val="000979FA"/>
    <w:rsid w:val="000A044D"/>
    <w:rsid w:val="000B35EB"/>
    <w:rsid w:val="000C1FD5"/>
    <w:rsid w:val="000C45FE"/>
    <w:rsid w:val="000C726D"/>
    <w:rsid w:val="000D24D9"/>
    <w:rsid w:val="000D2A48"/>
    <w:rsid w:val="000D4B30"/>
    <w:rsid w:val="000E0258"/>
    <w:rsid w:val="000E3A34"/>
    <w:rsid w:val="000E4E84"/>
    <w:rsid w:val="000F1106"/>
    <w:rsid w:val="000F24CD"/>
    <w:rsid w:val="000F2999"/>
    <w:rsid w:val="000F36DD"/>
    <w:rsid w:val="0010165D"/>
    <w:rsid w:val="001020EE"/>
    <w:rsid w:val="0010347B"/>
    <w:rsid w:val="00104178"/>
    <w:rsid w:val="00104F8D"/>
    <w:rsid w:val="00105603"/>
    <w:rsid w:val="00105CF0"/>
    <w:rsid w:val="00113D07"/>
    <w:rsid w:val="00114207"/>
    <w:rsid w:val="00115F86"/>
    <w:rsid w:val="00117163"/>
    <w:rsid w:val="0012113F"/>
    <w:rsid w:val="001223AC"/>
    <w:rsid w:val="00130C89"/>
    <w:rsid w:val="00131887"/>
    <w:rsid w:val="00131BAD"/>
    <w:rsid w:val="001355B2"/>
    <w:rsid w:val="001406C9"/>
    <w:rsid w:val="00140C7F"/>
    <w:rsid w:val="001425BD"/>
    <w:rsid w:val="00143EBD"/>
    <w:rsid w:val="00145965"/>
    <w:rsid w:val="00145E4C"/>
    <w:rsid w:val="00147911"/>
    <w:rsid w:val="001575E7"/>
    <w:rsid w:val="0016312C"/>
    <w:rsid w:val="00166C7E"/>
    <w:rsid w:val="001677A7"/>
    <w:rsid w:val="001723B5"/>
    <w:rsid w:val="001738D8"/>
    <w:rsid w:val="00176AB7"/>
    <w:rsid w:val="00185A20"/>
    <w:rsid w:val="00187AE7"/>
    <w:rsid w:val="00192708"/>
    <w:rsid w:val="00194291"/>
    <w:rsid w:val="00194B5D"/>
    <w:rsid w:val="0019633B"/>
    <w:rsid w:val="00196897"/>
    <w:rsid w:val="00196A18"/>
    <w:rsid w:val="001A2555"/>
    <w:rsid w:val="001A515A"/>
    <w:rsid w:val="001A7963"/>
    <w:rsid w:val="001B0FC4"/>
    <w:rsid w:val="001B4DBB"/>
    <w:rsid w:val="001B6212"/>
    <w:rsid w:val="001B66B5"/>
    <w:rsid w:val="001C06AC"/>
    <w:rsid w:val="001C1538"/>
    <w:rsid w:val="001C32C7"/>
    <w:rsid w:val="001C3B6E"/>
    <w:rsid w:val="001C5877"/>
    <w:rsid w:val="001C65DA"/>
    <w:rsid w:val="001C76C2"/>
    <w:rsid w:val="001E1B19"/>
    <w:rsid w:val="001E20A0"/>
    <w:rsid w:val="001E6158"/>
    <w:rsid w:val="001E64D8"/>
    <w:rsid w:val="001F1509"/>
    <w:rsid w:val="001F2CD8"/>
    <w:rsid w:val="001F551A"/>
    <w:rsid w:val="001F74DF"/>
    <w:rsid w:val="00202937"/>
    <w:rsid w:val="00202F25"/>
    <w:rsid w:val="00204E18"/>
    <w:rsid w:val="00205C8F"/>
    <w:rsid w:val="00210C21"/>
    <w:rsid w:val="00211D7F"/>
    <w:rsid w:val="0021264B"/>
    <w:rsid w:val="00214730"/>
    <w:rsid w:val="00216C03"/>
    <w:rsid w:val="002200FF"/>
    <w:rsid w:val="00220631"/>
    <w:rsid w:val="00221DB0"/>
    <w:rsid w:val="00223056"/>
    <w:rsid w:val="00225282"/>
    <w:rsid w:val="00225D0A"/>
    <w:rsid w:val="00226079"/>
    <w:rsid w:val="00226BB8"/>
    <w:rsid w:val="00227286"/>
    <w:rsid w:val="00227B67"/>
    <w:rsid w:val="00230003"/>
    <w:rsid w:val="0023150C"/>
    <w:rsid w:val="002327F8"/>
    <w:rsid w:val="00235E04"/>
    <w:rsid w:val="002402A0"/>
    <w:rsid w:val="002402DD"/>
    <w:rsid w:val="002403A9"/>
    <w:rsid w:val="00246C2F"/>
    <w:rsid w:val="002479F8"/>
    <w:rsid w:val="002502C4"/>
    <w:rsid w:val="00250FC5"/>
    <w:rsid w:val="00252E69"/>
    <w:rsid w:val="00255099"/>
    <w:rsid w:val="00257897"/>
    <w:rsid w:val="002612FE"/>
    <w:rsid w:val="00261F66"/>
    <w:rsid w:val="00263373"/>
    <w:rsid w:val="00266985"/>
    <w:rsid w:val="00267DF5"/>
    <w:rsid w:val="00270524"/>
    <w:rsid w:val="00270E95"/>
    <w:rsid w:val="00270FA0"/>
    <w:rsid w:val="002740FA"/>
    <w:rsid w:val="00274215"/>
    <w:rsid w:val="00276087"/>
    <w:rsid w:val="00276F69"/>
    <w:rsid w:val="00277F6A"/>
    <w:rsid w:val="00282687"/>
    <w:rsid w:val="00282DC3"/>
    <w:rsid w:val="002832E3"/>
    <w:rsid w:val="00285414"/>
    <w:rsid w:val="00290AA4"/>
    <w:rsid w:val="00292312"/>
    <w:rsid w:val="002A1FE7"/>
    <w:rsid w:val="002A3126"/>
    <w:rsid w:val="002A5263"/>
    <w:rsid w:val="002B2F1B"/>
    <w:rsid w:val="002B3576"/>
    <w:rsid w:val="002B3941"/>
    <w:rsid w:val="002B5838"/>
    <w:rsid w:val="002C1D2B"/>
    <w:rsid w:val="002C35D9"/>
    <w:rsid w:val="002C69F9"/>
    <w:rsid w:val="002C7095"/>
    <w:rsid w:val="002C7F8D"/>
    <w:rsid w:val="002D09E3"/>
    <w:rsid w:val="002D2A37"/>
    <w:rsid w:val="002D3DDB"/>
    <w:rsid w:val="002D4D58"/>
    <w:rsid w:val="002D6B12"/>
    <w:rsid w:val="002D7DA0"/>
    <w:rsid w:val="002E3288"/>
    <w:rsid w:val="002F0F3E"/>
    <w:rsid w:val="002F19D3"/>
    <w:rsid w:val="002F3E31"/>
    <w:rsid w:val="002F53E7"/>
    <w:rsid w:val="002F6DC6"/>
    <w:rsid w:val="002F7568"/>
    <w:rsid w:val="00305570"/>
    <w:rsid w:val="00307212"/>
    <w:rsid w:val="00311297"/>
    <w:rsid w:val="00315A3B"/>
    <w:rsid w:val="00315C04"/>
    <w:rsid w:val="00321278"/>
    <w:rsid w:val="00322DBC"/>
    <w:rsid w:val="003231FC"/>
    <w:rsid w:val="003239B9"/>
    <w:rsid w:val="003244BE"/>
    <w:rsid w:val="003245DD"/>
    <w:rsid w:val="003248FA"/>
    <w:rsid w:val="00326D5D"/>
    <w:rsid w:val="00327A80"/>
    <w:rsid w:val="00331C76"/>
    <w:rsid w:val="00335341"/>
    <w:rsid w:val="0033782B"/>
    <w:rsid w:val="00337A63"/>
    <w:rsid w:val="00337BC9"/>
    <w:rsid w:val="00341382"/>
    <w:rsid w:val="0034275E"/>
    <w:rsid w:val="003543F0"/>
    <w:rsid w:val="003604DB"/>
    <w:rsid w:val="0036149B"/>
    <w:rsid w:val="00361744"/>
    <w:rsid w:val="00367C79"/>
    <w:rsid w:val="00367DE9"/>
    <w:rsid w:val="0037293C"/>
    <w:rsid w:val="00372F1E"/>
    <w:rsid w:val="0037553C"/>
    <w:rsid w:val="0037672C"/>
    <w:rsid w:val="003773E4"/>
    <w:rsid w:val="00381342"/>
    <w:rsid w:val="00383907"/>
    <w:rsid w:val="0038522D"/>
    <w:rsid w:val="00387840"/>
    <w:rsid w:val="00390611"/>
    <w:rsid w:val="003915DD"/>
    <w:rsid w:val="003933FE"/>
    <w:rsid w:val="003A217A"/>
    <w:rsid w:val="003A639E"/>
    <w:rsid w:val="003A6BD8"/>
    <w:rsid w:val="003A781C"/>
    <w:rsid w:val="003B0B2A"/>
    <w:rsid w:val="003B12DC"/>
    <w:rsid w:val="003B5A3D"/>
    <w:rsid w:val="003C08F4"/>
    <w:rsid w:val="003C3560"/>
    <w:rsid w:val="003C3CCD"/>
    <w:rsid w:val="003C7EFF"/>
    <w:rsid w:val="003D04AA"/>
    <w:rsid w:val="003D1118"/>
    <w:rsid w:val="003D2DEA"/>
    <w:rsid w:val="003D4A15"/>
    <w:rsid w:val="003D5FDE"/>
    <w:rsid w:val="003E058A"/>
    <w:rsid w:val="003E3C4E"/>
    <w:rsid w:val="003E549C"/>
    <w:rsid w:val="003F3F07"/>
    <w:rsid w:val="003F43D2"/>
    <w:rsid w:val="003F4626"/>
    <w:rsid w:val="003F7827"/>
    <w:rsid w:val="0040176E"/>
    <w:rsid w:val="00403BA8"/>
    <w:rsid w:val="0040495C"/>
    <w:rsid w:val="00405702"/>
    <w:rsid w:val="00405F2A"/>
    <w:rsid w:val="00411035"/>
    <w:rsid w:val="004128D4"/>
    <w:rsid w:val="004136A4"/>
    <w:rsid w:val="00413EC1"/>
    <w:rsid w:val="004146AA"/>
    <w:rsid w:val="00414C62"/>
    <w:rsid w:val="00415B3E"/>
    <w:rsid w:val="00416139"/>
    <w:rsid w:val="00416305"/>
    <w:rsid w:val="00416DB8"/>
    <w:rsid w:val="00417AF8"/>
    <w:rsid w:val="004202F8"/>
    <w:rsid w:val="00424C5F"/>
    <w:rsid w:val="004306D2"/>
    <w:rsid w:val="0043116A"/>
    <w:rsid w:val="0043239E"/>
    <w:rsid w:val="00432BF7"/>
    <w:rsid w:val="004344C4"/>
    <w:rsid w:val="004416D6"/>
    <w:rsid w:val="00441B3A"/>
    <w:rsid w:val="0044314D"/>
    <w:rsid w:val="004439A8"/>
    <w:rsid w:val="0044522E"/>
    <w:rsid w:val="004457FA"/>
    <w:rsid w:val="00445ED4"/>
    <w:rsid w:val="00447042"/>
    <w:rsid w:val="00454887"/>
    <w:rsid w:val="004555F1"/>
    <w:rsid w:val="00455A23"/>
    <w:rsid w:val="00456E23"/>
    <w:rsid w:val="00457126"/>
    <w:rsid w:val="00457BEE"/>
    <w:rsid w:val="0046297E"/>
    <w:rsid w:val="00462D0F"/>
    <w:rsid w:val="0046529C"/>
    <w:rsid w:val="004656C5"/>
    <w:rsid w:val="0046615E"/>
    <w:rsid w:val="00471A80"/>
    <w:rsid w:val="00472C2E"/>
    <w:rsid w:val="004769F3"/>
    <w:rsid w:val="00477AA6"/>
    <w:rsid w:val="00480C38"/>
    <w:rsid w:val="00481268"/>
    <w:rsid w:val="004816A3"/>
    <w:rsid w:val="00481EBD"/>
    <w:rsid w:val="00485A5E"/>
    <w:rsid w:val="004905FC"/>
    <w:rsid w:val="00494949"/>
    <w:rsid w:val="004A0FFF"/>
    <w:rsid w:val="004A2AFE"/>
    <w:rsid w:val="004A3FE9"/>
    <w:rsid w:val="004A4968"/>
    <w:rsid w:val="004A6573"/>
    <w:rsid w:val="004A727A"/>
    <w:rsid w:val="004B544E"/>
    <w:rsid w:val="004B5B2A"/>
    <w:rsid w:val="004C1A25"/>
    <w:rsid w:val="004C1D82"/>
    <w:rsid w:val="004C38F5"/>
    <w:rsid w:val="004C3EEA"/>
    <w:rsid w:val="004C3F7B"/>
    <w:rsid w:val="004C4AB5"/>
    <w:rsid w:val="004C549F"/>
    <w:rsid w:val="004D0168"/>
    <w:rsid w:val="004D2C20"/>
    <w:rsid w:val="004D3AA7"/>
    <w:rsid w:val="004D49BB"/>
    <w:rsid w:val="004D4ECA"/>
    <w:rsid w:val="004D6EB6"/>
    <w:rsid w:val="004E4F58"/>
    <w:rsid w:val="004F174E"/>
    <w:rsid w:val="004F3D82"/>
    <w:rsid w:val="004F6D92"/>
    <w:rsid w:val="004F7B97"/>
    <w:rsid w:val="00502045"/>
    <w:rsid w:val="005025D6"/>
    <w:rsid w:val="00503460"/>
    <w:rsid w:val="00505532"/>
    <w:rsid w:val="00511949"/>
    <w:rsid w:val="00513B36"/>
    <w:rsid w:val="00515F47"/>
    <w:rsid w:val="00515F60"/>
    <w:rsid w:val="00520131"/>
    <w:rsid w:val="005224F9"/>
    <w:rsid w:val="005323CD"/>
    <w:rsid w:val="005378E3"/>
    <w:rsid w:val="0054076D"/>
    <w:rsid w:val="00541515"/>
    <w:rsid w:val="00541B08"/>
    <w:rsid w:val="005441B6"/>
    <w:rsid w:val="005464BE"/>
    <w:rsid w:val="00551F71"/>
    <w:rsid w:val="00554BE0"/>
    <w:rsid w:val="00554F6A"/>
    <w:rsid w:val="00555D17"/>
    <w:rsid w:val="00557B4A"/>
    <w:rsid w:val="00570719"/>
    <w:rsid w:val="00572866"/>
    <w:rsid w:val="00575135"/>
    <w:rsid w:val="00581C47"/>
    <w:rsid w:val="00581DED"/>
    <w:rsid w:val="00583240"/>
    <w:rsid w:val="005835BF"/>
    <w:rsid w:val="00584F85"/>
    <w:rsid w:val="00586CB8"/>
    <w:rsid w:val="00591817"/>
    <w:rsid w:val="00594C93"/>
    <w:rsid w:val="0059515B"/>
    <w:rsid w:val="005A0559"/>
    <w:rsid w:val="005A3DC3"/>
    <w:rsid w:val="005A5C2D"/>
    <w:rsid w:val="005B12B9"/>
    <w:rsid w:val="005B1E95"/>
    <w:rsid w:val="005B2AC8"/>
    <w:rsid w:val="005B6CB0"/>
    <w:rsid w:val="005B7A5F"/>
    <w:rsid w:val="005C3D6D"/>
    <w:rsid w:val="005C4C0F"/>
    <w:rsid w:val="005C4E04"/>
    <w:rsid w:val="005C75EF"/>
    <w:rsid w:val="005E0083"/>
    <w:rsid w:val="005E18A1"/>
    <w:rsid w:val="005E2D90"/>
    <w:rsid w:val="005E5714"/>
    <w:rsid w:val="005E7640"/>
    <w:rsid w:val="005F223C"/>
    <w:rsid w:val="006008B9"/>
    <w:rsid w:val="0060231A"/>
    <w:rsid w:val="006037E3"/>
    <w:rsid w:val="00605172"/>
    <w:rsid w:val="00611FB1"/>
    <w:rsid w:val="0061574D"/>
    <w:rsid w:val="006167EE"/>
    <w:rsid w:val="00620EE2"/>
    <w:rsid w:val="00621C80"/>
    <w:rsid w:val="006227CC"/>
    <w:rsid w:val="00624047"/>
    <w:rsid w:val="006264D7"/>
    <w:rsid w:val="00627E41"/>
    <w:rsid w:val="00630E3D"/>
    <w:rsid w:val="00632DBD"/>
    <w:rsid w:val="00636D6A"/>
    <w:rsid w:val="006378F4"/>
    <w:rsid w:val="00640DA4"/>
    <w:rsid w:val="00642603"/>
    <w:rsid w:val="0064349B"/>
    <w:rsid w:val="00643630"/>
    <w:rsid w:val="00644EB0"/>
    <w:rsid w:val="00645D3D"/>
    <w:rsid w:val="0065017E"/>
    <w:rsid w:val="006504B4"/>
    <w:rsid w:val="00651D00"/>
    <w:rsid w:val="00652A3B"/>
    <w:rsid w:val="00660E2A"/>
    <w:rsid w:val="0066194D"/>
    <w:rsid w:val="00665B59"/>
    <w:rsid w:val="00665CEE"/>
    <w:rsid w:val="006669AA"/>
    <w:rsid w:val="006672C9"/>
    <w:rsid w:val="00672501"/>
    <w:rsid w:val="00673AC8"/>
    <w:rsid w:val="00674535"/>
    <w:rsid w:val="006755BF"/>
    <w:rsid w:val="00677D61"/>
    <w:rsid w:val="00681D07"/>
    <w:rsid w:val="0068486D"/>
    <w:rsid w:val="00685CDA"/>
    <w:rsid w:val="0068660F"/>
    <w:rsid w:val="00690B95"/>
    <w:rsid w:val="00692202"/>
    <w:rsid w:val="00692CFC"/>
    <w:rsid w:val="00692D01"/>
    <w:rsid w:val="00694451"/>
    <w:rsid w:val="00695335"/>
    <w:rsid w:val="00695692"/>
    <w:rsid w:val="006961A6"/>
    <w:rsid w:val="006A14A0"/>
    <w:rsid w:val="006A14CA"/>
    <w:rsid w:val="006A6E35"/>
    <w:rsid w:val="006B325F"/>
    <w:rsid w:val="006B39E0"/>
    <w:rsid w:val="006B4AF6"/>
    <w:rsid w:val="006B5C2A"/>
    <w:rsid w:val="006C05F2"/>
    <w:rsid w:val="006C12E8"/>
    <w:rsid w:val="006C14C6"/>
    <w:rsid w:val="006C231B"/>
    <w:rsid w:val="006C2D0D"/>
    <w:rsid w:val="006C4CA6"/>
    <w:rsid w:val="006C5C81"/>
    <w:rsid w:val="006C7A94"/>
    <w:rsid w:val="006D116F"/>
    <w:rsid w:val="006D7F14"/>
    <w:rsid w:val="006E1776"/>
    <w:rsid w:val="006E2166"/>
    <w:rsid w:val="006F0C02"/>
    <w:rsid w:val="006F21E8"/>
    <w:rsid w:val="006F3EA6"/>
    <w:rsid w:val="006F59DF"/>
    <w:rsid w:val="006F5AC5"/>
    <w:rsid w:val="0070034E"/>
    <w:rsid w:val="00700E9E"/>
    <w:rsid w:val="0070169A"/>
    <w:rsid w:val="007016D2"/>
    <w:rsid w:val="00704281"/>
    <w:rsid w:val="00706644"/>
    <w:rsid w:val="00707314"/>
    <w:rsid w:val="00707AB4"/>
    <w:rsid w:val="00712FC2"/>
    <w:rsid w:val="0071569D"/>
    <w:rsid w:val="0071678A"/>
    <w:rsid w:val="00721256"/>
    <w:rsid w:val="0072227A"/>
    <w:rsid w:val="00724F36"/>
    <w:rsid w:val="00726104"/>
    <w:rsid w:val="00727E71"/>
    <w:rsid w:val="00730729"/>
    <w:rsid w:val="00736646"/>
    <w:rsid w:val="00736D17"/>
    <w:rsid w:val="0074398E"/>
    <w:rsid w:val="00744B0F"/>
    <w:rsid w:val="0074659A"/>
    <w:rsid w:val="00750CC7"/>
    <w:rsid w:val="007574F3"/>
    <w:rsid w:val="00763412"/>
    <w:rsid w:val="00765ED5"/>
    <w:rsid w:val="00766322"/>
    <w:rsid w:val="0076649F"/>
    <w:rsid w:val="00766E5E"/>
    <w:rsid w:val="00773FAA"/>
    <w:rsid w:val="007865AA"/>
    <w:rsid w:val="00787D7B"/>
    <w:rsid w:val="00790E2C"/>
    <w:rsid w:val="00792718"/>
    <w:rsid w:val="00792DB9"/>
    <w:rsid w:val="007932F3"/>
    <w:rsid w:val="0079426C"/>
    <w:rsid w:val="0079507C"/>
    <w:rsid w:val="007A3291"/>
    <w:rsid w:val="007A48B0"/>
    <w:rsid w:val="007A4A39"/>
    <w:rsid w:val="007A4EED"/>
    <w:rsid w:val="007A7B79"/>
    <w:rsid w:val="007A7DC7"/>
    <w:rsid w:val="007B0FE5"/>
    <w:rsid w:val="007B23D6"/>
    <w:rsid w:val="007B4458"/>
    <w:rsid w:val="007B6731"/>
    <w:rsid w:val="007C0293"/>
    <w:rsid w:val="007C2CE7"/>
    <w:rsid w:val="007C56C2"/>
    <w:rsid w:val="007D0572"/>
    <w:rsid w:val="007D23A6"/>
    <w:rsid w:val="007D2F67"/>
    <w:rsid w:val="007D6E7C"/>
    <w:rsid w:val="007E1002"/>
    <w:rsid w:val="007E20C7"/>
    <w:rsid w:val="007E4A6C"/>
    <w:rsid w:val="007E4B29"/>
    <w:rsid w:val="007E5050"/>
    <w:rsid w:val="007E578B"/>
    <w:rsid w:val="007E7676"/>
    <w:rsid w:val="007E7EBE"/>
    <w:rsid w:val="007E7FB7"/>
    <w:rsid w:val="007F17D8"/>
    <w:rsid w:val="007F1B40"/>
    <w:rsid w:val="007F2604"/>
    <w:rsid w:val="007F34FF"/>
    <w:rsid w:val="007F4833"/>
    <w:rsid w:val="00800F2B"/>
    <w:rsid w:val="0080430F"/>
    <w:rsid w:val="008058D6"/>
    <w:rsid w:val="008060A7"/>
    <w:rsid w:val="008075F5"/>
    <w:rsid w:val="00810D98"/>
    <w:rsid w:val="0081274C"/>
    <w:rsid w:val="00814D8F"/>
    <w:rsid w:val="00815739"/>
    <w:rsid w:val="00816567"/>
    <w:rsid w:val="008172B5"/>
    <w:rsid w:val="00821ECA"/>
    <w:rsid w:val="00824666"/>
    <w:rsid w:val="00826835"/>
    <w:rsid w:val="00827052"/>
    <w:rsid w:val="00827A06"/>
    <w:rsid w:val="00830920"/>
    <w:rsid w:val="00831246"/>
    <w:rsid w:val="008321A0"/>
    <w:rsid w:val="00832784"/>
    <w:rsid w:val="00834609"/>
    <w:rsid w:val="00837620"/>
    <w:rsid w:val="00845A4D"/>
    <w:rsid w:val="0084736C"/>
    <w:rsid w:val="00852182"/>
    <w:rsid w:val="00854111"/>
    <w:rsid w:val="00856881"/>
    <w:rsid w:val="00862B20"/>
    <w:rsid w:val="008653DB"/>
    <w:rsid w:val="00865D1F"/>
    <w:rsid w:val="00865E71"/>
    <w:rsid w:val="00871194"/>
    <w:rsid w:val="00874A5F"/>
    <w:rsid w:val="008757D7"/>
    <w:rsid w:val="008762D8"/>
    <w:rsid w:val="00877186"/>
    <w:rsid w:val="00877C7E"/>
    <w:rsid w:val="008807E1"/>
    <w:rsid w:val="008830B3"/>
    <w:rsid w:val="008843E6"/>
    <w:rsid w:val="0088754F"/>
    <w:rsid w:val="00887CA7"/>
    <w:rsid w:val="0089200B"/>
    <w:rsid w:val="00894228"/>
    <w:rsid w:val="008953B1"/>
    <w:rsid w:val="008A0252"/>
    <w:rsid w:val="008A1537"/>
    <w:rsid w:val="008A44BC"/>
    <w:rsid w:val="008B13D8"/>
    <w:rsid w:val="008B45CE"/>
    <w:rsid w:val="008B74D0"/>
    <w:rsid w:val="008C2B09"/>
    <w:rsid w:val="008C3641"/>
    <w:rsid w:val="008C5131"/>
    <w:rsid w:val="008C7130"/>
    <w:rsid w:val="008D1787"/>
    <w:rsid w:val="008D2707"/>
    <w:rsid w:val="008D2B3F"/>
    <w:rsid w:val="008D3183"/>
    <w:rsid w:val="008D50B8"/>
    <w:rsid w:val="008E1E81"/>
    <w:rsid w:val="008E2AB6"/>
    <w:rsid w:val="008E4998"/>
    <w:rsid w:val="008F1F2B"/>
    <w:rsid w:val="009021AF"/>
    <w:rsid w:val="00904DAF"/>
    <w:rsid w:val="00905499"/>
    <w:rsid w:val="00906BEE"/>
    <w:rsid w:val="00906FEE"/>
    <w:rsid w:val="00907FFE"/>
    <w:rsid w:val="00910AF4"/>
    <w:rsid w:val="00912C24"/>
    <w:rsid w:val="009154E1"/>
    <w:rsid w:val="009162D6"/>
    <w:rsid w:val="00917008"/>
    <w:rsid w:val="009177B5"/>
    <w:rsid w:val="00922026"/>
    <w:rsid w:val="00922247"/>
    <w:rsid w:val="00924C7D"/>
    <w:rsid w:val="009368AC"/>
    <w:rsid w:val="009368EE"/>
    <w:rsid w:val="00940DAC"/>
    <w:rsid w:val="0094110D"/>
    <w:rsid w:val="00946E2D"/>
    <w:rsid w:val="009543AB"/>
    <w:rsid w:val="00957315"/>
    <w:rsid w:val="009577A6"/>
    <w:rsid w:val="00962451"/>
    <w:rsid w:val="009626BB"/>
    <w:rsid w:val="009637EB"/>
    <w:rsid w:val="009669E8"/>
    <w:rsid w:val="00970462"/>
    <w:rsid w:val="00970DBC"/>
    <w:rsid w:val="009742E5"/>
    <w:rsid w:val="00975B35"/>
    <w:rsid w:val="00976258"/>
    <w:rsid w:val="0098056A"/>
    <w:rsid w:val="00980627"/>
    <w:rsid w:val="00980D4C"/>
    <w:rsid w:val="00982079"/>
    <w:rsid w:val="00984B24"/>
    <w:rsid w:val="009874A9"/>
    <w:rsid w:val="009936CE"/>
    <w:rsid w:val="00996145"/>
    <w:rsid w:val="00997AD0"/>
    <w:rsid w:val="009A020E"/>
    <w:rsid w:val="009A2AD9"/>
    <w:rsid w:val="009A4D0E"/>
    <w:rsid w:val="009B638B"/>
    <w:rsid w:val="009B72C3"/>
    <w:rsid w:val="009C1115"/>
    <w:rsid w:val="009C15A1"/>
    <w:rsid w:val="009C1CE4"/>
    <w:rsid w:val="009C59DB"/>
    <w:rsid w:val="009D52A4"/>
    <w:rsid w:val="009E2486"/>
    <w:rsid w:val="009E46AA"/>
    <w:rsid w:val="009E66C9"/>
    <w:rsid w:val="009E740A"/>
    <w:rsid w:val="009E752E"/>
    <w:rsid w:val="009F13E4"/>
    <w:rsid w:val="009F1F51"/>
    <w:rsid w:val="009F3105"/>
    <w:rsid w:val="009F3660"/>
    <w:rsid w:val="009F42D8"/>
    <w:rsid w:val="00A02F00"/>
    <w:rsid w:val="00A04974"/>
    <w:rsid w:val="00A15B9E"/>
    <w:rsid w:val="00A17886"/>
    <w:rsid w:val="00A26661"/>
    <w:rsid w:val="00A3180F"/>
    <w:rsid w:val="00A36905"/>
    <w:rsid w:val="00A373A1"/>
    <w:rsid w:val="00A37FB3"/>
    <w:rsid w:val="00A61CAD"/>
    <w:rsid w:val="00A62286"/>
    <w:rsid w:val="00A653FA"/>
    <w:rsid w:val="00A67327"/>
    <w:rsid w:val="00A67F87"/>
    <w:rsid w:val="00A703BE"/>
    <w:rsid w:val="00A70C37"/>
    <w:rsid w:val="00A70F8F"/>
    <w:rsid w:val="00A71994"/>
    <w:rsid w:val="00A73971"/>
    <w:rsid w:val="00A74F54"/>
    <w:rsid w:val="00A80EB6"/>
    <w:rsid w:val="00A84E25"/>
    <w:rsid w:val="00A85C11"/>
    <w:rsid w:val="00A86372"/>
    <w:rsid w:val="00A93DBA"/>
    <w:rsid w:val="00A97715"/>
    <w:rsid w:val="00A97ED2"/>
    <w:rsid w:val="00AA1CD2"/>
    <w:rsid w:val="00AA1ECA"/>
    <w:rsid w:val="00AA1FA9"/>
    <w:rsid w:val="00AA23E6"/>
    <w:rsid w:val="00AA2CD2"/>
    <w:rsid w:val="00AA32F8"/>
    <w:rsid w:val="00AA38C3"/>
    <w:rsid w:val="00AA4DCD"/>
    <w:rsid w:val="00AA551E"/>
    <w:rsid w:val="00AA56D6"/>
    <w:rsid w:val="00AB2658"/>
    <w:rsid w:val="00AB4F87"/>
    <w:rsid w:val="00AB675B"/>
    <w:rsid w:val="00AB775B"/>
    <w:rsid w:val="00AB7AF3"/>
    <w:rsid w:val="00AC1846"/>
    <w:rsid w:val="00AC30D6"/>
    <w:rsid w:val="00AC3751"/>
    <w:rsid w:val="00AC39DC"/>
    <w:rsid w:val="00AC4A1A"/>
    <w:rsid w:val="00AD18AE"/>
    <w:rsid w:val="00AD3498"/>
    <w:rsid w:val="00AD3C81"/>
    <w:rsid w:val="00AD5FDB"/>
    <w:rsid w:val="00AD6FA2"/>
    <w:rsid w:val="00AE6B95"/>
    <w:rsid w:val="00AF069C"/>
    <w:rsid w:val="00AF0ED6"/>
    <w:rsid w:val="00AF26B8"/>
    <w:rsid w:val="00AF4B3C"/>
    <w:rsid w:val="00AF502E"/>
    <w:rsid w:val="00B009D5"/>
    <w:rsid w:val="00B00ED9"/>
    <w:rsid w:val="00B031A0"/>
    <w:rsid w:val="00B047A6"/>
    <w:rsid w:val="00B10C75"/>
    <w:rsid w:val="00B11782"/>
    <w:rsid w:val="00B12162"/>
    <w:rsid w:val="00B13C38"/>
    <w:rsid w:val="00B13F25"/>
    <w:rsid w:val="00B170BE"/>
    <w:rsid w:val="00B22031"/>
    <w:rsid w:val="00B241A8"/>
    <w:rsid w:val="00B26854"/>
    <w:rsid w:val="00B26BFB"/>
    <w:rsid w:val="00B308B2"/>
    <w:rsid w:val="00B37687"/>
    <w:rsid w:val="00B42A56"/>
    <w:rsid w:val="00B43EBC"/>
    <w:rsid w:val="00B46253"/>
    <w:rsid w:val="00B479D9"/>
    <w:rsid w:val="00B47F48"/>
    <w:rsid w:val="00B50203"/>
    <w:rsid w:val="00B50B1F"/>
    <w:rsid w:val="00B50DE3"/>
    <w:rsid w:val="00B54CCC"/>
    <w:rsid w:val="00B558DD"/>
    <w:rsid w:val="00B57590"/>
    <w:rsid w:val="00B6208B"/>
    <w:rsid w:val="00B634E7"/>
    <w:rsid w:val="00B6469B"/>
    <w:rsid w:val="00B64DAB"/>
    <w:rsid w:val="00B72C3D"/>
    <w:rsid w:val="00B76CBF"/>
    <w:rsid w:val="00B77444"/>
    <w:rsid w:val="00B855A5"/>
    <w:rsid w:val="00B863BE"/>
    <w:rsid w:val="00B9043F"/>
    <w:rsid w:val="00B91CC9"/>
    <w:rsid w:val="00B923FE"/>
    <w:rsid w:val="00B9303A"/>
    <w:rsid w:val="00B932C0"/>
    <w:rsid w:val="00B9390A"/>
    <w:rsid w:val="00B957CF"/>
    <w:rsid w:val="00B97789"/>
    <w:rsid w:val="00B9792A"/>
    <w:rsid w:val="00B97A75"/>
    <w:rsid w:val="00BB0824"/>
    <w:rsid w:val="00BB505B"/>
    <w:rsid w:val="00BC0D35"/>
    <w:rsid w:val="00BC12C0"/>
    <w:rsid w:val="00BC7293"/>
    <w:rsid w:val="00BC78CD"/>
    <w:rsid w:val="00BD04A3"/>
    <w:rsid w:val="00BD0C8E"/>
    <w:rsid w:val="00BD0EC6"/>
    <w:rsid w:val="00BD16A0"/>
    <w:rsid w:val="00BD567D"/>
    <w:rsid w:val="00BD6210"/>
    <w:rsid w:val="00BD75A5"/>
    <w:rsid w:val="00BE32DA"/>
    <w:rsid w:val="00BE7F22"/>
    <w:rsid w:val="00BF1F76"/>
    <w:rsid w:val="00BF2FBF"/>
    <w:rsid w:val="00BF3CEC"/>
    <w:rsid w:val="00BF406E"/>
    <w:rsid w:val="00BF7ECC"/>
    <w:rsid w:val="00C00CF5"/>
    <w:rsid w:val="00C02DC3"/>
    <w:rsid w:val="00C03DA6"/>
    <w:rsid w:val="00C04876"/>
    <w:rsid w:val="00C052BB"/>
    <w:rsid w:val="00C065AC"/>
    <w:rsid w:val="00C148F0"/>
    <w:rsid w:val="00C15FC3"/>
    <w:rsid w:val="00C20378"/>
    <w:rsid w:val="00C2048E"/>
    <w:rsid w:val="00C20842"/>
    <w:rsid w:val="00C23EC7"/>
    <w:rsid w:val="00C33295"/>
    <w:rsid w:val="00C33FA4"/>
    <w:rsid w:val="00C37E72"/>
    <w:rsid w:val="00C40C4B"/>
    <w:rsid w:val="00C41B67"/>
    <w:rsid w:val="00C41CEA"/>
    <w:rsid w:val="00C46D2A"/>
    <w:rsid w:val="00C47EE1"/>
    <w:rsid w:val="00C52102"/>
    <w:rsid w:val="00C53C29"/>
    <w:rsid w:val="00C54B0E"/>
    <w:rsid w:val="00C54FC9"/>
    <w:rsid w:val="00C55CCE"/>
    <w:rsid w:val="00C576E7"/>
    <w:rsid w:val="00C61062"/>
    <w:rsid w:val="00C6119D"/>
    <w:rsid w:val="00C61857"/>
    <w:rsid w:val="00C62A62"/>
    <w:rsid w:val="00C74D16"/>
    <w:rsid w:val="00C818C4"/>
    <w:rsid w:val="00C81B39"/>
    <w:rsid w:val="00C83ADA"/>
    <w:rsid w:val="00C84B37"/>
    <w:rsid w:val="00C85EA7"/>
    <w:rsid w:val="00C908A8"/>
    <w:rsid w:val="00C91F5C"/>
    <w:rsid w:val="00C92388"/>
    <w:rsid w:val="00C92E5C"/>
    <w:rsid w:val="00C9327B"/>
    <w:rsid w:val="00C939DF"/>
    <w:rsid w:val="00CA63DD"/>
    <w:rsid w:val="00CA68E2"/>
    <w:rsid w:val="00CA7AB4"/>
    <w:rsid w:val="00CB44AA"/>
    <w:rsid w:val="00CB5B80"/>
    <w:rsid w:val="00CC1636"/>
    <w:rsid w:val="00CC1D5F"/>
    <w:rsid w:val="00CC4434"/>
    <w:rsid w:val="00CC4AA4"/>
    <w:rsid w:val="00CC5BAE"/>
    <w:rsid w:val="00CD1216"/>
    <w:rsid w:val="00CD256E"/>
    <w:rsid w:val="00CD31BF"/>
    <w:rsid w:val="00CD3445"/>
    <w:rsid w:val="00CD42FB"/>
    <w:rsid w:val="00CD4628"/>
    <w:rsid w:val="00CD4E6F"/>
    <w:rsid w:val="00CD7DBF"/>
    <w:rsid w:val="00CE0791"/>
    <w:rsid w:val="00CE4303"/>
    <w:rsid w:val="00CE47BB"/>
    <w:rsid w:val="00CE5CCB"/>
    <w:rsid w:val="00CF14E1"/>
    <w:rsid w:val="00CF323D"/>
    <w:rsid w:val="00CF77DE"/>
    <w:rsid w:val="00CF7804"/>
    <w:rsid w:val="00CF7B01"/>
    <w:rsid w:val="00CF7EB6"/>
    <w:rsid w:val="00D01FA8"/>
    <w:rsid w:val="00D03E14"/>
    <w:rsid w:val="00D066CA"/>
    <w:rsid w:val="00D10A1F"/>
    <w:rsid w:val="00D12270"/>
    <w:rsid w:val="00D1323B"/>
    <w:rsid w:val="00D13296"/>
    <w:rsid w:val="00D13A0A"/>
    <w:rsid w:val="00D16681"/>
    <w:rsid w:val="00D20864"/>
    <w:rsid w:val="00D23E85"/>
    <w:rsid w:val="00D32A51"/>
    <w:rsid w:val="00D34BEC"/>
    <w:rsid w:val="00D419E4"/>
    <w:rsid w:val="00D41CC5"/>
    <w:rsid w:val="00D43A19"/>
    <w:rsid w:val="00D46E8F"/>
    <w:rsid w:val="00D56158"/>
    <w:rsid w:val="00D57133"/>
    <w:rsid w:val="00D60B43"/>
    <w:rsid w:val="00D61950"/>
    <w:rsid w:val="00D621A4"/>
    <w:rsid w:val="00D65147"/>
    <w:rsid w:val="00D65B2E"/>
    <w:rsid w:val="00D75872"/>
    <w:rsid w:val="00D77D4F"/>
    <w:rsid w:val="00D8161B"/>
    <w:rsid w:val="00D81B2C"/>
    <w:rsid w:val="00D83063"/>
    <w:rsid w:val="00D8474F"/>
    <w:rsid w:val="00D869D0"/>
    <w:rsid w:val="00D86D40"/>
    <w:rsid w:val="00D91CD4"/>
    <w:rsid w:val="00D94F46"/>
    <w:rsid w:val="00DA20BF"/>
    <w:rsid w:val="00DA3591"/>
    <w:rsid w:val="00DA37E8"/>
    <w:rsid w:val="00DA39A3"/>
    <w:rsid w:val="00DA561F"/>
    <w:rsid w:val="00DA5CC3"/>
    <w:rsid w:val="00DA699B"/>
    <w:rsid w:val="00DB1358"/>
    <w:rsid w:val="00DB3245"/>
    <w:rsid w:val="00DC2B36"/>
    <w:rsid w:val="00DC2C43"/>
    <w:rsid w:val="00DC3B11"/>
    <w:rsid w:val="00DC414B"/>
    <w:rsid w:val="00DC72FE"/>
    <w:rsid w:val="00DC748C"/>
    <w:rsid w:val="00DD4DA9"/>
    <w:rsid w:val="00DD63FB"/>
    <w:rsid w:val="00DD73EA"/>
    <w:rsid w:val="00DE02D6"/>
    <w:rsid w:val="00DE1C59"/>
    <w:rsid w:val="00DE3295"/>
    <w:rsid w:val="00DE3D9C"/>
    <w:rsid w:val="00DE4CC4"/>
    <w:rsid w:val="00DF15D9"/>
    <w:rsid w:val="00DF2913"/>
    <w:rsid w:val="00DF2F01"/>
    <w:rsid w:val="00DF5316"/>
    <w:rsid w:val="00DF5F16"/>
    <w:rsid w:val="00E00E38"/>
    <w:rsid w:val="00E023E6"/>
    <w:rsid w:val="00E0464B"/>
    <w:rsid w:val="00E05A76"/>
    <w:rsid w:val="00E06045"/>
    <w:rsid w:val="00E06D1F"/>
    <w:rsid w:val="00E07232"/>
    <w:rsid w:val="00E1549F"/>
    <w:rsid w:val="00E16904"/>
    <w:rsid w:val="00E20257"/>
    <w:rsid w:val="00E229E0"/>
    <w:rsid w:val="00E3058A"/>
    <w:rsid w:val="00E3090D"/>
    <w:rsid w:val="00E30B12"/>
    <w:rsid w:val="00E3696D"/>
    <w:rsid w:val="00E36D2C"/>
    <w:rsid w:val="00E36F5D"/>
    <w:rsid w:val="00E434DE"/>
    <w:rsid w:val="00E43F94"/>
    <w:rsid w:val="00E5109D"/>
    <w:rsid w:val="00E5289C"/>
    <w:rsid w:val="00E541E7"/>
    <w:rsid w:val="00E54346"/>
    <w:rsid w:val="00E54972"/>
    <w:rsid w:val="00E60597"/>
    <w:rsid w:val="00E62E07"/>
    <w:rsid w:val="00E66C66"/>
    <w:rsid w:val="00E66F8D"/>
    <w:rsid w:val="00E67951"/>
    <w:rsid w:val="00E70EDC"/>
    <w:rsid w:val="00E75610"/>
    <w:rsid w:val="00E75A48"/>
    <w:rsid w:val="00E762ED"/>
    <w:rsid w:val="00E76A7F"/>
    <w:rsid w:val="00E77472"/>
    <w:rsid w:val="00E77645"/>
    <w:rsid w:val="00E86C42"/>
    <w:rsid w:val="00E8745F"/>
    <w:rsid w:val="00E87AC9"/>
    <w:rsid w:val="00E87FE2"/>
    <w:rsid w:val="00E92982"/>
    <w:rsid w:val="00E92C17"/>
    <w:rsid w:val="00E974FF"/>
    <w:rsid w:val="00EA1048"/>
    <w:rsid w:val="00EA169A"/>
    <w:rsid w:val="00EA1C22"/>
    <w:rsid w:val="00EA3134"/>
    <w:rsid w:val="00EA4075"/>
    <w:rsid w:val="00EA4B4B"/>
    <w:rsid w:val="00EA58FC"/>
    <w:rsid w:val="00EA5FDE"/>
    <w:rsid w:val="00EB10DE"/>
    <w:rsid w:val="00EB14AF"/>
    <w:rsid w:val="00EB617D"/>
    <w:rsid w:val="00EB66D3"/>
    <w:rsid w:val="00EB71AA"/>
    <w:rsid w:val="00EB7B99"/>
    <w:rsid w:val="00EC0F9D"/>
    <w:rsid w:val="00EC13B1"/>
    <w:rsid w:val="00EC72C7"/>
    <w:rsid w:val="00ED1798"/>
    <w:rsid w:val="00ED368D"/>
    <w:rsid w:val="00ED4D2A"/>
    <w:rsid w:val="00ED5098"/>
    <w:rsid w:val="00ED6083"/>
    <w:rsid w:val="00ED756B"/>
    <w:rsid w:val="00EE0DE8"/>
    <w:rsid w:val="00EE2620"/>
    <w:rsid w:val="00EE262A"/>
    <w:rsid w:val="00EE2D9C"/>
    <w:rsid w:val="00EE53FE"/>
    <w:rsid w:val="00EE73F9"/>
    <w:rsid w:val="00EF1F7B"/>
    <w:rsid w:val="00F00A30"/>
    <w:rsid w:val="00F016AF"/>
    <w:rsid w:val="00F019CC"/>
    <w:rsid w:val="00F04988"/>
    <w:rsid w:val="00F062F1"/>
    <w:rsid w:val="00F077F9"/>
    <w:rsid w:val="00F10EE5"/>
    <w:rsid w:val="00F11FD9"/>
    <w:rsid w:val="00F173B7"/>
    <w:rsid w:val="00F179F3"/>
    <w:rsid w:val="00F230F8"/>
    <w:rsid w:val="00F260EE"/>
    <w:rsid w:val="00F2645B"/>
    <w:rsid w:val="00F265B7"/>
    <w:rsid w:val="00F30154"/>
    <w:rsid w:val="00F3129F"/>
    <w:rsid w:val="00F319FE"/>
    <w:rsid w:val="00F36A2B"/>
    <w:rsid w:val="00F36D08"/>
    <w:rsid w:val="00F404A9"/>
    <w:rsid w:val="00F425CA"/>
    <w:rsid w:val="00F472CF"/>
    <w:rsid w:val="00F53083"/>
    <w:rsid w:val="00F53CAF"/>
    <w:rsid w:val="00F54A0E"/>
    <w:rsid w:val="00F608B4"/>
    <w:rsid w:val="00F621F4"/>
    <w:rsid w:val="00F62584"/>
    <w:rsid w:val="00F63A11"/>
    <w:rsid w:val="00F63D8B"/>
    <w:rsid w:val="00F64241"/>
    <w:rsid w:val="00F654D6"/>
    <w:rsid w:val="00F6685E"/>
    <w:rsid w:val="00F67DA6"/>
    <w:rsid w:val="00F742D3"/>
    <w:rsid w:val="00F74E41"/>
    <w:rsid w:val="00F77494"/>
    <w:rsid w:val="00F81DCE"/>
    <w:rsid w:val="00F82EF3"/>
    <w:rsid w:val="00F83C21"/>
    <w:rsid w:val="00F875ED"/>
    <w:rsid w:val="00F87A77"/>
    <w:rsid w:val="00F92BBB"/>
    <w:rsid w:val="00F974A7"/>
    <w:rsid w:val="00F979E1"/>
    <w:rsid w:val="00FA1420"/>
    <w:rsid w:val="00FA3BAF"/>
    <w:rsid w:val="00FA5E1F"/>
    <w:rsid w:val="00FA68A0"/>
    <w:rsid w:val="00FB1CB5"/>
    <w:rsid w:val="00FB6064"/>
    <w:rsid w:val="00FC0A44"/>
    <w:rsid w:val="00FC0E11"/>
    <w:rsid w:val="00FC3861"/>
    <w:rsid w:val="00FC47EC"/>
    <w:rsid w:val="00FC4920"/>
    <w:rsid w:val="00FC5D98"/>
    <w:rsid w:val="00FD13BB"/>
    <w:rsid w:val="00FD2E65"/>
    <w:rsid w:val="00FD2FF8"/>
    <w:rsid w:val="00FD68B7"/>
    <w:rsid w:val="00FD7A17"/>
    <w:rsid w:val="00FE11AF"/>
    <w:rsid w:val="00FE259D"/>
    <w:rsid w:val="00FE3B12"/>
    <w:rsid w:val="00FE6354"/>
    <w:rsid w:val="00FE6F1E"/>
    <w:rsid w:val="00FF0340"/>
    <w:rsid w:val="00FF3119"/>
    <w:rsid w:val="00FF38A8"/>
    <w:rsid w:val="00FF3BFC"/>
    <w:rsid w:val="00FF602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27FB6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11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E6F1E"/>
    <w:rPr>
      <w:sz w:val="16"/>
      <w:szCs w:val="16"/>
    </w:rPr>
  </w:style>
  <w:style w:type="paragraph" w:styleId="CommentText">
    <w:name w:val="annotation text"/>
    <w:basedOn w:val="Normal"/>
    <w:link w:val="CommentTextChar"/>
    <w:uiPriority w:val="99"/>
    <w:unhideWhenUsed/>
    <w:rsid w:val="00FE6F1E"/>
    <w:rPr>
      <w:sz w:val="20"/>
      <w:szCs w:val="20"/>
    </w:rPr>
  </w:style>
  <w:style w:type="character" w:customStyle="1" w:styleId="CommentTextChar">
    <w:name w:val="Comment Text Char"/>
    <w:basedOn w:val="DefaultParagraphFont"/>
    <w:link w:val="CommentText"/>
    <w:uiPriority w:val="99"/>
    <w:rsid w:val="00FE6F1E"/>
    <w:rPr>
      <w:sz w:val="20"/>
      <w:szCs w:val="20"/>
    </w:rPr>
  </w:style>
  <w:style w:type="paragraph" w:styleId="CommentSubject">
    <w:name w:val="annotation subject"/>
    <w:basedOn w:val="CommentText"/>
    <w:next w:val="CommentText"/>
    <w:link w:val="CommentSubjectChar"/>
    <w:uiPriority w:val="99"/>
    <w:semiHidden/>
    <w:unhideWhenUsed/>
    <w:rsid w:val="00FE6F1E"/>
    <w:rPr>
      <w:b/>
      <w:bCs/>
    </w:rPr>
  </w:style>
  <w:style w:type="character" w:customStyle="1" w:styleId="CommentSubjectChar">
    <w:name w:val="Comment Subject Char"/>
    <w:basedOn w:val="CommentTextChar"/>
    <w:link w:val="CommentSubject"/>
    <w:uiPriority w:val="99"/>
    <w:semiHidden/>
    <w:rsid w:val="00FE6F1E"/>
    <w:rPr>
      <w:b/>
      <w:bCs/>
      <w:sz w:val="20"/>
      <w:szCs w:val="20"/>
    </w:rPr>
  </w:style>
  <w:style w:type="paragraph" w:styleId="BalloonText">
    <w:name w:val="Balloon Text"/>
    <w:basedOn w:val="Normal"/>
    <w:link w:val="BalloonTextChar"/>
    <w:uiPriority w:val="99"/>
    <w:semiHidden/>
    <w:unhideWhenUsed/>
    <w:rsid w:val="00FE6F1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6F1E"/>
    <w:rPr>
      <w:rFonts w:ascii="Segoe UI" w:hAnsi="Segoe UI" w:cs="Segoe UI"/>
      <w:sz w:val="18"/>
      <w:szCs w:val="18"/>
    </w:rPr>
  </w:style>
  <w:style w:type="paragraph" w:styleId="ListParagraph">
    <w:name w:val="List Paragraph"/>
    <w:basedOn w:val="Normal"/>
    <w:uiPriority w:val="34"/>
    <w:qFormat/>
    <w:rsid w:val="00FE6F1E"/>
    <w:pPr>
      <w:ind w:left="720"/>
      <w:contextualSpacing/>
    </w:pPr>
  </w:style>
  <w:style w:type="character" w:styleId="Hyperlink">
    <w:name w:val="Hyperlink"/>
    <w:basedOn w:val="DefaultParagraphFont"/>
    <w:uiPriority w:val="99"/>
    <w:unhideWhenUsed/>
    <w:rsid w:val="00221DB0"/>
    <w:rPr>
      <w:color w:val="0000FF" w:themeColor="hyperlink"/>
      <w:u w:val="single"/>
    </w:rPr>
  </w:style>
  <w:style w:type="character" w:styleId="PlaceholderText">
    <w:name w:val="Placeholder Text"/>
    <w:basedOn w:val="DefaultParagraphFont"/>
    <w:uiPriority w:val="99"/>
    <w:semiHidden/>
    <w:rsid w:val="00BC0D35"/>
    <w:rPr>
      <w:color w:val="808080"/>
    </w:rPr>
  </w:style>
  <w:style w:type="paragraph" w:styleId="Header">
    <w:name w:val="header"/>
    <w:basedOn w:val="Normal"/>
    <w:link w:val="HeaderChar"/>
    <w:uiPriority w:val="99"/>
    <w:unhideWhenUsed/>
    <w:rsid w:val="00A71994"/>
    <w:pPr>
      <w:tabs>
        <w:tab w:val="center" w:pos="4513"/>
        <w:tab w:val="right" w:pos="9026"/>
      </w:tabs>
    </w:pPr>
  </w:style>
  <w:style w:type="character" w:customStyle="1" w:styleId="HeaderChar">
    <w:name w:val="Header Char"/>
    <w:basedOn w:val="DefaultParagraphFont"/>
    <w:link w:val="Header"/>
    <w:uiPriority w:val="99"/>
    <w:rsid w:val="00A71994"/>
  </w:style>
  <w:style w:type="paragraph" w:styleId="Footer">
    <w:name w:val="footer"/>
    <w:basedOn w:val="Normal"/>
    <w:link w:val="FooterChar"/>
    <w:uiPriority w:val="99"/>
    <w:unhideWhenUsed/>
    <w:rsid w:val="00A71994"/>
    <w:pPr>
      <w:tabs>
        <w:tab w:val="center" w:pos="4513"/>
        <w:tab w:val="right" w:pos="9026"/>
      </w:tabs>
    </w:pPr>
  </w:style>
  <w:style w:type="character" w:customStyle="1" w:styleId="FooterChar">
    <w:name w:val="Footer Char"/>
    <w:basedOn w:val="DefaultParagraphFont"/>
    <w:link w:val="Footer"/>
    <w:uiPriority w:val="99"/>
    <w:rsid w:val="00A71994"/>
  </w:style>
  <w:style w:type="paragraph" w:styleId="Revision">
    <w:name w:val="Revision"/>
    <w:hidden/>
    <w:uiPriority w:val="99"/>
    <w:semiHidden/>
    <w:rsid w:val="00045EBC"/>
  </w:style>
  <w:style w:type="character" w:styleId="FollowedHyperlink">
    <w:name w:val="FollowedHyperlink"/>
    <w:basedOn w:val="DefaultParagraphFont"/>
    <w:uiPriority w:val="99"/>
    <w:semiHidden/>
    <w:unhideWhenUsed/>
    <w:rsid w:val="00EF1F7B"/>
    <w:rPr>
      <w:color w:val="800080" w:themeColor="followedHyperlink"/>
      <w:u w:val="single"/>
    </w:rPr>
  </w:style>
  <w:style w:type="paragraph" w:styleId="FootnoteText">
    <w:name w:val="footnote text"/>
    <w:basedOn w:val="Normal"/>
    <w:link w:val="FootnoteTextChar"/>
    <w:uiPriority w:val="99"/>
    <w:unhideWhenUsed/>
    <w:rsid w:val="002D2A37"/>
  </w:style>
  <w:style w:type="character" w:customStyle="1" w:styleId="FootnoteTextChar">
    <w:name w:val="Footnote Text Char"/>
    <w:basedOn w:val="DefaultParagraphFont"/>
    <w:link w:val="FootnoteText"/>
    <w:uiPriority w:val="99"/>
    <w:rsid w:val="002D2A37"/>
  </w:style>
  <w:style w:type="character" w:styleId="FootnoteReference">
    <w:name w:val="footnote reference"/>
    <w:basedOn w:val="DefaultParagraphFont"/>
    <w:uiPriority w:val="99"/>
    <w:unhideWhenUsed/>
    <w:rsid w:val="002D2A37"/>
    <w:rPr>
      <w:vertAlign w:val="superscript"/>
    </w:rPr>
  </w:style>
  <w:style w:type="paragraph" w:styleId="NormalWeb">
    <w:name w:val="Normal (Web)"/>
    <w:basedOn w:val="Normal"/>
    <w:uiPriority w:val="99"/>
    <w:unhideWhenUsed/>
    <w:rsid w:val="004416D6"/>
    <w:pPr>
      <w:spacing w:before="100" w:beforeAutospacing="1" w:after="100" w:afterAutospacing="1"/>
    </w:pPr>
    <w:rPr>
      <w:rFonts w:ascii="Times" w:hAnsi="Times" w:cs="Times New Roman"/>
      <w:sz w:val="20"/>
      <w:szCs w:val="20"/>
    </w:rPr>
  </w:style>
  <w:style w:type="character" w:styleId="PageNumber">
    <w:name w:val="page number"/>
    <w:basedOn w:val="DefaultParagraphFont"/>
    <w:uiPriority w:val="99"/>
    <w:semiHidden/>
    <w:unhideWhenUsed/>
    <w:rsid w:val="007F17D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11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E6F1E"/>
    <w:rPr>
      <w:sz w:val="16"/>
      <w:szCs w:val="16"/>
    </w:rPr>
  </w:style>
  <w:style w:type="paragraph" w:styleId="CommentText">
    <w:name w:val="annotation text"/>
    <w:basedOn w:val="Normal"/>
    <w:link w:val="CommentTextChar"/>
    <w:uiPriority w:val="99"/>
    <w:unhideWhenUsed/>
    <w:rsid w:val="00FE6F1E"/>
    <w:rPr>
      <w:sz w:val="20"/>
      <w:szCs w:val="20"/>
    </w:rPr>
  </w:style>
  <w:style w:type="character" w:customStyle="1" w:styleId="CommentTextChar">
    <w:name w:val="Comment Text Char"/>
    <w:basedOn w:val="DefaultParagraphFont"/>
    <w:link w:val="CommentText"/>
    <w:uiPriority w:val="99"/>
    <w:rsid w:val="00FE6F1E"/>
    <w:rPr>
      <w:sz w:val="20"/>
      <w:szCs w:val="20"/>
    </w:rPr>
  </w:style>
  <w:style w:type="paragraph" w:styleId="CommentSubject">
    <w:name w:val="annotation subject"/>
    <w:basedOn w:val="CommentText"/>
    <w:next w:val="CommentText"/>
    <w:link w:val="CommentSubjectChar"/>
    <w:uiPriority w:val="99"/>
    <w:semiHidden/>
    <w:unhideWhenUsed/>
    <w:rsid w:val="00FE6F1E"/>
    <w:rPr>
      <w:b/>
      <w:bCs/>
    </w:rPr>
  </w:style>
  <w:style w:type="character" w:customStyle="1" w:styleId="CommentSubjectChar">
    <w:name w:val="Comment Subject Char"/>
    <w:basedOn w:val="CommentTextChar"/>
    <w:link w:val="CommentSubject"/>
    <w:uiPriority w:val="99"/>
    <w:semiHidden/>
    <w:rsid w:val="00FE6F1E"/>
    <w:rPr>
      <w:b/>
      <w:bCs/>
      <w:sz w:val="20"/>
      <w:szCs w:val="20"/>
    </w:rPr>
  </w:style>
  <w:style w:type="paragraph" w:styleId="BalloonText">
    <w:name w:val="Balloon Text"/>
    <w:basedOn w:val="Normal"/>
    <w:link w:val="BalloonTextChar"/>
    <w:uiPriority w:val="99"/>
    <w:semiHidden/>
    <w:unhideWhenUsed/>
    <w:rsid w:val="00FE6F1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6F1E"/>
    <w:rPr>
      <w:rFonts w:ascii="Segoe UI" w:hAnsi="Segoe UI" w:cs="Segoe UI"/>
      <w:sz w:val="18"/>
      <w:szCs w:val="18"/>
    </w:rPr>
  </w:style>
  <w:style w:type="paragraph" w:styleId="ListParagraph">
    <w:name w:val="List Paragraph"/>
    <w:basedOn w:val="Normal"/>
    <w:uiPriority w:val="34"/>
    <w:qFormat/>
    <w:rsid w:val="00FE6F1E"/>
    <w:pPr>
      <w:ind w:left="720"/>
      <w:contextualSpacing/>
    </w:pPr>
  </w:style>
  <w:style w:type="character" w:styleId="Hyperlink">
    <w:name w:val="Hyperlink"/>
    <w:basedOn w:val="DefaultParagraphFont"/>
    <w:uiPriority w:val="99"/>
    <w:unhideWhenUsed/>
    <w:rsid w:val="00221DB0"/>
    <w:rPr>
      <w:color w:val="0000FF" w:themeColor="hyperlink"/>
      <w:u w:val="single"/>
    </w:rPr>
  </w:style>
  <w:style w:type="character" w:styleId="PlaceholderText">
    <w:name w:val="Placeholder Text"/>
    <w:basedOn w:val="DefaultParagraphFont"/>
    <w:uiPriority w:val="99"/>
    <w:semiHidden/>
    <w:rsid w:val="00BC0D35"/>
    <w:rPr>
      <w:color w:val="808080"/>
    </w:rPr>
  </w:style>
  <w:style w:type="paragraph" w:styleId="Header">
    <w:name w:val="header"/>
    <w:basedOn w:val="Normal"/>
    <w:link w:val="HeaderChar"/>
    <w:uiPriority w:val="99"/>
    <w:unhideWhenUsed/>
    <w:rsid w:val="00A71994"/>
    <w:pPr>
      <w:tabs>
        <w:tab w:val="center" w:pos="4513"/>
        <w:tab w:val="right" w:pos="9026"/>
      </w:tabs>
    </w:pPr>
  </w:style>
  <w:style w:type="character" w:customStyle="1" w:styleId="HeaderChar">
    <w:name w:val="Header Char"/>
    <w:basedOn w:val="DefaultParagraphFont"/>
    <w:link w:val="Header"/>
    <w:uiPriority w:val="99"/>
    <w:rsid w:val="00A71994"/>
  </w:style>
  <w:style w:type="paragraph" w:styleId="Footer">
    <w:name w:val="footer"/>
    <w:basedOn w:val="Normal"/>
    <w:link w:val="FooterChar"/>
    <w:uiPriority w:val="99"/>
    <w:unhideWhenUsed/>
    <w:rsid w:val="00A71994"/>
    <w:pPr>
      <w:tabs>
        <w:tab w:val="center" w:pos="4513"/>
        <w:tab w:val="right" w:pos="9026"/>
      </w:tabs>
    </w:pPr>
  </w:style>
  <w:style w:type="character" w:customStyle="1" w:styleId="FooterChar">
    <w:name w:val="Footer Char"/>
    <w:basedOn w:val="DefaultParagraphFont"/>
    <w:link w:val="Footer"/>
    <w:uiPriority w:val="99"/>
    <w:rsid w:val="00A71994"/>
  </w:style>
  <w:style w:type="paragraph" w:styleId="Revision">
    <w:name w:val="Revision"/>
    <w:hidden/>
    <w:uiPriority w:val="99"/>
    <w:semiHidden/>
    <w:rsid w:val="00045EBC"/>
  </w:style>
  <w:style w:type="character" w:styleId="FollowedHyperlink">
    <w:name w:val="FollowedHyperlink"/>
    <w:basedOn w:val="DefaultParagraphFont"/>
    <w:uiPriority w:val="99"/>
    <w:semiHidden/>
    <w:unhideWhenUsed/>
    <w:rsid w:val="00EF1F7B"/>
    <w:rPr>
      <w:color w:val="800080" w:themeColor="followedHyperlink"/>
      <w:u w:val="single"/>
    </w:rPr>
  </w:style>
  <w:style w:type="paragraph" w:styleId="FootnoteText">
    <w:name w:val="footnote text"/>
    <w:basedOn w:val="Normal"/>
    <w:link w:val="FootnoteTextChar"/>
    <w:uiPriority w:val="99"/>
    <w:unhideWhenUsed/>
    <w:rsid w:val="002D2A37"/>
  </w:style>
  <w:style w:type="character" w:customStyle="1" w:styleId="FootnoteTextChar">
    <w:name w:val="Footnote Text Char"/>
    <w:basedOn w:val="DefaultParagraphFont"/>
    <w:link w:val="FootnoteText"/>
    <w:uiPriority w:val="99"/>
    <w:rsid w:val="002D2A37"/>
  </w:style>
  <w:style w:type="character" w:styleId="FootnoteReference">
    <w:name w:val="footnote reference"/>
    <w:basedOn w:val="DefaultParagraphFont"/>
    <w:uiPriority w:val="99"/>
    <w:unhideWhenUsed/>
    <w:rsid w:val="002D2A37"/>
    <w:rPr>
      <w:vertAlign w:val="superscript"/>
    </w:rPr>
  </w:style>
  <w:style w:type="paragraph" w:styleId="NormalWeb">
    <w:name w:val="Normal (Web)"/>
    <w:basedOn w:val="Normal"/>
    <w:uiPriority w:val="99"/>
    <w:unhideWhenUsed/>
    <w:rsid w:val="004416D6"/>
    <w:pPr>
      <w:spacing w:before="100" w:beforeAutospacing="1" w:after="100" w:afterAutospacing="1"/>
    </w:pPr>
    <w:rPr>
      <w:rFonts w:ascii="Times" w:hAnsi="Times" w:cs="Times New Roman"/>
      <w:sz w:val="20"/>
      <w:szCs w:val="20"/>
    </w:rPr>
  </w:style>
  <w:style w:type="character" w:styleId="PageNumber">
    <w:name w:val="page number"/>
    <w:basedOn w:val="DefaultParagraphFont"/>
    <w:uiPriority w:val="99"/>
    <w:semiHidden/>
    <w:unhideWhenUsed/>
    <w:rsid w:val="007F1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167980">
      <w:bodyDiv w:val="1"/>
      <w:marLeft w:val="0"/>
      <w:marRight w:val="0"/>
      <w:marTop w:val="0"/>
      <w:marBottom w:val="0"/>
      <w:divBdr>
        <w:top w:val="none" w:sz="0" w:space="0" w:color="auto"/>
        <w:left w:val="none" w:sz="0" w:space="0" w:color="auto"/>
        <w:bottom w:val="none" w:sz="0" w:space="0" w:color="auto"/>
        <w:right w:val="none" w:sz="0" w:space="0" w:color="auto"/>
      </w:divBdr>
    </w:div>
    <w:div w:id="289214662">
      <w:bodyDiv w:val="1"/>
      <w:marLeft w:val="0"/>
      <w:marRight w:val="0"/>
      <w:marTop w:val="0"/>
      <w:marBottom w:val="0"/>
      <w:divBdr>
        <w:top w:val="none" w:sz="0" w:space="0" w:color="auto"/>
        <w:left w:val="none" w:sz="0" w:space="0" w:color="auto"/>
        <w:bottom w:val="none" w:sz="0" w:space="0" w:color="auto"/>
        <w:right w:val="none" w:sz="0" w:space="0" w:color="auto"/>
      </w:divBdr>
    </w:div>
    <w:div w:id="623268954">
      <w:bodyDiv w:val="1"/>
      <w:marLeft w:val="0"/>
      <w:marRight w:val="0"/>
      <w:marTop w:val="0"/>
      <w:marBottom w:val="0"/>
      <w:divBdr>
        <w:top w:val="none" w:sz="0" w:space="0" w:color="auto"/>
        <w:left w:val="none" w:sz="0" w:space="0" w:color="auto"/>
        <w:bottom w:val="none" w:sz="0" w:space="0" w:color="auto"/>
        <w:right w:val="none" w:sz="0" w:space="0" w:color="auto"/>
      </w:divBdr>
    </w:div>
    <w:div w:id="860775767">
      <w:bodyDiv w:val="1"/>
      <w:marLeft w:val="0"/>
      <w:marRight w:val="0"/>
      <w:marTop w:val="0"/>
      <w:marBottom w:val="0"/>
      <w:divBdr>
        <w:top w:val="none" w:sz="0" w:space="0" w:color="auto"/>
        <w:left w:val="none" w:sz="0" w:space="0" w:color="auto"/>
        <w:bottom w:val="none" w:sz="0" w:space="0" w:color="auto"/>
        <w:right w:val="none" w:sz="0" w:space="0" w:color="auto"/>
      </w:divBdr>
    </w:div>
    <w:div w:id="937906060">
      <w:bodyDiv w:val="1"/>
      <w:marLeft w:val="0"/>
      <w:marRight w:val="0"/>
      <w:marTop w:val="0"/>
      <w:marBottom w:val="0"/>
      <w:divBdr>
        <w:top w:val="none" w:sz="0" w:space="0" w:color="auto"/>
        <w:left w:val="none" w:sz="0" w:space="0" w:color="auto"/>
        <w:bottom w:val="none" w:sz="0" w:space="0" w:color="auto"/>
        <w:right w:val="none" w:sz="0" w:space="0" w:color="auto"/>
      </w:divBdr>
    </w:div>
    <w:div w:id="1176652520">
      <w:bodyDiv w:val="1"/>
      <w:marLeft w:val="0"/>
      <w:marRight w:val="0"/>
      <w:marTop w:val="0"/>
      <w:marBottom w:val="0"/>
      <w:divBdr>
        <w:top w:val="none" w:sz="0" w:space="0" w:color="auto"/>
        <w:left w:val="none" w:sz="0" w:space="0" w:color="auto"/>
        <w:bottom w:val="none" w:sz="0" w:space="0" w:color="auto"/>
        <w:right w:val="none" w:sz="0" w:space="0" w:color="auto"/>
      </w:divBdr>
    </w:div>
    <w:div w:id="1603605692">
      <w:bodyDiv w:val="1"/>
      <w:marLeft w:val="0"/>
      <w:marRight w:val="0"/>
      <w:marTop w:val="0"/>
      <w:marBottom w:val="0"/>
      <w:divBdr>
        <w:top w:val="none" w:sz="0" w:space="0" w:color="auto"/>
        <w:left w:val="none" w:sz="0" w:space="0" w:color="auto"/>
        <w:bottom w:val="none" w:sz="0" w:space="0" w:color="auto"/>
        <w:right w:val="none" w:sz="0" w:space="0" w:color="auto"/>
      </w:divBdr>
    </w:div>
    <w:div w:id="1785687152">
      <w:bodyDiv w:val="1"/>
      <w:marLeft w:val="0"/>
      <w:marRight w:val="0"/>
      <w:marTop w:val="0"/>
      <w:marBottom w:val="0"/>
      <w:divBdr>
        <w:top w:val="none" w:sz="0" w:space="0" w:color="auto"/>
        <w:left w:val="none" w:sz="0" w:space="0" w:color="auto"/>
        <w:bottom w:val="none" w:sz="0" w:space="0" w:color="auto"/>
        <w:right w:val="none" w:sz="0" w:space="0" w:color="auto"/>
      </w:divBdr>
    </w:div>
    <w:div w:id="2021663000">
      <w:bodyDiv w:val="1"/>
      <w:marLeft w:val="0"/>
      <w:marRight w:val="0"/>
      <w:marTop w:val="0"/>
      <w:marBottom w:val="0"/>
      <w:divBdr>
        <w:top w:val="none" w:sz="0" w:space="0" w:color="auto"/>
        <w:left w:val="none" w:sz="0" w:space="0" w:color="auto"/>
        <w:bottom w:val="none" w:sz="0" w:space="0" w:color="auto"/>
        <w:right w:val="none" w:sz="0" w:space="0" w:color="auto"/>
      </w:divBdr>
    </w:div>
    <w:div w:id="2022539088">
      <w:bodyDiv w:val="1"/>
      <w:marLeft w:val="0"/>
      <w:marRight w:val="0"/>
      <w:marTop w:val="0"/>
      <w:marBottom w:val="0"/>
      <w:divBdr>
        <w:top w:val="none" w:sz="0" w:space="0" w:color="auto"/>
        <w:left w:val="none" w:sz="0" w:space="0" w:color="auto"/>
        <w:bottom w:val="none" w:sz="0" w:space="0" w:color="auto"/>
        <w:right w:val="none" w:sz="0" w:space="0" w:color="auto"/>
      </w:divBdr>
    </w:div>
    <w:div w:id="2058043612">
      <w:bodyDiv w:val="1"/>
      <w:marLeft w:val="0"/>
      <w:marRight w:val="0"/>
      <w:marTop w:val="0"/>
      <w:marBottom w:val="0"/>
      <w:divBdr>
        <w:top w:val="none" w:sz="0" w:space="0" w:color="auto"/>
        <w:left w:val="none" w:sz="0" w:space="0" w:color="auto"/>
        <w:bottom w:val="none" w:sz="0" w:space="0" w:color="auto"/>
        <w:right w:val="none" w:sz="0" w:space="0" w:color="auto"/>
      </w:divBdr>
    </w:div>
    <w:div w:id="2072456252">
      <w:bodyDiv w:val="1"/>
      <w:marLeft w:val="0"/>
      <w:marRight w:val="0"/>
      <w:marTop w:val="0"/>
      <w:marBottom w:val="0"/>
      <w:divBdr>
        <w:top w:val="none" w:sz="0" w:space="0" w:color="auto"/>
        <w:left w:val="none" w:sz="0" w:space="0" w:color="auto"/>
        <w:bottom w:val="none" w:sz="0" w:space="0" w:color="auto"/>
        <w:right w:val="none" w:sz="0" w:space="0" w:color="auto"/>
      </w:divBdr>
    </w:div>
    <w:div w:id="20982825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doi.org/10.1007/s10964-011-9628-8" TargetMode="External"/><Relationship Id="rId21" Type="http://schemas.openxmlformats.org/officeDocument/2006/relationships/hyperlink" Target="http://doi.org/10.1023/a:1012264010667" TargetMode="External"/><Relationship Id="rId22" Type="http://schemas.openxmlformats.org/officeDocument/2006/relationships/hyperlink" Target="http://doi.org/10.1080/03075070903131610" TargetMode="External"/><Relationship Id="rId23" Type="http://schemas.openxmlformats.org/officeDocument/2006/relationships/hyperlink" Target="http://research.acer.edu.au/cgi/viewcontent.cgi?article=1028&amp;context=lsay_technical" TargetMode="External"/><Relationship Id="rId24" Type="http://schemas.openxmlformats.org/officeDocument/2006/relationships/hyperlink" Target="http://doi.org/10.1177/003804070908200202" TargetMode="External"/><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footer" Target="footer3.xml"/><Relationship Id="rId31" Type="http://schemas.openxmlformats.org/officeDocument/2006/relationships/image" Target="media/image1.png"/><Relationship Id="rId32" Type="http://schemas.openxmlformats.org/officeDocument/2006/relationships/image" Target="media/image2.png"/><Relationship Id="rId9" Type="http://schemas.openxmlformats.org/officeDocument/2006/relationships/hyperlink" Target="%20http://doi.org/10.1007/s10964-015-0386-x"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image" Target="media/image5.png"/><Relationship Id="rId36" Type="http://schemas.openxmlformats.org/officeDocument/2006/relationships/fontTable" Target="fontTable.xml"/><Relationship Id="rId10" Type="http://schemas.openxmlformats.org/officeDocument/2006/relationships/hyperlink" Target="https://pdparker.github.io/distancePaper/" TargetMode="External"/><Relationship Id="rId11" Type="http://schemas.openxmlformats.org/officeDocument/2006/relationships/hyperlink" Target="mailto:Ferina.Khayum@acu.edu.au" TargetMode="External"/><Relationship Id="rId12" Type="http://schemas.openxmlformats.org/officeDocument/2006/relationships/hyperlink" Target="https://www.timeshighereducation.co.uk/world-university-rankings/2014-15/world-ranking/region/oceania" TargetMode="External"/><Relationship Id="rId13" Type="http://schemas.openxmlformats.org/officeDocument/2006/relationships/hyperlink" Target="http://stats.oecd.org/glossary/detail.asp?ID=5401" TargetMode="External"/><Relationship Id="rId14" Type="http://schemas.openxmlformats.org/officeDocument/2006/relationships/hyperlink" Target="http://cricos.education.gov.au/" TargetMode="External"/><Relationship Id="rId15" Type="http://schemas.openxmlformats.org/officeDocument/2006/relationships/hyperlink" Target="http://www.abs.gov.au/ausstats/abs@.nsf/Lookup/2033.0.55.001main+features100072011" TargetMode="External"/><Relationship Id="rId16" Type="http://schemas.openxmlformats.org/officeDocument/2006/relationships/hyperlink" Target="http://blindedforreview.com/distancePaper/" TargetMode="External"/><Relationship Id="rId17" Type="http://schemas.openxmlformats.org/officeDocument/2006/relationships/hyperlink" Target="http://doi.org/10.1016/0049-089X(92)90017-B" TargetMode="External"/><Relationship Id="rId18" Type="http://schemas.openxmlformats.org/officeDocument/2006/relationships/hyperlink" Target="http://cee.lse.ac.uk/pubs/default.asp" TargetMode="External"/><Relationship Id="rId19" Type="http://schemas.openxmlformats.org/officeDocument/2006/relationships/hyperlink" Target="http://doi.org/10.1016/j.econedurev.2009.01.004" TargetMode="External"/><Relationship Id="rId37" Type="http://schemas.openxmlformats.org/officeDocument/2006/relationships/theme" Target="theme/theme1.xml"/><Relationship Id="rId38" Type="http://schemas.microsoft.com/office/2011/relationships/people" Target="people.xml"/><Relationship Id="rId3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C9812C-85BF-3F47-AE90-9C95A2148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12754</Words>
  <Characters>72701</Characters>
  <Application>Microsoft Macintosh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acu</Company>
  <LinksUpToDate>false</LinksUpToDate>
  <CharactersWithSpaces>85285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acu acu</dc:creator>
  <cp:lastModifiedBy>acu acu</cp:lastModifiedBy>
  <cp:revision>2</cp:revision>
  <cp:lastPrinted>2015-09-21T01:04:00Z</cp:lastPrinted>
  <dcterms:created xsi:type="dcterms:W3CDTF">2015-10-29T23:43:00Z</dcterms:created>
  <dcterms:modified xsi:type="dcterms:W3CDTF">2015-10-29T23:43:00Z</dcterms:modified>
</cp:coreProperties>
</file>