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Specyfikacja wymagań modułu płatności</w:t>
      </w:r>
    </w:p>
    <w:p>
      <w:pPr>
        <w:pStyle w:val="Heading1"/>
      </w:pPr>
      <w:r>
        <w:t>Wprowadzenie</w:t>
      </w:r>
    </w:p>
    <w:p>
      <w:r>
        <w:t>Specyfikacja wymagań dla modułu płatności internetowych.</w:t>
      </w:r>
    </w:p>
    <w:p>
      <w:pPr>
        <w:pStyle w:val="Heading1"/>
      </w:pPr>
      <w:r>
        <w:t>Wymagania funkcjonalne</w:t>
      </w:r>
    </w:p>
    <w:p>
      <w:r>
        <w:t>WYM-001: System musi akceptować płatności kartami Visa oraz Mastercard.</w:t>
      </w:r>
    </w:p>
    <w:p>
      <w:r>
        <w:t>WYM-002: System musi przetwarzać zwroty środków w ciągu czternastu dni.</w:t>
      </w:r>
    </w:p>
    <w:p>
      <w:r>
        <w:t>WYM-003: System musi importować dane użytkowników zgodnie ze standardem UC-999.</w:t>
      </w:r>
    </w:p>
    <w:p>
      <w:r>
        <w:t>WYM-004: System musi generować potwierdzenie płatności w formacie PDF.</w:t>
      </w:r>
    </w:p>
    <w:p>
      <w:r>
        <w:t>WYM-005: System musi umożliwiać resetowanie hasła użytkownika poprzez wysłanie linku resetującego na adres email.</w:t>
      </w:r>
    </w:p>
    <w:p>
      <w:r>
        <w:t>WYM-006: System musi umożliwiać resetowanie hasła użytkownika poprzez wysłanie linku resetującego na adres email.</w:t>
      </w:r>
    </w:p>
    <w:p>
      <w:pPr>
        <w:pStyle w:val="Heading1"/>
      </w:pPr>
      <w:r>
        <w:t>Wymagania niefunkcjonalne</w:t>
      </w:r>
    </w:p>
    <w:p>
      <w:r>
        <w:t>WYM-010: System musi zapewniać bezpieczeństwo danych kartowych przez szyfrowanie.</w:t>
      </w:r>
    </w:p>
    <w:p>
      <w:pPr>
        <w:pStyle w:val="Heading1"/>
      </w:pPr>
      <w:r>
        <w:t>Glosariusz</w:t>
      </w:r>
    </w:p>
    <w:p>
      <w:r>
        <w:t>Płatność: Operacja przekazania środków w zamian za produkt lub usługę.</w:t>
      </w:r>
    </w:p>
    <w:p>
      <w:r>
        <w:t>Zwrot: Procedura oddania środków klientowi po anulowanej transakcji.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