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icrosoft JhengHei Light" w:cs="Microsoft JhengHei Light" w:eastAsia="Microsoft JhengHei Light" w:hAnsi="Microsoft JhengHei Light"/>
          <w:b w:val="1"/>
          <w:sz w:val="52"/>
          <w:szCs w:val="52"/>
          <w:u w:val="single"/>
        </w:rPr>
      </w:pPr>
      <w:r w:rsidDel="00000000" w:rsidR="00000000" w:rsidRPr="00000000">
        <w:rPr>
          <w:rFonts w:ascii="Arial" w:cs="Microsoft JhengHei Light" w:eastAsia="Microsoft JhengHei Light" w:hAnsi="Arial"/>
          <w:b/>
          <w:sz w:val="32"/>
          <w:szCs w:val="52"/>
          <w:u w:val="single"/>
          <w:rtl w:val="0"/>
        </w:rPr>
        <w:t xml:space="preserve">Invention Disclosure Form</w:t>
      </w:r>
    </w:p>
    <w:p w:rsidR="00000000" w:rsidDel="00000000" w:rsidP="00000000" w:rsidRDefault="00000000" w:rsidRPr="00000000" w14:paraId="00000002">
      <w:pPr>
        <w:jc w:val="both"/>
        <w:rPr>
          <w:rFonts w:ascii="Microsoft JhengHei Light" w:cs="Microsoft JhengHei Light" w:eastAsia="Microsoft JhengHei Light" w:hAnsi="Microsoft JhengHei Light"/>
          <w:b w:val="1"/>
          <w:sz w:val="52"/>
          <w:szCs w:val="52"/>
          <w:u w:val="single"/>
        </w:rPr>
      </w:pPr>
      <w:r w:rsidDel="00000000" w:rsidR="00000000" w:rsidRPr="00000000">
        <w:rPr>
          <w:rtl w:val="0"/>
        </w:rPr>
      </w:r>
    </w:p>
    <w:tbl>
      <w:tblPr>
        <w:tblStyle w:val="Table1"/>
        <w:tblW w:w="10245.0" w:type="dxa"/>
        <w:jc w:val="left"/>
        <w:tblInd w:w="10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0245"/>
        <w:tblGridChange w:id="0">
          <w:tblGrid>
            <w:gridCol w:w="10245"/>
          </w:tblGrid>
        </w:tblGridChange>
      </w:tblGrid>
      <w:tr>
        <w:trPr>
          <w:cantSplit w:val="0"/>
          <w:tblHeader w:val="0"/>
        </w:trPr>
        <w:tc>
          <w:tcPr>
            <w:shd w:fill="d9d9d9" w:val="clear"/>
          </w:tcPr>
          <w:p w:rsidR="00000000" w:rsidDel="00000000" w:rsidP="00000000" w:rsidRDefault="00000000" w:rsidRPr="00000000" w14:paraId="00000003">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DESCRIPTION OF INVENTION</w:t>
            </w:r>
          </w:p>
        </w:tc>
      </w:tr>
      <w:tr>
        <w:trPr>
          <w:cantSplit w:val="0"/>
          <w:tblHeader w:val="0"/>
        </w:trPr>
        <w:tc>
          <w:tcPr/>
          <w:p>
            <w:r/>
          </w:p>
          <w:p>
            <w:pPr>
              <w:spacing w:before="0" w:after="120"/>
            </w:pPr>
            <w:r>
              <w:rPr>
                <w:rFonts w:ascii="Arial" w:hAnsi="Arial"/>
                <w:b/>
                <w:sz w:val="21"/>
              </w:rPr>
              <w:t>Title:</w:t>
            </w:r>
            <w:r>
              <w:br/>
            </w:r>
            <w:r>
              <w:rPr>
                <w:rFonts w:ascii="Arial" w:hAnsi="Arial"/>
                <w:sz w:val="21"/>
              </w:rPr>
              <w:t>Context-Aware Family Health Management and AI-Guided Care Coordination System</w:t>
            </w:r>
          </w:p>
          <w:p>
            <w:pPr>
              <w:spacing w:after="120"/>
            </w:pPr>
            <w:r>
              <w:rPr>
                <w:rFonts w:ascii="Arial" w:hAnsi="Arial"/>
                <w:b/>
                <w:sz w:val="21"/>
              </w:rPr>
              <w:t>Abstract:</w:t>
            </w:r>
            <w:r>
              <w:br/>
            </w:r>
            <w:r>
              <w:rPr>
                <w:rFonts w:ascii="Arial" w:hAnsi="Arial"/>
                <w:sz w:val="21"/>
              </w:rPr>
              <w:t>The invention relates to a digital family health management system that creates a shared, member-specific health workspace for households and combines longitudinal health records, reminders, report management, safety-aware AI guidance, proactive trend alerts, and doctor-share summaries. The system maintains individual profiles for family members, including age, gender, relationship, chronic conditions, allergies, medications, child-sensitive flags, pregnancy-related indicators, health records, reports, reminders, and AI-generated insights. When a user asks a health question or uploads/records health data, the system injects the relevant member context into a constrained health-assistant workflow, performs safety triage for emergency and high-risk patterns, generates practical guidance rather than diagnosis, and may create or suggest reminders, store key insights, or prepare summaries for healthcare professionals.</w:t>
            </w:r>
          </w:p>
          <w:p>
            <w:pPr>
              <w:spacing w:after="120"/>
            </w:pPr>
            <w:r>
              <w:rPr>
                <w:rFonts w:ascii="Arial" w:hAnsi="Arial"/>
                <w:b/>
                <w:sz w:val="21"/>
              </w:rPr>
              <w:t>Description:</w:t>
            </w:r>
            <w:r>
              <w:br/>
            </w:r>
            <w:r>
              <w:rPr>
                <w:rFonts w:ascii="Arial" w:hAnsi="Arial"/>
                <w:sz w:val="21"/>
              </w:rPr>
              <w:t>The disclosed system is a full-stack health organisation platform designed for households where multiple family members' medical information must be tracked, interpreted, and shared over time. The system includes a frontend user interface, backend APIs, persistent data models, validation and security middleware, AI orchestration, notification/reminder services, and optional calendar and push-notification integrations. Unlike a single-user tracker or a generic chatbot, the system links every interaction to a selected family member and uses that member's health context to produce safer, more relevant guidance.</w:t>
            </w:r>
          </w:p>
          <w:p>
            <w:pPr>
              <w:spacing w:after="120"/>
            </w:pPr>
            <w:r>
              <w:rPr>
                <w:rFonts w:ascii="Arial" w:hAnsi="Arial"/>
                <w:b/>
                <w:sz w:val="21"/>
              </w:rPr>
              <w:t>Background:</w:t>
            </w:r>
            <w:r>
              <w:br/>
            </w:r>
            <w:r>
              <w:rPr>
                <w:rFonts w:ascii="Arial" w:hAnsi="Arial"/>
                <w:sz w:val="21"/>
              </w:rPr>
              <w:t>Family healthcare information is often fragmented across paper reports, messaging apps, isolated reminder apps, verbal memory, and individual health trackers. Caregivers must remember medicine schedules, vaccination dates, checkups, symptoms, allergies, existing conditions, and recent reports for multiple people. Generic AI chatbots do not reliably account for family-member-specific medical context or safety boundaries, while conventional reminder tools do not interpret health history or generate doctor-ready summaries. This creates missed reminders, repeated manual explanation to doctors, and unsafe or irrelevant health guidance.</w:t>
            </w:r>
          </w:p>
          <w:p>
            <w:pPr>
              <w:spacing w:after="120"/>
            </w:pPr>
            <w:r>
              <w:rPr>
                <w:rFonts w:ascii="Arial" w:hAnsi="Arial"/>
                <w:b/>
                <w:sz w:val="21"/>
              </w:rPr>
              <w:t>Detailed Description:</w:t>
            </w:r>
            <w:r>
              <w:br/>
            </w:r>
            <w:r>
              <w:rPr>
                <w:rFonts w:ascii="Arial" w:hAnsi="Arial"/>
                <w:sz w:val="21"/>
              </w:rPr>
              <w:t>The system maintains household and family-member records. Each member profile can store demographic information, relationship, known conditions, allergies, medications, child-sensitive flags, and health readings such as blood pressure, blood sugar, weight, heart rate, sleep, and activity data. Reports and reminders can be attached to the relevant member.</w:t>
            </w:r>
          </w:p>
          <w:p>
            <w:pPr>
              <w:spacing w:after="120"/>
            </w:pPr>
            <w:r>
              <w:rPr>
                <w:rFonts w:ascii="Arial" w:hAnsi="Arial"/>
                <w:sz w:val="21"/>
              </w:rPr>
              <w:t>An AI context service builds a health-memory representation for a selected member by retrieving the member profile, current medications, allergies, conditions, and latest vital readings. This context is supplied to a health-focused AI orchestration layer together with the user's current query, intent, collected data, recent conversation history, risk level, and selected response language. The AI workflow is constrained to provide health guidance, not diagnosis, and is instructed to structure responses with a summary, immediate steps, warning signs, and when to contact a doctor.</w:t>
            </w:r>
          </w:p>
          <w:p>
            <w:pPr>
              <w:spacing w:after="120"/>
            </w:pPr>
            <w:r>
              <w:rPr>
                <w:rFonts w:ascii="Arial" w:hAnsi="Arial"/>
                <w:sz w:val="21"/>
              </w:rPr>
              <w:t>Before generating a normal response, a triage component checks the user's message for emergency patterns such as chest pain, difficulty breathing, stroke signs, severe bleeding, seizures, unconsciousness, or self-harm language. If such a pattern is detected, the system bypasses general AI response generation and immediately directs the user to emergency care. Additional high-risk and moderate-risk pattern matching, combined with member profile conditions, assigns a risk level used to tailor the response.</w:t>
            </w:r>
          </w:p>
          <w:p>
            <w:pPr>
              <w:spacing w:after="120"/>
            </w:pPr>
            <w:r>
              <w:rPr>
                <w:rFonts w:ascii="Arial" w:hAnsi="Arial"/>
                <w:sz w:val="21"/>
              </w:rPr>
              <w:t>The system may extract reminder intent from health conversations, suggest medicine or checkup reminders, and store AI insights for later use. It can generate proactive trend alerts by scanning repeated high or low health readings and suppressing duplicate alerts within a defined period. It can also generate a doctor-share document or PDF containing member details, recent records, reminders, reports, and AI insights for a healthcare consultation.</w:t>
            </w:r>
          </w:p>
          <w:p>
            <w:pPr>
              <w:spacing w:after="120"/>
            </w:pPr>
            <w:r>
              <w:rPr>
                <w:rFonts w:ascii="Arial" w:hAnsi="Arial"/>
                <w:sz w:val="21"/>
              </w:rPr>
              <w:t>The system supports multilingual and voice-assisted input so that family caregivers can interact naturally. The architecture uses authenticated APIs, schema validation, rate limiting, upload validation, and a health-only AI scope to reduce unsafe or unrelated use.</w:t>
            </w:r>
          </w:p>
        </w:tc>
      </w:tr>
      <w:tr>
        <w:trPr>
          <w:cantSplit w:val="0"/>
          <w:tblHeader w:val="0"/>
        </w:trPr>
        <w:tc>
          <w:tcPr>
            <w:shd w:fill="d9d9d9" w:val="clear"/>
          </w:tcPr>
          <w:p w:rsidR="00000000" w:rsidDel="00000000" w:rsidP="00000000" w:rsidRDefault="00000000" w:rsidRPr="00000000" w14:paraId="0000000F">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TECHNICAL PROBLEM INVENTION IS SOLVING </w:t>
            </w:r>
          </w:p>
        </w:tc>
      </w:tr>
      <w:tr>
        <w:trPr>
          <w:cantSplit w:val="0"/>
          <w:tblHeader w:val="0"/>
        </w:trPr>
        <w:tc>
          <w:tcPr/>
          <w:p>
            <w:r/>
          </w:p>
          <w:p>
            <w:pPr>
              <w:spacing w:before="0" w:after="120"/>
            </w:pPr>
            <w:r>
              <w:rPr>
                <w:rFonts w:ascii="Arial" w:hAnsi="Arial"/>
                <w:sz w:val="21"/>
              </w:rPr>
              <w:t>The invention solves the technical problem of safely coordinating and interpreting health information for multiple family members when data is fragmented across reminders, reports, vitals, chat history, and caregiver memory.</w:t>
            </w:r>
          </w:p>
          <w:p>
            <w:pPr>
              <w:spacing w:after="120"/>
            </w:pPr>
            <w:r>
              <w:rPr>
                <w:rFonts w:ascii="Arial" w:hAnsi="Arial"/>
                <w:b/>
                <w:sz w:val="21"/>
              </w:rPr>
              <w:t>Specific technical problems include:</w:t>
            </w:r>
            <w:r>
              <w:br/>
            </w:r>
            <w:r>
              <w:rPr>
                <w:rFonts w:ascii="Arial" w:hAnsi="Arial"/>
                <w:sz w:val="21"/>
              </w:rPr>
              <w:t>1. Associating each health query, reminder, report, and vital record with the correct family member rather than treating the household as a single user.</w:t>
            </w:r>
            <w:r>
              <w:br/>
            </w:r>
            <w:r>
              <w:rPr>
                <w:rFonts w:ascii="Arial" w:hAnsi="Arial"/>
                <w:sz w:val="21"/>
              </w:rPr>
              <w:t>2. Providing AI guidance that is grounded in the selected member's age, conditions, allergies, medications, and recent readings.</w:t>
            </w:r>
            <w:r>
              <w:br/>
            </w:r>
            <w:r>
              <w:rPr>
                <w:rFonts w:ascii="Arial" w:hAnsi="Arial"/>
                <w:sz w:val="21"/>
              </w:rPr>
              <w:t>3. Detecting urgent or high-risk symptom patterns before a general AI response is generated.</w:t>
            </w:r>
            <w:r>
              <w:br/>
            </w:r>
            <w:r>
              <w:rPr>
                <w:rFonts w:ascii="Arial" w:hAnsi="Arial"/>
                <w:sz w:val="21"/>
              </w:rPr>
              <w:t>4. Converting conversational health input into actionable care tasks such as medicine reminders and checkup reminders.</w:t>
            </w:r>
            <w:r>
              <w:br/>
            </w:r>
            <w:r>
              <w:rPr>
                <w:rFonts w:ascii="Arial" w:hAnsi="Arial"/>
                <w:sz w:val="21"/>
              </w:rPr>
              <w:t>5. Maintaining longitudinal AI insights and trend alerts without repeatedly generating duplicate notifications.</w:t>
            </w:r>
            <w:r>
              <w:br/>
            </w:r>
            <w:r>
              <w:rPr>
                <w:rFonts w:ascii="Arial" w:hAnsi="Arial"/>
                <w:sz w:val="21"/>
              </w:rPr>
              <w:t>6. Preparing concise, member-specific summaries that can be shared with doctors.</w:t>
            </w:r>
            <w:r>
              <w:br/>
            </w:r>
            <w:r>
              <w:rPr>
                <w:rFonts w:ascii="Arial" w:hAnsi="Arial"/>
                <w:sz w:val="21"/>
              </w:rPr>
              <w:t>7. Supporting non-technical family caregivers through multilingual and voice-enabled interactions while preserving safety boundaries.</w:t>
            </w:r>
          </w:p>
        </w:tc>
      </w:tr>
      <w:tr>
        <w:trPr>
          <w:cantSplit w:val="0"/>
          <w:tblHeader w:val="0"/>
        </w:trPr>
        <w:tc>
          <w:tcPr>
            <w:shd w:fill="d9d9d9" w:val="clear"/>
          </w:tcPr>
          <w:p w:rsidR="00000000" w:rsidDel="00000000" w:rsidP="00000000" w:rsidRDefault="00000000" w:rsidRPr="00000000" w14:paraId="00000012">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HOW TECHNICAL SOLUTION IS PERFORMED/EXPECTED TO BE PERFORMED</w:t>
            </w:r>
          </w:p>
        </w:tc>
      </w:tr>
      <w:tr>
        <w:trPr>
          <w:cantSplit w:val="0"/>
          <w:tblHeader w:val="0"/>
        </w:trPr>
        <w:tc>
          <w:tcPr>
            <w:tcBorders>
              <w:bottom w:color="000000" w:space="0" w:sz="4" w:val="single"/>
            </w:tcBorders>
          </w:tcPr>
          <w:p>
            <w:r/>
          </w:p>
          <w:p>
            <w:pPr>
              <w:spacing w:before="0" w:after="120"/>
            </w:pPr>
            <w:r>
              <w:rPr>
                <w:rFonts w:ascii="Arial" w:hAnsi="Arial"/>
                <w:b/>
                <w:sz w:val="21"/>
              </w:rPr>
              <w:t>The technical solution is performed through a coordinated software architecture with the following steps:</w:t>
            </w:r>
          </w:p>
          <w:p>
            <w:pPr>
              <w:spacing w:after="120"/>
            </w:pPr>
            <w:r>
              <w:rPr>
                <w:rFonts w:ascii="Arial" w:hAnsi="Arial"/>
                <w:sz w:val="21"/>
              </w:rPr>
              <w:t>1. A user creates a household and member profiles. Each member profile stores demographic details, relationship, conditions, allergies, medications, sensitivity flags, health readings, reports, reminders, and related care data.</w:t>
            </w:r>
            <w:r>
              <w:br/>
            </w:r>
            <w:r>
              <w:rPr>
                <w:rFonts w:ascii="Arial" w:hAnsi="Arial"/>
                <w:sz w:val="21"/>
              </w:rPr>
              <w:t>2. When the user opens the AI health assistant, selects a family member, uploads a report, records a symptom, or asks a question, the backend retrieves the selected member's stored context.</w:t>
            </w:r>
            <w:r>
              <w:br/>
            </w:r>
            <w:r>
              <w:rPr>
                <w:rFonts w:ascii="Arial" w:hAnsi="Arial"/>
                <w:sz w:val="21"/>
              </w:rPr>
              <w:t>3. The context service builds a structured health-memory string containing the member profile, known conditions, allergies, active medications, child-sensitive status, and latest vitals.</w:t>
            </w:r>
            <w:r>
              <w:br/>
            </w:r>
            <w:r>
              <w:rPr>
                <w:rFonts w:ascii="Arial" w:hAnsi="Arial"/>
                <w:sz w:val="21"/>
              </w:rPr>
              <w:t>4. The AI orchestration layer receives the user message, selected intent, member context, recent chat history, collected profile data, selected language, and risk assessment metadata.</w:t>
            </w:r>
            <w:r>
              <w:br/>
            </w:r>
            <w:r>
              <w:rPr>
                <w:rFonts w:ascii="Arial" w:hAnsi="Arial"/>
                <w:sz w:val="21"/>
              </w:rPr>
              <w:t>5. Before invoking the AI model, a triage module checks for emergency patterns. If emergency signals are present, the system returns emergency-care instructions immediately.</w:t>
            </w:r>
            <w:r>
              <w:br/>
            </w:r>
            <w:r>
              <w:rPr>
                <w:rFonts w:ascii="Arial" w:hAnsi="Arial"/>
                <w:sz w:val="21"/>
              </w:rPr>
              <w:t>6. If the request is non-emergency, a risk-assessment module classifies the interaction as low, moderate, or high risk using symptom patterns and member-specific health facts.</w:t>
            </w:r>
            <w:r>
              <w:br/>
            </w:r>
            <w:r>
              <w:rPr>
                <w:rFonts w:ascii="Arial" w:hAnsi="Arial"/>
                <w:sz w:val="21"/>
              </w:rPr>
              <w:t>7. The AI prompt is assembled with strict health-only instructions, member context, risk level, and response-format constraints. The AI produces practical guidance rather than a diagnosis.</w:t>
            </w:r>
            <w:r>
              <w:br/>
            </w:r>
            <w:r>
              <w:rPr>
                <w:rFonts w:ascii="Arial" w:hAnsi="Arial"/>
                <w:sz w:val="21"/>
              </w:rPr>
              <w:t>8. The system detects whether the conversation implies a medicine, vaccination, checkup, or follow-up reminder and can suggest or create an associated reminder for the same member.</w:t>
            </w:r>
            <w:r>
              <w:br/>
            </w:r>
            <w:r>
              <w:rPr>
                <w:rFonts w:ascii="Arial" w:hAnsi="Arial"/>
                <w:sz w:val="21"/>
              </w:rPr>
              <w:t>9. Health readings are periodically scanned by scheduled jobs. Repeated abnormal trends create AI insights and push notifications, with duplicate suppression to prevent alert fatigue.</w:t>
            </w:r>
            <w:r>
              <w:br/>
            </w:r>
            <w:r>
              <w:rPr>
                <w:rFonts w:ascii="Arial" w:hAnsi="Arial"/>
                <w:sz w:val="21"/>
              </w:rPr>
              <w:t>10. For clinical handoff, the system compiles a doctor-share summary from member details, recent readings, reports, reminders, and stored AI insights.</w:t>
            </w:r>
          </w:p>
        </w:tc>
      </w:tr>
      <w:tr>
        <w:trPr>
          <w:cantSplit w:val="0"/>
          <w:tblHeader w:val="0"/>
        </w:trPr>
        <w:tc>
          <w:tcPr>
            <w:shd w:fill="d9d9d9" w:val="clear"/>
          </w:tcPr>
          <w:p w:rsidR="00000000" w:rsidDel="00000000" w:rsidP="00000000" w:rsidRDefault="00000000" w:rsidRPr="00000000" w14:paraId="00000016">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TECHNICAL ADVANTAGES</w:t>
            </w:r>
          </w:p>
        </w:tc>
      </w:tr>
      <w:tr>
        <w:trPr>
          <w:cantSplit w:val="0"/>
          <w:tblHeader w:val="0"/>
        </w:trPr>
        <w:tc>
          <w:tcPr/>
          <w:p>
            <w:r/>
          </w:p>
          <w:p>
            <w:pPr>
              <w:spacing w:before="0" w:after="120"/>
            </w:pPr>
            <w:r>
              <w:rPr>
                <w:rFonts w:ascii="Arial" w:hAnsi="Arial"/>
                <w:sz w:val="21"/>
              </w:rPr>
              <w:t>1. Member-specific care guidance: AI responses are grounded in the selected family member's profile instead of generic user context.</w:t>
            </w:r>
            <w:r>
              <w:br/>
            </w:r>
            <w:r>
              <w:rPr>
                <w:rFonts w:ascii="Arial" w:hAnsi="Arial"/>
                <w:sz w:val="21"/>
              </w:rPr>
              <w:t>2. Safety-first processing: emergency patterns are detected before normal AI generation, reducing the chance of delayed urgent guidance.</w:t>
            </w:r>
            <w:r>
              <w:br/>
            </w:r>
            <w:r>
              <w:rPr>
                <w:rFonts w:ascii="Arial" w:hAnsi="Arial"/>
                <w:sz w:val="21"/>
              </w:rPr>
              <w:t>3. Unified family workspace: reports, reminders, vitals, symptoms, medications, allergies, and AI insights are connected to the correct person.</w:t>
            </w:r>
            <w:r>
              <w:br/>
            </w:r>
            <w:r>
              <w:rPr>
                <w:rFonts w:ascii="Arial" w:hAnsi="Arial"/>
                <w:sz w:val="21"/>
              </w:rPr>
              <w:t>4. Reduced caregiver burden: conversational inputs can be converted into reminders and follow-up actions.</w:t>
            </w:r>
            <w:r>
              <w:br/>
            </w:r>
            <w:r>
              <w:rPr>
                <w:rFonts w:ascii="Arial" w:hAnsi="Arial"/>
                <w:sz w:val="21"/>
              </w:rPr>
              <w:t>5. Better continuity of care: stored health memory and doctor-share summaries reduce repeated manual explanation during consultations.</w:t>
            </w:r>
            <w:r>
              <w:br/>
            </w:r>
            <w:r>
              <w:rPr>
                <w:rFonts w:ascii="Arial" w:hAnsi="Arial"/>
                <w:sz w:val="21"/>
              </w:rPr>
              <w:t>6. Proactive monitoring: trend-alert jobs detect repeated abnormal readings and notify the household before issues are forgotten.</w:t>
            </w:r>
            <w:r>
              <w:br/>
            </w:r>
            <w:r>
              <w:rPr>
                <w:rFonts w:ascii="Arial" w:hAnsi="Arial"/>
                <w:sz w:val="21"/>
              </w:rPr>
              <w:t>7. Accessibility: multilingual responses and voice input make the system more usable for Indian families and caregivers with varying literacy or typing comfort.</w:t>
            </w:r>
            <w:r>
              <w:br/>
            </w:r>
            <w:r>
              <w:rPr>
                <w:rFonts w:ascii="Arial" w:hAnsi="Arial"/>
                <w:sz w:val="21"/>
              </w:rPr>
              <w:t>8. Controlled AI scope: health-only prompt constraints, validation, and risk scoring make the AI layer more appropriate for health guidance than a general-purpose chatbot.</w:t>
            </w:r>
            <w:r>
              <w:br/>
            </w:r>
            <w:r>
              <w:rPr>
                <w:rFonts w:ascii="Arial" w:hAnsi="Arial"/>
                <w:sz w:val="21"/>
              </w:rPr>
              <w:t>9. Scalable implementation: the system can be deployed as separate frontend and backend services using persistent databases, scheduled jobs, notifications, and AI provider APIs.</w:t>
            </w:r>
          </w:p>
        </w:tc>
      </w:tr>
      <w:tr>
        <w:trPr>
          <w:cantSplit w:val="0"/>
          <w:tblHeader w:val="0"/>
        </w:trPr>
        <w:tc>
          <w:tcPr>
            <w:shd w:fill="d9d9d9" w:val="clear"/>
          </w:tcPr>
          <w:p w:rsidR="00000000" w:rsidDel="00000000" w:rsidP="00000000" w:rsidRDefault="00000000" w:rsidRPr="00000000" w14:paraId="0000001A">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Applicant(s) Details </w:t>
            </w:r>
          </w:p>
        </w:tc>
      </w:tr>
      <w:tr>
        <w:trPr>
          <w:cantSplit w:val="0"/>
          <w:tblHeader w:val="0"/>
        </w:trPr>
        <w:tc>
          <w:tcPr>
            <w:tcBorders>
              <w:bottom w:color="000000" w:space="0" w:sz="4" w:val="single"/>
            </w:tcBorders>
          </w:tcPr>
          <w:p>
            <w:r/>
          </w:p>
          <w:p>
            <w:pPr>
              <w:spacing w:before="0" w:after="120"/>
            </w:pPr>
            <w:r>
              <w:rPr>
                <w:rFonts w:ascii="Arial" w:hAnsi="Arial"/>
                <w:sz w:val="21"/>
              </w:rPr>
              <w:t>Applicant(s) Details</w:t>
            </w:r>
          </w:p>
          <w:p>
            <w:pPr>
              <w:spacing w:after="120"/>
            </w:pPr>
            <w:r>
              <w:rPr>
                <w:rFonts w:ascii="Arial" w:hAnsi="Arial"/>
                <w:sz w:val="21"/>
              </w:rPr>
              <w:t>Name: [CONFIRM APPLICANT NAME - individual, company, college, or organization]</w:t>
            </w:r>
            <w:r>
              <w:br/>
            </w:r>
            <w:r>
              <w:rPr>
                <w:rFonts w:ascii="Arial" w:hAnsi="Arial"/>
                <w:sz w:val="21"/>
              </w:rPr>
              <w:t>Address: [ADD FULL POSTAL ADDRESS]</w:t>
            </w:r>
            <w:r>
              <w:br/>
            </w:r>
            <w:r>
              <w:rPr>
                <w:rFonts w:ascii="Arial" w:hAnsi="Arial"/>
                <w:sz w:val="21"/>
              </w:rPr>
              <w:t>Nationality/Country: [ADD]</w:t>
            </w:r>
            <w:r>
              <w:br/>
            </w:r>
            <w:r>
              <w:rPr>
                <w:rFonts w:ascii="Arial" w:hAnsi="Arial"/>
                <w:sz w:val="21"/>
              </w:rPr>
              <w:t>Email: [ADD]</w:t>
            </w:r>
            <w:r>
              <w:br/>
            </w:r>
            <w:r>
              <w:rPr>
                <w:rFonts w:ascii="Arial" w:hAnsi="Arial"/>
                <w:sz w:val="21"/>
              </w:rPr>
              <w:t>Phone: [ADD]</w:t>
            </w:r>
          </w:p>
          <w:p>
            <w:pPr>
              <w:spacing w:after="120"/>
            </w:pPr>
            <w:r>
              <w:rPr>
                <w:rFonts w:ascii="Arial" w:hAnsi="Arial"/>
                <w:sz w:val="21"/>
              </w:rPr>
              <w:t>Note: In patent filings, the applicant is the person or legal entity that will own/apply for the rights. This may be the inventor, a company, or an institution.</w:t>
            </w:r>
          </w:p>
        </w:tc>
      </w:tr>
      <w:tr>
        <w:trPr>
          <w:cantSplit w:val="0"/>
          <w:tblHeader w:val="0"/>
        </w:trPr>
        <w:tc>
          <w:tcPr>
            <w:shd w:fill="d9d9d9" w:val="clear"/>
          </w:tcPr>
          <w:p w:rsidR="00000000" w:rsidDel="00000000" w:rsidP="00000000" w:rsidRDefault="00000000" w:rsidRPr="00000000" w14:paraId="00000033">
            <w:pPr>
              <w:spacing w:line="276" w:lineRule="auto"/>
              <w:jc w:val="both"/>
              <w:rPr>
                <w:rFonts w:ascii="Microsoft JhengHei Light" w:cs="Microsoft JhengHei Light" w:eastAsia="Microsoft JhengHei Light" w:hAnsi="Microsoft JhengHei Light"/>
                <w:b w:val="1"/>
                <w:sz w:val="24"/>
                <w:szCs w:val="24"/>
              </w:rPr>
            </w:pPr>
            <w:r w:rsidDel="00000000" w:rsidR="00000000" w:rsidRPr="00000000">
              <w:rPr>
                <w:rFonts w:ascii="Arial" w:cs="Microsoft JhengHei Light" w:eastAsia="Microsoft JhengHei Light" w:hAnsi="Arial"/>
                <w:b/>
                <w:sz w:val="21"/>
                <w:szCs w:val="24"/>
                <w:rtl w:val="0"/>
              </w:rPr>
              <w:t xml:space="preserve">Inventor(s) Details</w:t>
            </w:r>
          </w:p>
        </w:tc>
      </w:tr>
      <w:tr>
        <w:trPr>
          <w:cantSplit w:val="0"/>
          <w:tblHeader w:val="0"/>
        </w:trPr>
        <w:tc>
          <w:tcPr>
            <w:tcBorders>
              <w:bottom w:color="000000" w:space="0" w:sz="4" w:val="single"/>
            </w:tcBorders>
          </w:tcPr>
          <w:p>
            <w:r/>
          </w:p>
          <w:p>
            <w:pPr>
              <w:spacing w:before="0" w:after="120"/>
            </w:pPr>
            <w:r>
              <w:rPr>
                <w:rFonts w:ascii="Arial" w:hAnsi="Arial"/>
                <w:sz w:val="21"/>
              </w:rPr>
              <w:t>Inventor(s) Details</w:t>
            </w:r>
          </w:p>
          <w:p>
            <w:pPr>
              <w:spacing w:after="120"/>
            </w:pPr>
            <w:r>
              <w:rPr>
                <w:rFonts w:ascii="Arial" w:hAnsi="Arial"/>
                <w:b/>
                <w:sz w:val="21"/>
              </w:rPr>
              <w:t>Inventor 1:</w:t>
            </w:r>
            <w:r>
              <w:br/>
            </w:r>
            <w:r>
              <w:rPr>
                <w:rFonts w:ascii="Arial" w:hAnsi="Arial"/>
                <w:sz w:val="21"/>
              </w:rPr>
              <w:t>Name: Priyanshu Tiwari [CONFIRM SPELLING]</w:t>
            </w:r>
            <w:r>
              <w:br/>
            </w:r>
            <w:r>
              <w:rPr>
                <w:rFonts w:ascii="Arial" w:hAnsi="Arial"/>
                <w:sz w:val="21"/>
              </w:rPr>
              <w:t>Address: [ADD FULL POSTAL ADDRESS]</w:t>
            </w:r>
            <w:r>
              <w:br/>
            </w:r>
            <w:r>
              <w:rPr>
                <w:rFonts w:ascii="Arial" w:hAnsi="Arial"/>
                <w:sz w:val="21"/>
              </w:rPr>
              <w:t>Nationality/Country: [ADD]</w:t>
            </w:r>
            <w:r>
              <w:br/>
            </w:r>
            <w:r>
              <w:rPr>
                <w:rFonts w:ascii="Arial" w:hAnsi="Arial"/>
                <w:sz w:val="21"/>
              </w:rPr>
              <w:t>Email: [ADD]</w:t>
            </w:r>
            <w:r>
              <w:br/>
            </w:r>
            <w:r>
              <w:rPr>
                <w:rFonts w:ascii="Arial" w:hAnsi="Arial"/>
                <w:sz w:val="21"/>
              </w:rPr>
              <w:t>Phone: [ADD]</w:t>
            </w:r>
            <w:r>
              <w:br/>
            </w:r>
            <w:r>
              <w:rPr>
                <w:rFonts w:ascii="Arial" w:hAnsi="Arial"/>
                <w:sz w:val="21"/>
              </w:rPr>
              <w:t>Contribution: Concept, software architecture, family health workflow, AI safety and context orchestration, reminder/report/doctor-share integration.</w:t>
            </w:r>
          </w:p>
          <w:p>
            <w:pPr>
              <w:spacing w:after="120"/>
            </w:pPr>
            <w:r>
              <w:rPr>
                <w:rFonts w:ascii="Arial" w:hAnsi="Arial"/>
                <w:b/>
                <w:sz w:val="21"/>
              </w:rPr>
              <w:t>Additional Inventors, if any:</w:t>
            </w:r>
            <w:r>
              <w:br/>
            </w:r>
            <w:r>
              <w:rPr>
                <w:rFonts w:ascii="Arial" w:hAnsi="Arial"/>
                <w:sz w:val="21"/>
              </w:rPr>
              <w:t>Name: [ADD OR DELETE]</w:t>
            </w:r>
            <w:r>
              <w:br/>
            </w:r>
            <w:r>
              <w:rPr>
                <w:rFonts w:ascii="Arial" w:hAnsi="Arial"/>
                <w:sz w:val="21"/>
              </w:rPr>
              <w:t>Address: [ADD]</w:t>
            </w:r>
            <w:r>
              <w:br/>
            </w:r>
            <w:r>
              <w:rPr>
                <w:rFonts w:ascii="Arial" w:hAnsi="Arial"/>
                <w:sz w:val="21"/>
              </w:rPr>
              <w:t>Nationality/Country: [ADD]</w:t>
            </w:r>
            <w:r>
              <w:br/>
            </w:r>
            <w:r>
              <w:rPr>
                <w:rFonts w:ascii="Arial" w:hAnsi="Arial"/>
                <w:sz w:val="21"/>
              </w:rPr>
              <w:t>Email: [ADD]</w:t>
            </w:r>
            <w:r>
              <w:br/>
            </w:r>
            <w:r>
              <w:rPr>
                <w:rFonts w:ascii="Arial" w:hAnsi="Arial"/>
                <w:sz w:val="21"/>
              </w:rPr>
              <w:t>Phone: [ADD]</w:t>
            </w:r>
            <w:r>
              <w:br/>
            </w:r>
            <w:r>
              <w:rPr>
                <w:rFonts w:ascii="Arial" w:hAnsi="Arial"/>
                <w:sz w:val="21"/>
              </w:rPr>
              <w:t>Contribution: [ADD]</w:t>
            </w:r>
          </w:p>
        </w:tc>
      </w:tr>
    </w:tbl>
    <w:p w:rsidR="00000000" w:rsidDel="00000000" w:rsidP="00000000" w:rsidRDefault="00000000" w:rsidRPr="00000000" w14:paraId="0000004A">
      <w:pPr>
        <w:jc w:val="both"/>
        <w:rPr>
          <w:rFonts w:ascii="Microsoft JhengHei Light" w:cs="Microsoft JhengHei Light" w:eastAsia="Microsoft JhengHei Light" w:hAnsi="Microsoft JhengHei Light"/>
          <w:b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icrosoft JhengHei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EB Garamond" w:cs="EB Garamond" w:eastAsia="EB Garamond" w:hAnsi="EB Garamond"/>
        <w:b w:val="0"/>
        <w:i w:val="0"/>
        <w:smallCaps w:val="0"/>
        <w:strike w:val="0"/>
        <w:color w:val="ffffff"/>
        <w:sz w:val="28"/>
        <w:szCs w:val="28"/>
        <w:u w:val="none"/>
        <w:shd w:fill="auto" w:val="clear"/>
        <w:vertAlign w:val="baseline"/>
      </w:rPr>
    </w:pPr>
    <w:r w:rsidDel="00000000" w:rsidR="00000000" w:rsidRPr="00000000">
      <w:rPr>
        <w:rFonts w:ascii="EB Garamond" w:cs="EB Garamond" w:eastAsia="EB Garamond" w:hAnsi="EB Garamond"/>
        <w:b w:val="0"/>
        <w:i w:val="0"/>
        <w:smallCaps w:val="0"/>
        <w:strike w:val="0"/>
        <w:color w:val="ffffff"/>
        <w:sz w:val="28"/>
        <w:szCs w:val="28"/>
        <w:u w:val="none"/>
        <w:shd w:fill="auto" w:val="clear"/>
        <w:vertAlign w:val="baseline"/>
        <w:rtl w:val="0"/>
      </w:rPr>
      <w:t xml:space="preserve">Page </w:t>
    </w:r>
    <w:r w:rsidDel="00000000" w:rsidR="00000000" w:rsidRPr="00000000">
      <w:rPr>
        <w:rFonts w:ascii="EB Garamond" w:cs="EB Garamond" w:eastAsia="EB Garamond" w:hAnsi="EB Garamond"/>
        <w:b w:val="0"/>
        <w:i w:val="0"/>
        <w:smallCaps w:val="0"/>
        <w:strike w:val="0"/>
        <w:color w:val="ffffff"/>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-1057274</wp:posOffset>
          </wp:positionH>
          <wp:positionV relativeFrom="paragraph">
            <wp:posOffset>-26034</wp:posOffset>
          </wp:positionV>
          <wp:extent cx="7908787" cy="698500"/>
          <wp:effectExtent b="0" l="0" r="0" t="0"/>
          <wp:wrapNone/>
          <wp:docPr id="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08787" cy="69850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Strictly Private and Confidential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-380999</wp:posOffset>
          </wp:positionH>
          <wp:positionV relativeFrom="paragraph">
            <wp:posOffset>-452754</wp:posOffset>
          </wp:positionV>
          <wp:extent cx="1285875" cy="786130"/>
          <wp:effectExtent b="0" l="0" r="0" t="0"/>
          <wp:wrapSquare wrapText="bothSides" distB="0" distT="0" distL="114300" distR="114300"/>
          <wp:docPr descr="See the source image" id="43" name="image2.jpg"/>
          <a:graphic>
            <a:graphicData uri="http://schemas.openxmlformats.org/drawingml/2006/picture">
              <pic:pic>
                <pic:nvPicPr>
                  <pic:cNvPr descr="See the source image" id="0" name="image2.jpg"/>
                  <pic:cNvPicPr preferRelativeResize="0"/>
                </pic:nvPicPr>
                <pic:blipFill>
                  <a:blip r:embed="rId1"/>
                  <a:srcRect b="0" l="0" r="0" t="0"/>
                  <a:stretch>
                    <a:fillRect/>
                  </a:stretch>
                </pic:blipFill>
                <pic:spPr>
                  <a:xfrm>
                    <a:off x="0" y="0"/>
                    <a:ext cx="1285875" cy="786130"/>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-1066799</wp:posOffset>
              </wp:positionH>
              <wp:positionV relativeFrom="paragraph">
                <wp:posOffset>165100</wp:posOffset>
              </wp:positionV>
              <wp:extent cx="0" cy="28575"/>
              <wp:effectExtent b="0" l="0" r="0" t="0"/>
              <wp:wrapNone/>
              <wp:docPr id="41" name=""/>
              <a:graphic>
                <a:graphicData uri="http://schemas.microsoft.com/office/word/2010/wordprocessingShape">
                  <wps:wsp>
                    <wps:cNvCnPr/>
                    <wps:spPr>
                      <a:xfrm>
                        <a:off x="828000" y="3780000"/>
                        <a:ext cx="9036000" cy="0"/>
                      </a:xfrm>
                      <a:prstGeom prst="straightConnector1">
                        <a:avLst/>
                      </a:prstGeom>
                      <a:noFill/>
                      <a:ln cap="flat" cmpd="sng" w="28575">
                        <a:solidFill>
                          <a:srgbClr val="C1222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165100</wp:posOffset>
              </wp:positionV>
              <wp:extent cx="0" cy="28575"/>
              <wp:effectExtent b="0" l="0" r="0" t="0"/>
              <wp:wrapNone/>
              <wp:docPr id="4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18"/>
    </w:pPr>
    <w:rPr>
      <w:b w:val="1"/>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A3333"/>
    <w:pPr>
      <w:widowControl w:val="0"/>
      <w:autoSpaceDE w:val="0"/>
      <w:autoSpaceDN w:val="0"/>
      <w:spacing w:after="0" w:line="240" w:lineRule="auto"/>
    </w:pPr>
    <w:rPr>
      <w:rFonts w:ascii="Times New Roman" w:cs="Times New Roman" w:eastAsia="Times New Roman" w:hAnsi="Times New Roman"/>
    </w:rPr>
  </w:style>
  <w:style w:type="paragraph" w:styleId="Heading1">
    <w:name w:val="heading 1"/>
    <w:basedOn w:val="Normal"/>
    <w:link w:val="Heading1Char"/>
    <w:uiPriority w:val="9"/>
    <w:qFormat w:val="1"/>
    <w:rsid w:val="001A3333"/>
    <w:pPr>
      <w:ind w:left="118"/>
      <w:outlineLvl w:val="0"/>
    </w:pPr>
    <w:rPr>
      <w:b w:val="1"/>
      <w:bCs w:val="1"/>
      <w:sz w:val="24"/>
      <w:szCs w:val="24"/>
      <w:u w:color="000000"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B75812"/>
    <w:pPr>
      <w:tabs>
        <w:tab w:val="center" w:pos="4680"/>
        <w:tab w:val="right" w:pos="9360"/>
      </w:tabs>
    </w:pPr>
  </w:style>
  <w:style w:type="character" w:styleId="HeaderChar" w:customStyle="1">
    <w:name w:val="Header Char"/>
    <w:basedOn w:val="DefaultParagraphFont"/>
    <w:link w:val="Header"/>
    <w:rsid w:val="00B75812"/>
  </w:style>
  <w:style w:type="paragraph" w:styleId="Footer">
    <w:name w:val="footer"/>
    <w:basedOn w:val="Normal"/>
    <w:link w:val="FooterChar"/>
    <w:uiPriority w:val="99"/>
    <w:unhideWhenUsed w:val="1"/>
    <w:rsid w:val="00B75812"/>
    <w:pPr>
      <w:tabs>
        <w:tab w:val="center" w:pos="4680"/>
        <w:tab w:val="right" w:pos="9360"/>
      </w:tabs>
    </w:pPr>
  </w:style>
  <w:style w:type="character" w:styleId="FooterChar" w:customStyle="1">
    <w:name w:val="Footer Char"/>
    <w:basedOn w:val="DefaultParagraphFont"/>
    <w:link w:val="Footer"/>
    <w:uiPriority w:val="99"/>
    <w:rsid w:val="00B75812"/>
  </w:style>
  <w:style w:type="table" w:styleId="TableGrid">
    <w:name w:val="Table Grid"/>
    <w:basedOn w:val="TableNormal"/>
    <w:uiPriority w:val="59"/>
    <w:rsid w:val="00B7581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015AD"/>
    <w:rPr>
      <w:color w:val="0563c1" w:themeColor="hyperlink"/>
      <w:u w:val="single"/>
    </w:rPr>
  </w:style>
  <w:style w:type="paragraph" w:styleId="NoSpacing">
    <w:name w:val="No Spacing"/>
    <w:basedOn w:val="Normal"/>
    <w:link w:val="NoSpacingChar"/>
    <w:uiPriority w:val="1"/>
    <w:qFormat w:val="1"/>
    <w:rsid w:val="003015AD"/>
    <w:rPr>
      <w:rFonts w:eastAsiaTheme="minorEastAsia"/>
      <w:lang w:val="en-GB"/>
    </w:rPr>
  </w:style>
  <w:style w:type="character" w:styleId="NoSpacingChar" w:customStyle="1">
    <w:name w:val="No Spacing Char"/>
    <w:basedOn w:val="DefaultParagraphFont"/>
    <w:link w:val="NoSpacing"/>
    <w:uiPriority w:val="1"/>
    <w:locked w:val="1"/>
    <w:rsid w:val="003015AD"/>
    <w:rPr>
      <w:rFonts w:eastAsiaTheme="minorEastAsia"/>
      <w:lang w:val="en-GB"/>
    </w:rPr>
  </w:style>
  <w:style w:type="table" w:styleId="GridTable7Colorful">
    <w:name w:val="Grid Table 7 Colorful"/>
    <w:basedOn w:val="TableNormal"/>
    <w:uiPriority w:val="52"/>
    <w:rsid w:val="00ED7C3C"/>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
    <w:name w:val="Grid Table 4"/>
    <w:basedOn w:val="TableNormal"/>
    <w:uiPriority w:val="49"/>
    <w:rsid w:val="00ED7C3C"/>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ListParagraph">
    <w:name w:val="List Paragraph"/>
    <w:basedOn w:val="Normal"/>
    <w:uiPriority w:val="34"/>
    <w:qFormat w:val="1"/>
    <w:rsid w:val="00ED7C3C"/>
    <w:pPr>
      <w:ind w:left="720"/>
      <w:contextualSpacing w:val="1"/>
    </w:pPr>
  </w:style>
  <w:style w:type="character" w:styleId="UnresolvedMention">
    <w:name w:val="Unresolved Mention"/>
    <w:basedOn w:val="DefaultParagraphFont"/>
    <w:uiPriority w:val="99"/>
    <w:semiHidden w:val="1"/>
    <w:unhideWhenUsed w:val="1"/>
    <w:rsid w:val="00084D47"/>
    <w:rPr>
      <w:color w:val="605e5c"/>
      <w:shd w:color="auto" w:fill="e1dfdd" w:val="clear"/>
    </w:rPr>
  </w:style>
  <w:style w:type="character" w:styleId="FollowedHyperlink">
    <w:name w:val="FollowedHyperlink"/>
    <w:basedOn w:val="DefaultParagraphFont"/>
    <w:uiPriority w:val="99"/>
    <w:semiHidden w:val="1"/>
    <w:unhideWhenUsed w:val="1"/>
    <w:rsid w:val="008A62F8"/>
    <w:rPr>
      <w:color w:val="954f72" w:themeColor="followedHyperlink"/>
      <w:u w:val="single"/>
    </w:rPr>
  </w:style>
  <w:style w:type="character" w:styleId="Strong">
    <w:name w:val="Strong"/>
    <w:basedOn w:val="DefaultParagraphFont"/>
    <w:uiPriority w:val="22"/>
    <w:qFormat w:val="1"/>
    <w:rsid w:val="00DB7903"/>
    <w:rPr>
      <w:b w:val="1"/>
      <w:bCs w:val="1"/>
    </w:rPr>
  </w:style>
  <w:style w:type="character" w:styleId="Heading1Char" w:customStyle="1">
    <w:name w:val="Heading 1 Char"/>
    <w:basedOn w:val="DefaultParagraphFont"/>
    <w:link w:val="Heading1"/>
    <w:uiPriority w:val="9"/>
    <w:rsid w:val="001A3333"/>
    <w:rPr>
      <w:rFonts w:ascii="Times New Roman" w:cs="Times New Roman" w:eastAsia="Times New Roman" w:hAnsi="Times New Roman"/>
      <w:b w:val="1"/>
      <w:bCs w:val="1"/>
      <w:sz w:val="24"/>
      <w:szCs w:val="24"/>
      <w:u w:color="000000" w:val="single"/>
    </w:rPr>
  </w:style>
  <w:style w:type="paragraph" w:styleId="BodyText">
    <w:name w:val="Body Text"/>
    <w:basedOn w:val="Normal"/>
    <w:link w:val="BodyTextChar"/>
    <w:uiPriority w:val="1"/>
    <w:qFormat w:val="1"/>
    <w:rsid w:val="001A3333"/>
    <w:rPr>
      <w:sz w:val="24"/>
      <w:szCs w:val="24"/>
    </w:rPr>
  </w:style>
  <w:style w:type="character" w:styleId="BodyTextChar" w:customStyle="1">
    <w:name w:val="Body Text Char"/>
    <w:basedOn w:val="DefaultParagraphFont"/>
    <w:link w:val="BodyText"/>
    <w:uiPriority w:val="1"/>
    <w:rsid w:val="001A3333"/>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d7mR6fLawfdFPesFXtfwL43Ng==">CgMxLjA4AHIhMTlFSVFONVlOT0Z6VjZvS2t6SGJSclk0b3Q3S3dPdldJ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2022-04-12T09:11:00Z</dcterms:created>
  <dc:creator>JTAA</dc:creator>
</cp:coreProperties>
</file>